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E41" w:rsidRDefault="00E77E41" w:rsidP="00894B72">
      <w:pPr>
        <w:pStyle w:val="NoSpacing"/>
        <w:jc w:val="center"/>
        <w:rPr>
          <w:b/>
          <w:sz w:val="28"/>
          <w:szCs w:val="28"/>
        </w:rPr>
      </w:pPr>
      <w:r w:rsidRPr="00894B72">
        <w:rPr>
          <w:b/>
          <w:sz w:val="28"/>
          <w:szCs w:val="28"/>
        </w:rPr>
        <w:t>AGENDA</w:t>
      </w:r>
    </w:p>
    <w:p w:rsidR="00F23E81" w:rsidRPr="00227A36" w:rsidRDefault="00F23E81" w:rsidP="00227A36">
      <w:pPr>
        <w:autoSpaceDE w:val="0"/>
        <w:autoSpaceDN w:val="0"/>
        <w:adjustRightInd w:val="0"/>
        <w:spacing w:after="120"/>
        <w:jc w:val="center"/>
        <w:rPr>
          <w:b/>
          <w:sz w:val="20"/>
        </w:rPr>
      </w:pPr>
      <w:r w:rsidRPr="00227A36">
        <w:rPr>
          <w:b/>
          <w:sz w:val="20"/>
        </w:rPr>
        <w:t>(As of:</w:t>
      </w:r>
      <w:r w:rsidRPr="00227A36">
        <w:rPr>
          <w:sz w:val="20"/>
        </w:rPr>
        <w:t xml:space="preserve">  </w:t>
      </w:r>
      <w:r w:rsidR="005433D0">
        <w:rPr>
          <w:sz w:val="20"/>
        </w:rPr>
        <w:fldChar w:fldCharType="begin"/>
      </w:r>
      <w:r w:rsidR="005433D0">
        <w:rPr>
          <w:sz w:val="20"/>
        </w:rPr>
        <w:instrText xml:space="preserve"> DATE \@ "M/d/yyyy h:mm:ss am/pm" </w:instrText>
      </w:r>
      <w:r w:rsidR="005433D0">
        <w:rPr>
          <w:sz w:val="20"/>
        </w:rPr>
        <w:fldChar w:fldCharType="separate"/>
      </w:r>
      <w:r w:rsidR="006D3134">
        <w:rPr>
          <w:noProof/>
          <w:sz w:val="20"/>
        </w:rPr>
        <w:t>11/17/2017 8:36:55 AM</w:t>
      </w:r>
      <w:r w:rsidR="005433D0">
        <w:rPr>
          <w:sz w:val="20"/>
        </w:rPr>
        <w:fldChar w:fldCharType="end"/>
      </w:r>
      <w:r w:rsidRPr="00227A36">
        <w:rPr>
          <w:b/>
          <w:sz w:val="20"/>
        </w:rPr>
        <w:t>)</w:t>
      </w:r>
    </w:p>
    <w:p w:rsidR="00626FCF" w:rsidRDefault="00626FCF" w:rsidP="00227A36">
      <w:pPr>
        <w:pStyle w:val="Header"/>
        <w:tabs>
          <w:tab w:val="right" w:pos="10224"/>
        </w:tabs>
        <w:spacing w:after="240"/>
        <w:jc w:val="center"/>
        <w:rPr>
          <w:b/>
          <w:bCs/>
          <w:sz w:val="28"/>
          <w:szCs w:val="28"/>
          <w:lang w:val="en-US"/>
        </w:rPr>
      </w:pPr>
      <w:r w:rsidRPr="00626FCF">
        <w:rPr>
          <w:b/>
          <w:bCs/>
          <w:sz w:val="28"/>
          <w:szCs w:val="28"/>
        </w:rPr>
        <w:t>Joint Meeting:  Supply Process Review Committee (PRC), 17-2, Supply Discrepancy Reporting (SDR) PRC 17-2 Joint Physical Inventory Working Group (JPIWG)</w:t>
      </w:r>
      <w:r w:rsidR="00227A36">
        <w:rPr>
          <w:b/>
          <w:bCs/>
          <w:sz w:val="28"/>
          <w:szCs w:val="28"/>
        </w:rPr>
        <w:br/>
      </w:r>
      <w:r w:rsidRPr="00626FCF">
        <w:rPr>
          <w:b/>
          <w:bCs/>
          <w:sz w:val="28"/>
          <w:szCs w:val="28"/>
        </w:rPr>
        <w:t>November 15-16, 2017</w:t>
      </w:r>
      <w:r w:rsidR="00DE7418">
        <w:rPr>
          <w:b/>
          <w:bCs/>
          <w:sz w:val="28"/>
          <w:szCs w:val="28"/>
          <w:lang w:val="en-US"/>
        </w:rPr>
        <w:t xml:space="preserve"> (Wednesday and Thursday)</w:t>
      </w:r>
    </w:p>
    <w:tbl>
      <w:tblPr>
        <w:tblStyle w:val="TableGrid"/>
        <w:tblW w:w="1141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415"/>
      </w:tblGrid>
      <w:tr w:rsidR="00D3187B" w:rsidTr="00F41E3F">
        <w:trPr>
          <w:jc w:val="center"/>
        </w:trPr>
        <w:tc>
          <w:tcPr>
            <w:tcW w:w="11415" w:type="dxa"/>
            <w:shd w:val="clear" w:color="auto" w:fill="auto"/>
          </w:tcPr>
          <w:p w:rsidR="00D3187B" w:rsidRPr="00957F4D" w:rsidRDefault="00D3187B" w:rsidP="002C6F8C">
            <w:pPr>
              <w:jc w:val="center"/>
              <w:rPr>
                <w:b/>
                <w:sz w:val="28"/>
                <w:szCs w:val="28"/>
              </w:rPr>
            </w:pPr>
            <w:r w:rsidRPr="00E77E41">
              <w:rPr>
                <w:b/>
                <w:sz w:val="28"/>
                <w:szCs w:val="28"/>
              </w:rPr>
              <w:t xml:space="preserve">Meeting </w:t>
            </w:r>
            <w:r w:rsidRPr="00957F4D">
              <w:rPr>
                <w:b/>
                <w:sz w:val="28"/>
                <w:szCs w:val="28"/>
              </w:rPr>
              <w:t>Information:</w:t>
            </w:r>
          </w:p>
          <w:p w:rsidR="00D3187B" w:rsidRPr="00F05B41" w:rsidRDefault="00DC34A3" w:rsidP="00F05B41">
            <w:pPr>
              <w:autoSpaceDE w:val="0"/>
              <w:autoSpaceDN w:val="0"/>
              <w:adjustRightInd w:val="0"/>
              <w:spacing w:after="120"/>
              <w:jc w:val="center"/>
              <w:rPr>
                <w:rFonts w:ascii="Arial" w:hAnsi="Arial" w:cs="Arial"/>
              </w:rPr>
            </w:pPr>
            <w:r w:rsidRPr="00F05B41">
              <w:rPr>
                <w:b/>
              </w:rPr>
              <w:t>Defense Collaboration Services (DCS)</w:t>
            </w:r>
            <w:r w:rsidR="00D3187B" w:rsidRPr="00F05B41">
              <w:rPr>
                <w:b/>
                <w:bCs/>
              </w:rPr>
              <w:t>:</w:t>
            </w:r>
            <w:r w:rsidR="00C4703C">
              <w:rPr>
                <w:b/>
                <w:bCs/>
              </w:rPr>
              <w:br/>
            </w:r>
            <w:hyperlink r:id="rId10" w:history="1">
              <w:r w:rsidR="00692C09" w:rsidRPr="00606B75">
                <w:rPr>
                  <w:rStyle w:val="Hyperlink"/>
                </w:rPr>
                <w:t>https://conference.apps.mil/webconf/SupplyJPIWGSDR1702PRCNOV2017</w:t>
              </w:r>
            </w:hyperlink>
            <w:r w:rsidR="00D3187B" w:rsidRPr="00F05B41">
              <w:rPr>
                <w:b/>
                <w:bCs/>
              </w:rPr>
              <w:br/>
            </w:r>
          </w:p>
          <w:p w:rsidR="00D3187B" w:rsidRPr="00F05B41" w:rsidRDefault="00D3187B" w:rsidP="002C6F8C">
            <w:pPr>
              <w:autoSpaceDE w:val="0"/>
              <w:autoSpaceDN w:val="0"/>
              <w:adjustRightInd w:val="0"/>
              <w:jc w:val="center"/>
              <w:rPr>
                <w:b/>
                <w:bCs/>
              </w:rPr>
            </w:pPr>
            <w:r w:rsidRPr="00F05B41">
              <w:rPr>
                <w:b/>
                <w:bCs/>
                <w:u w:val="single"/>
              </w:rPr>
              <w:t>Location for those in the commuting area</w:t>
            </w:r>
            <w:r w:rsidRPr="00F05B41">
              <w:rPr>
                <w:b/>
                <w:bCs/>
              </w:rPr>
              <w:t>:</w:t>
            </w:r>
          </w:p>
          <w:p w:rsidR="00D3187B" w:rsidRPr="00F05B41" w:rsidRDefault="006D3134" w:rsidP="002C6F8C">
            <w:pPr>
              <w:autoSpaceDE w:val="0"/>
              <w:autoSpaceDN w:val="0"/>
              <w:adjustRightInd w:val="0"/>
              <w:jc w:val="center"/>
              <w:rPr>
                <w:bCs/>
              </w:rPr>
            </w:pPr>
            <w:hyperlink r:id="rId11" w:history="1">
              <w:r w:rsidR="00D3187B" w:rsidRPr="00F05B41">
                <w:rPr>
                  <w:rStyle w:val="Hyperlink"/>
                  <w:bCs/>
                </w:rPr>
                <w:t>DLA Headquarters</w:t>
              </w:r>
            </w:hyperlink>
            <w:r w:rsidR="00D3187B" w:rsidRPr="00F05B41">
              <w:rPr>
                <w:bCs/>
              </w:rPr>
              <w:t>, 8725 John J. Kingman Road</w:t>
            </w:r>
            <w:r w:rsidR="008224E5" w:rsidRPr="00F05B41">
              <w:rPr>
                <w:bCs/>
              </w:rPr>
              <w:t xml:space="preserve"> </w:t>
            </w:r>
            <w:r w:rsidR="00D3187B" w:rsidRPr="00F05B41">
              <w:rPr>
                <w:bCs/>
              </w:rPr>
              <w:t>Fort Belvoir, VA 22060-6218</w:t>
            </w:r>
          </w:p>
          <w:p w:rsidR="00626FCF" w:rsidRPr="00626FCF" w:rsidRDefault="00D3187B" w:rsidP="00626FCF">
            <w:pPr>
              <w:autoSpaceDE w:val="0"/>
              <w:autoSpaceDN w:val="0"/>
              <w:adjustRightInd w:val="0"/>
              <w:spacing w:after="120"/>
              <w:jc w:val="center"/>
              <w:rPr>
                <w:bCs/>
              </w:rPr>
            </w:pPr>
            <w:r w:rsidRPr="00F05B41">
              <w:rPr>
                <w:bCs/>
              </w:rPr>
              <w:t xml:space="preserve">Conference Room:  </w:t>
            </w:r>
            <w:r w:rsidR="00626FCF">
              <w:rPr>
                <w:bCs/>
              </w:rPr>
              <w:t xml:space="preserve">Day 1 </w:t>
            </w:r>
            <w:r w:rsidR="00626FCF" w:rsidRPr="00626FCF">
              <w:rPr>
                <w:bCs/>
              </w:rPr>
              <w:t xml:space="preserve">4501 </w:t>
            </w:r>
            <w:r w:rsidR="00626FCF">
              <w:rPr>
                <w:bCs/>
              </w:rPr>
              <w:t xml:space="preserve">and Day 2 </w:t>
            </w:r>
            <w:r w:rsidR="00626FCF" w:rsidRPr="00626FCF">
              <w:rPr>
                <w:bCs/>
              </w:rPr>
              <w:t xml:space="preserve">3301 </w:t>
            </w:r>
          </w:p>
          <w:p w:rsidR="00626FCF" w:rsidRDefault="00351B6A" w:rsidP="00C4703C">
            <w:pPr>
              <w:autoSpaceDE w:val="0"/>
              <w:autoSpaceDN w:val="0"/>
              <w:adjustRightInd w:val="0"/>
              <w:jc w:val="center"/>
              <w:rPr>
                <w:i/>
                <w:color w:val="FF0000"/>
              </w:rPr>
            </w:pPr>
            <w:r w:rsidRPr="00F05B41">
              <w:rPr>
                <w:i/>
                <w:color w:val="FF0000"/>
              </w:rPr>
              <w:t xml:space="preserve">As read </w:t>
            </w:r>
            <w:r w:rsidR="002C6F8C" w:rsidRPr="00F05B41">
              <w:rPr>
                <w:i/>
                <w:color w:val="FF0000"/>
              </w:rPr>
              <w:t xml:space="preserve">ahead files </w:t>
            </w:r>
            <w:r w:rsidRPr="00F05B41">
              <w:rPr>
                <w:i/>
                <w:color w:val="FF0000"/>
              </w:rPr>
              <w:t>become available, they will be added as links to the Agenda</w:t>
            </w:r>
            <w:r w:rsidR="00D3187B" w:rsidRPr="00F05B41">
              <w:rPr>
                <w:i/>
                <w:color w:val="FF0000"/>
              </w:rPr>
              <w:t xml:space="preserve"> posted </w:t>
            </w:r>
            <w:r w:rsidRPr="00F05B41">
              <w:rPr>
                <w:i/>
                <w:color w:val="FF0000"/>
              </w:rPr>
              <w:t xml:space="preserve">on </w:t>
            </w:r>
            <w:r w:rsidR="002C6F8C" w:rsidRPr="00F05B41">
              <w:rPr>
                <w:i/>
                <w:color w:val="FF0000"/>
              </w:rPr>
              <w:t xml:space="preserve">the </w:t>
            </w:r>
            <w:r w:rsidR="00C4703C">
              <w:rPr>
                <w:i/>
                <w:color w:val="FF0000"/>
              </w:rPr>
              <w:br/>
            </w:r>
            <w:r w:rsidR="004444CF">
              <w:rPr>
                <w:i/>
                <w:color w:val="FF0000"/>
              </w:rPr>
              <w:t>Supply PRC 17-2, SDR PRC 17-2, and JPIWG</w:t>
            </w:r>
            <w:r w:rsidR="00626FCF">
              <w:rPr>
                <w:i/>
                <w:color w:val="FF0000"/>
              </w:rPr>
              <w:t xml:space="preserve"> Committees </w:t>
            </w:r>
            <w:r w:rsidR="002C6F8C" w:rsidRPr="00F05B41">
              <w:rPr>
                <w:i/>
                <w:color w:val="FF0000"/>
              </w:rPr>
              <w:t>W</w:t>
            </w:r>
            <w:r w:rsidRPr="00F05B41">
              <w:rPr>
                <w:i/>
                <w:color w:val="FF0000"/>
              </w:rPr>
              <w:t>ebpage</w:t>
            </w:r>
            <w:r w:rsidR="00626FCF">
              <w:rPr>
                <w:i/>
                <w:color w:val="FF0000"/>
              </w:rPr>
              <w:t xml:space="preserve">s </w:t>
            </w:r>
          </w:p>
          <w:p w:rsidR="00F05B41" w:rsidRPr="002C6F8C" w:rsidRDefault="006D3134" w:rsidP="00C4703C">
            <w:pPr>
              <w:autoSpaceDE w:val="0"/>
              <w:autoSpaceDN w:val="0"/>
              <w:adjustRightInd w:val="0"/>
              <w:spacing w:after="60"/>
              <w:jc w:val="center"/>
              <w:rPr>
                <w:b/>
              </w:rPr>
            </w:pPr>
            <w:hyperlink r:id="rId12" w:history="1">
              <w:r w:rsidR="00C4703C" w:rsidRPr="000F3D28">
                <w:rPr>
                  <w:rStyle w:val="Hyperlink"/>
                  <w:i/>
                </w:rPr>
                <w:t>http://www.dla.mil/HQ/InformationOperations/DLMS/committees</w:t>
              </w:r>
            </w:hyperlink>
          </w:p>
        </w:tc>
      </w:tr>
    </w:tbl>
    <w:p w:rsidR="00874BBA" w:rsidRPr="00AD75C7" w:rsidRDefault="00874BBA" w:rsidP="008F6E37">
      <w:pPr>
        <w:spacing w:after="40"/>
        <w:rPr>
          <w:b/>
          <w:bCs/>
          <w:sz w:val="16"/>
          <w:szCs w:val="16"/>
        </w:rPr>
      </w:pPr>
    </w:p>
    <w:tbl>
      <w:tblPr>
        <w:tblStyle w:val="TableGrid"/>
        <w:tblW w:w="11505" w:type="dxa"/>
        <w:jc w:val="center"/>
        <w:tblLook w:val="04A0" w:firstRow="1" w:lastRow="0" w:firstColumn="1" w:lastColumn="0" w:noHBand="0" w:noVBand="1"/>
      </w:tblPr>
      <w:tblGrid>
        <w:gridCol w:w="661"/>
        <w:gridCol w:w="6829"/>
        <w:gridCol w:w="4015"/>
      </w:tblGrid>
      <w:tr w:rsidR="00BE7D5D" w:rsidRPr="001C7938" w:rsidTr="00F41E3F">
        <w:trPr>
          <w:cantSplit/>
          <w:trHeight w:val="337"/>
          <w:tblHeader/>
          <w:jc w:val="center"/>
        </w:trPr>
        <w:tc>
          <w:tcPr>
            <w:tcW w:w="661" w:type="dxa"/>
            <w:tcBorders>
              <w:top w:val="double" w:sz="4" w:space="0" w:color="auto"/>
              <w:left w:val="double" w:sz="4" w:space="0" w:color="auto"/>
            </w:tcBorders>
            <w:shd w:val="clear" w:color="auto" w:fill="DDD9C3" w:themeFill="background2" w:themeFillShade="E6"/>
            <w:tcMar>
              <w:top w:w="58" w:type="dxa"/>
              <w:left w:w="115" w:type="dxa"/>
              <w:bottom w:w="58" w:type="dxa"/>
              <w:right w:w="115" w:type="dxa"/>
            </w:tcMar>
          </w:tcPr>
          <w:p w:rsidR="00BE7D5D" w:rsidRPr="001C7938" w:rsidRDefault="000E48EA" w:rsidP="00BE7D5D">
            <w:pPr>
              <w:jc w:val="center"/>
              <w:rPr>
                <w:b/>
              </w:rPr>
            </w:pPr>
            <w:r w:rsidRPr="001C7938">
              <w:rPr>
                <w:b/>
              </w:rPr>
              <w:t>#</w:t>
            </w:r>
          </w:p>
        </w:tc>
        <w:tc>
          <w:tcPr>
            <w:tcW w:w="6829" w:type="dxa"/>
            <w:tcBorders>
              <w:top w:val="double" w:sz="4" w:space="0" w:color="auto"/>
            </w:tcBorders>
            <w:shd w:val="clear" w:color="auto" w:fill="DDD9C3" w:themeFill="background2" w:themeFillShade="E6"/>
            <w:tcMar>
              <w:top w:w="58" w:type="dxa"/>
              <w:left w:w="115" w:type="dxa"/>
              <w:bottom w:w="58" w:type="dxa"/>
              <w:right w:w="115" w:type="dxa"/>
            </w:tcMar>
          </w:tcPr>
          <w:p w:rsidR="009E2D5B" w:rsidRPr="001C7938" w:rsidRDefault="000E48EA" w:rsidP="00874BBA">
            <w:pPr>
              <w:contextualSpacing/>
              <w:jc w:val="center"/>
              <w:rPr>
                <w:b/>
              </w:rPr>
            </w:pPr>
            <w:r w:rsidRPr="001C7938">
              <w:rPr>
                <w:b/>
              </w:rPr>
              <w:t>TOPIC</w:t>
            </w:r>
            <w:r w:rsidR="00816ACB" w:rsidRPr="001C7938">
              <w:rPr>
                <w:b/>
              </w:rPr>
              <w:t xml:space="preserve"> </w:t>
            </w:r>
          </w:p>
        </w:tc>
        <w:tc>
          <w:tcPr>
            <w:tcW w:w="4015" w:type="dxa"/>
            <w:tcBorders>
              <w:top w:val="double" w:sz="4" w:space="0" w:color="auto"/>
              <w:right w:val="double" w:sz="4" w:space="0" w:color="auto"/>
            </w:tcBorders>
            <w:shd w:val="clear" w:color="auto" w:fill="DDD9C3" w:themeFill="background2" w:themeFillShade="E6"/>
            <w:tcMar>
              <w:top w:w="58" w:type="dxa"/>
              <w:left w:w="115" w:type="dxa"/>
              <w:bottom w:w="58" w:type="dxa"/>
              <w:right w:w="115" w:type="dxa"/>
            </w:tcMar>
          </w:tcPr>
          <w:p w:rsidR="00BE7D5D" w:rsidRPr="001C7938" w:rsidRDefault="00CB447C" w:rsidP="00BE7D5D">
            <w:pPr>
              <w:contextualSpacing/>
              <w:jc w:val="center"/>
              <w:rPr>
                <w:b/>
              </w:rPr>
            </w:pPr>
            <w:r w:rsidRPr="001C7938">
              <w:rPr>
                <w:b/>
              </w:rPr>
              <w:t>LEAD</w:t>
            </w:r>
          </w:p>
        </w:tc>
      </w:tr>
      <w:tr w:rsidR="00627714" w:rsidRPr="001C7938" w:rsidTr="00F41E3F">
        <w:trPr>
          <w:cantSplit/>
          <w:jc w:val="center"/>
        </w:trPr>
        <w:tc>
          <w:tcPr>
            <w:tcW w:w="11505" w:type="dxa"/>
            <w:gridSpan w:val="3"/>
            <w:tcBorders>
              <w:left w:val="double" w:sz="4" w:space="0" w:color="auto"/>
              <w:right w:val="double" w:sz="4" w:space="0" w:color="auto"/>
            </w:tcBorders>
            <w:tcMar>
              <w:top w:w="58" w:type="dxa"/>
              <w:left w:w="115" w:type="dxa"/>
              <w:bottom w:w="58" w:type="dxa"/>
              <w:right w:w="115" w:type="dxa"/>
            </w:tcMar>
          </w:tcPr>
          <w:p w:rsidR="00627714" w:rsidRPr="00DE26D8" w:rsidRDefault="00627714" w:rsidP="001C7938">
            <w:pPr>
              <w:ind w:left="72"/>
              <w:jc w:val="center"/>
              <w:rPr>
                <w:b/>
              </w:rPr>
            </w:pPr>
            <w:r w:rsidRPr="00DE26D8">
              <w:rPr>
                <w:b/>
              </w:rPr>
              <w:t>Day 1</w:t>
            </w:r>
            <w:r w:rsidR="00DE26D8">
              <w:rPr>
                <w:b/>
              </w:rPr>
              <w:t>, November 15, 2017</w:t>
            </w:r>
            <w:r w:rsidR="00806E76">
              <w:rPr>
                <w:b/>
              </w:rPr>
              <w:t xml:space="preserve"> </w:t>
            </w:r>
            <w:r w:rsidR="00A71106">
              <w:rPr>
                <w:b/>
              </w:rPr>
              <w:t xml:space="preserve"> </w:t>
            </w:r>
            <w:r w:rsidR="00806E76">
              <w:rPr>
                <w:b/>
              </w:rPr>
              <w:t>8:30am – 4:30pm</w:t>
            </w:r>
          </w:p>
        </w:tc>
      </w:tr>
      <w:tr w:rsidR="00CB0A7F" w:rsidRPr="001C7938" w:rsidTr="00F41E3F">
        <w:trPr>
          <w:cantSplit/>
          <w:jc w:val="center"/>
        </w:trPr>
        <w:tc>
          <w:tcPr>
            <w:tcW w:w="661" w:type="dxa"/>
            <w:tcBorders>
              <w:left w:val="double" w:sz="4" w:space="0" w:color="auto"/>
            </w:tcBorders>
            <w:tcMar>
              <w:top w:w="58" w:type="dxa"/>
              <w:left w:w="115" w:type="dxa"/>
              <w:bottom w:w="58" w:type="dxa"/>
              <w:right w:w="115" w:type="dxa"/>
            </w:tcMar>
          </w:tcPr>
          <w:p w:rsidR="00CB0A7F" w:rsidRPr="00227A36" w:rsidRDefault="00CB0A7F" w:rsidP="00A1714C">
            <w:pPr>
              <w:pStyle w:val="ListParagraph"/>
              <w:numPr>
                <w:ilvl w:val="0"/>
                <w:numId w:val="13"/>
              </w:numPr>
              <w:jc w:val="center"/>
            </w:pPr>
          </w:p>
        </w:tc>
        <w:tc>
          <w:tcPr>
            <w:tcW w:w="6829" w:type="dxa"/>
            <w:tcMar>
              <w:top w:w="58" w:type="dxa"/>
              <w:left w:w="115" w:type="dxa"/>
              <w:bottom w:w="58" w:type="dxa"/>
              <w:right w:w="115" w:type="dxa"/>
            </w:tcMar>
          </w:tcPr>
          <w:p w:rsidR="0076289C" w:rsidRDefault="006E5A72" w:rsidP="00EC24A0">
            <w:pPr>
              <w:spacing w:after="240"/>
              <w:jc w:val="center"/>
            </w:pPr>
            <w:r w:rsidRPr="002C32A9">
              <w:t>Welcome</w:t>
            </w:r>
            <w:r w:rsidR="00953E60">
              <w:t xml:space="preserve"> and Administrative Remarks</w:t>
            </w:r>
          </w:p>
          <w:p w:rsidR="00CB0A7F" w:rsidRPr="008F0491" w:rsidRDefault="006D3134" w:rsidP="00C4703C">
            <w:pPr>
              <w:jc w:val="center"/>
            </w:pPr>
            <w:hyperlink r:id="rId13" w:history="1">
              <w:r w:rsidR="0076289C" w:rsidRPr="00A6279B">
                <w:rPr>
                  <w:rStyle w:val="Hyperlink"/>
                </w:rPr>
                <w:t>ADC 1240</w:t>
              </w:r>
            </w:hyperlink>
            <w:r w:rsidR="0076289C">
              <w:t xml:space="preserve"> Reminder:  Outstanding Component Official Appointment Letters for Supply</w:t>
            </w:r>
            <w:r w:rsidR="00953E60">
              <w:t xml:space="preserve"> and </w:t>
            </w:r>
            <w:r w:rsidR="0076289C">
              <w:t>SDR PRCs and JPIWG</w:t>
            </w:r>
            <w:r w:rsidR="006A7FA9">
              <w:t xml:space="preserve"> </w:t>
            </w:r>
          </w:p>
        </w:tc>
        <w:tc>
          <w:tcPr>
            <w:tcW w:w="4015" w:type="dxa"/>
            <w:tcBorders>
              <w:right w:val="double" w:sz="4" w:space="0" w:color="auto"/>
            </w:tcBorders>
            <w:tcMar>
              <w:top w:w="58" w:type="dxa"/>
              <w:left w:w="115" w:type="dxa"/>
              <w:bottom w:w="58" w:type="dxa"/>
              <w:right w:w="115" w:type="dxa"/>
            </w:tcMar>
          </w:tcPr>
          <w:p w:rsidR="00957F4D" w:rsidRPr="008F0491" w:rsidRDefault="00075FD0" w:rsidP="001C7938">
            <w:pPr>
              <w:ind w:left="72"/>
              <w:jc w:val="center"/>
            </w:pPr>
            <w:r w:rsidRPr="008F0491">
              <w:t>Heidi Daverede</w:t>
            </w:r>
            <w:r w:rsidR="00957F4D" w:rsidRPr="008F0491">
              <w:t xml:space="preserve"> </w:t>
            </w:r>
            <w:r w:rsidR="00953E60">
              <w:br/>
            </w:r>
            <w:r w:rsidR="00515051">
              <w:t>Director/Division Chief</w:t>
            </w:r>
          </w:p>
          <w:p w:rsidR="00D63C09" w:rsidRDefault="00260932" w:rsidP="001C7938">
            <w:pPr>
              <w:ind w:left="72"/>
              <w:jc w:val="center"/>
            </w:pPr>
            <w:r>
              <w:t>Enterprise Business Standards Office (EBSO)</w:t>
            </w:r>
          </w:p>
          <w:p w:rsidR="00953E60" w:rsidRDefault="00953E60" w:rsidP="001C7938">
            <w:pPr>
              <w:ind w:left="72"/>
              <w:jc w:val="center"/>
            </w:pPr>
          </w:p>
          <w:p w:rsidR="00953E60" w:rsidRPr="00953E60" w:rsidRDefault="00953E60" w:rsidP="00953E60">
            <w:pPr>
              <w:ind w:left="72"/>
              <w:jc w:val="center"/>
            </w:pPr>
            <w:r w:rsidRPr="00953E60">
              <w:t>Rafael Gonzalez</w:t>
            </w:r>
          </w:p>
          <w:p w:rsidR="00953E60" w:rsidRDefault="00953E60" w:rsidP="00953E60">
            <w:pPr>
              <w:ind w:left="72"/>
              <w:jc w:val="center"/>
            </w:pPr>
            <w:r w:rsidRPr="00953E60">
              <w:t>Eric Flanagan</w:t>
            </w:r>
          </w:p>
          <w:p w:rsidR="00115F8C" w:rsidRPr="00953E60" w:rsidRDefault="00115F8C" w:rsidP="00953E60">
            <w:pPr>
              <w:ind w:left="72"/>
              <w:jc w:val="center"/>
            </w:pPr>
            <w:r>
              <w:t>Ben Breen</w:t>
            </w:r>
          </w:p>
          <w:p w:rsidR="00953E60" w:rsidRPr="008F0491" w:rsidRDefault="00953E60" w:rsidP="001C7938">
            <w:pPr>
              <w:ind w:left="72"/>
              <w:jc w:val="center"/>
            </w:pPr>
            <w:r>
              <w:t>EBSO</w:t>
            </w:r>
          </w:p>
        </w:tc>
      </w:tr>
      <w:tr w:rsidR="00A06E5D" w:rsidRPr="003B0C4B" w:rsidTr="00F41E3F">
        <w:trPr>
          <w:cantSplit/>
          <w:trHeight w:val="751"/>
          <w:jc w:val="center"/>
        </w:trPr>
        <w:tc>
          <w:tcPr>
            <w:tcW w:w="661" w:type="dxa"/>
            <w:tcBorders>
              <w:left w:val="double" w:sz="4" w:space="0" w:color="auto"/>
            </w:tcBorders>
            <w:tcMar>
              <w:top w:w="58" w:type="dxa"/>
              <w:left w:w="115" w:type="dxa"/>
              <w:bottom w:w="58" w:type="dxa"/>
              <w:right w:w="115" w:type="dxa"/>
            </w:tcMar>
          </w:tcPr>
          <w:p w:rsidR="00A06E5D" w:rsidRPr="008F0491" w:rsidRDefault="00A06E5D" w:rsidP="00A1714C">
            <w:pPr>
              <w:pStyle w:val="ListParagraph"/>
              <w:numPr>
                <w:ilvl w:val="0"/>
                <w:numId w:val="13"/>
              </w:numPr>
              <w:jc w:val="center"/>
            </w:pPr>
          </w:p>
        </w:tc>
        <w:tc>
          <w:tcPr>
            <w:tcW w:w="6829" w:type="dxa"/>
            <w:tcMar>
              <w:top w:w="58" w:type="dxa"/>
              <w:left w:w="115" w:type="dxa"/>
              <w:bottom w:w="58" w:type="dxa"/>
              <w:right w:w="115" w:type="dxa"/>
            </w:tcMar>
          </w:tcPr>
          <w:p w:rsidR="00773166" w:rsidRDefault="006D3134" w:rsidP="00F41E3F">
            <w:pPr>
              <w:spacing w:after="60"/>
              <w:ind w:right="72"/>
              <w:jc w:val="center"/>
            </w:pPr>
            <w:hyperlink r:id="rId14" w:history="1">
              <w:r w:rsidR="009C2194" w:rsidRPr="003108CA">
                <w:rPr>
                  <w:rStyle w:val="Hyperlink"/>
                </w:rPr>
                <w:t>Capability to Control Document Number Assignment for Directed R</w:t>
              </w:r>
              <w:r w:rsidR="00626FCF" w:rsidRPr="003108CA">
                <w:rPr>
                  <w:rStyle w:val="Hyperlink"/>
                </w:rPr>
                <w:t xml:space="preserve">eturns of </w:t>
              </w:r>
              <w:r w:rsidR="009C2194" w:rsidRPr="003108CA">
                <w:rPr>
                  <w:rStyle w:val="Hyperlink"/>
                </w:rPr>
                <w:t>Discrepant/Deficient M</w:t>
              </w:r>
              <w:r w:rsidR="00626FCF" w:rsidRPr="003108CA">
                <w:rPr>
                  <w:rStyle w:val="Hyperlink"/>
                </w:rPr>
                <w:t>ateriel</w:t>
              </w:r>
              <w:r w:rsidR="00EC24A0" w:rsidRPr="003108CA">
                <w:rPr>
                  <w:rStyle w:val="Hyperlink"/>
                </w:rPr>
                <w:t xml:space="preserve"> </w:t>
              </w:r>
              <w:r w:rsidR="00773166" w:rsidRPr="003108CA">
                <w:rPr>
                  <w:rStyle w:val="Hyperlink"/>
                </w:rPr>
                <w:t>Impacts and Gaps</w:t>
              </w:r>
            </w:hyperlink>
          </w:p>
          <w:p w:rsidR="007977AE" w:rsidRPr="00C4703C" w:rsidRDefault="00175067" w:rsidP="00F41E3F">
            <w:pPr>
              <w:pStyle w:val="ListParagraph"/>
              <w:numPr>
                <w:ilvl w:val="0"/>
                <w:numId w:val="11"/>
              </w:numPr>
              <w:spacing w:after="60" w:line="240" w:lineRule="auto"/>
              <w:ind w:right="72"/>
              <w:contextualSpacing w:val="0"/>
              <w:rPr>
                <w:rFonts w:ascii="Times New Roman" w:hAnsi="Times New Roman" w:cs="Times New Roman"/>
              </w:rPr>
            </w:pPr>
            <w:r w:rsidRPr="00C4703C">
              <w:rPr>
                <w:rFonts w:ascii="Times New Roman" w:hAnsi="Times New Roman" w:cs="Times New Roman"/>
              </w:rPr>
              <w:t xml:space="preserve">Services </w:t>
            </w:r>
            <w:r w:rsidR="0059201B" w:rsidRPr="00C4703C">
              <w:rPr>
                <w:rFonts w:ascii="Times New Roman" w:hAnsi="Times New Roman" w:cs="Times New Roman"/>
              </w:rPr>
              <w:t xml:space="preserve">brief </w:t>
            </w:r>
            <w:r w:rsidR="00C7773A" w:rsidRPr="00C4703C">
              <w:rPr>
                <w:rFonts w:ascii="Times New Roman" w:hAnsi="Times New Roman" w:cs="Times New Roman"/>
              </w:rPr>
              <w:t xml:space="preserve">their </w:t>
            </w:r>
            <w:r w:rsidR="00953E60" w:rsidRPr="00C4703C">
              <w:rPr>
                <w:rFonts w:ascii="Times New Roman" w:hAnsi="Times New Roman" w:cs="Times New Roman"/>
              </w:rPr>
              <w:t xml:space="preserve">research </w:t>
            </w:r>
            <w:r w:rsidR="005115F8" w:rsidRPr="00C4703C">
              <w:rPr>
                <w:rFonts w:ascii="Times New Roman" w:hAnsi="Times New Roman" w:cs="Times New Roman"/>
              </w:rPr>
              <w:t>to identify internal system constraints impeding</w:t>
            </w:r>
            <w:r w:rsidR="00953E60" w:rsidRPr="00C4703C">
              <w:rPr>
                <w:rFonts w:ascii="Times New Roman" w:hAnsi="Times New Roman" w:cs="Times New Roman"/>
              </w:rPr>
              <w:t xml:space="preserve"> materiel</w:t>
            </w:r>
            <w:r w:rsidR="005115F8" w:rsidRPr="00C4703C">
              <w:rPr>
                <w:rFonts w:ascii="Times New Roman" w:hAnsi="Times New Roman" w:cs="Times New Roman"/>
              </w:rPr>
              <w:t xml:space="preserve"> return</w:t>
            </w:r>
            <w:r w:rsidR="00953E60" w:rsidRPr="00C4703C">
              <w:rPr>
                <w:rFonts w:ascii="Times New Roman" w:hAnsi="Times New Roman" w:cs="Times New Roman"/>
              </w:rPr>
              <w:t xml:space="preserve"> on the original shipment document number </w:t>
            </w:r>
            <w:r w:rsidR="005115F8" w:rsidRPr="00C4703C">
              <w:rPr>
                <w:rFonts w:ascii="Times New Roman" w:hAnsi="Times New Roman" w:cs="Times New Roman"/>
              </w:rPr>
              <w:t>(</w:t>
            </w:r>
            <w:r w:rsidR="00953E60" w:rsidRPr="00C4703C">
              <w:rPr>
                <w:rFonts w:ascii="Times New Roman" w:hAnsi="Times New Roman" w:cs="Times New Roman"/>
              </w:rPr>
              <w:t xml:space="preserve">or </w:t>
            </w:r>
            <w:r w:rsidR="005115F8" w:rsidRPr="00C4703C">
              <w:rPr>
                <w:rFonts w:ascii="Times New Roman" w:hAnsi="Times New Roman" w:cs="Times New Roman"/>
              </w:rPr>
              <w:t>alternative</w:t>
            </w:r>
            <w:r w:rsidR="00953E60" w:rsidRPr="00C4703C">
              <w:rPr>
                <w:rFonts w:ascii="Times New Roman" w:hAnsi="Times New Roman" w:cs="Times New Roman"/>
              </w:rPr>
              <w:t xml:space="preserve"> document number assigned by the item manager</w:t>
            </w:r>
            <w:r w:rsidR="005115F8" w:rsidRPr="00C4703C">
              <w:rPr>
                <w:rFonts w:ascii="Times New Roman" w:hAnsi="Times New Roman" w:cs="Times New Roman"/>
              </w:rPr>
              <w:t>)</w:t>
            </w:r>
            <w:r w:rsidR="00953E60" w:rsidRPr="00C4703C">
              <w:rPr>
                <w:rFonts w:ascii="Times New Roman" w:hAnsi="Times New Roman" w:cs="Times New Roman"/>
              </w:rPr>
              <w:t xml:space="preserve"> </w:t>
            </w:r>
            <w:r w:rsidR="005115F8" w:rsidRPr="00C4703C">
              <w:rPr>
                <w:rFonts w:ascii="Times New Roman" w:hAnsi="Times New Roman" w:cs="Times New Roman"/>
              </w:rPr>
              <w:t>and plans for corrective action</w:t>
            </w:r>
            <w:r w:rsidR="00953E60" w:rsidRPr="00C4703C">
              <w:rPr>
                <w:rFonts w:ascii="Times New Roman" w:hAnsi="Times New Roman" w:cs="Times New Roman"/>
              </w:rPr>
              <w:t>.</w:t>
            </w:r>
          </w:p>
          <w:p w:rsidR="007977AE" w:rsidRDefault="006D3134" w:rsidP="00F41E3F">
            <w:pPr>
              <w:pStyle w:val="ListParagraph"/>
              <w:numPr>
                <w:ilvl w:val="0"/>
                <w:numId w:val="11"/>
              </w:numPr>
              <w:spacing w:after="60" w:line="240" w:lineRule="auto"/>
              <w:ind w:right="72"/>
              <w:contextualSpacing w:val="0"/>
              <w:rPr>
                <w:rFonts w:ascii="Times New Roman" w:hAnsi="Times New Roman" w:cs="Times New Roman"/>
              </w:rPr>
            </w:pPr>
            <w:hyperlink r:id="rId15" w:history="1">
              <w:r w:rsidR="007977AE" w:rsidRPr="003316B8">
                <w:rPr>
                  <w:rStyle w:val="Hyperlink"/>
                  <w:rFonts w:ascii="Times New Roman" w:hAnsi="Times New Roman" w:cs="Times New Roman"/>
                </w:rPr>
                <w:t xml:space="preserve">DLA </w:t>
              </w:r>
              <w:r w:rsidR="0059201B" w:rsidRPr="003316B8">
                <w:rPr>
                  <w:rStyle w:val="Hyperlink"/>
                  <w:rFonts w:ascii="Times New Roman" w:hAnsi="Times New Roman" w:cs="Times New Roman"/>
                </w:rPr>
                <w:t xml:space="preserve">brief </w:t>
              </w:r>
              <w:r w:rsidR="007977AE" w:rsidRPr="003316B8">
                <w:rPr>
                  <w:rStyle w:val="Hyperlink"/>
                  <w:rFonts w:ascii="Times New Roman" w:hAnsi="Times New Roman" w:cs="Times New Roman"/>
                </w:rPr>
                <w:t>actions taken supporting proper accountability for quality deficient returns</w:t>
              </w:r>
            </w:hyperlink>
          </w:p>
          <w:p w:rsidR="00B16A43" w:rsidRDefault="006D3134" w:rsidP="00F41E3F">
            <w:pPr>
              <w:spacing w:after="60"/>
              <w:ind w:right="72"/>
              <w:rPr>
                <w:rStyle w:val="Hyperlink"/>
              </w:rPr>
            </w:pPr>
            <w:hyperlink r:id="rId16" w:history="1">
              <w:r w:rsidR="00B16A43" w:rsidRPr="000323AD">
                <w:rPr>
                  <w:rStyle w:val="Hyperlink"/>
                </w:rPr>
                <w:t>DLA Memorandum for PQDR Exhibit Receipt Processing</w:t>
              </w:r>
            </w:hyperlink>
          </w:p>
          <w:p w:rsidR="0004578C" w:rsidRPr="00B16A43" w:rsidRDefault="006D3134" w:rsidP="00F41E3F">
            <w:pPr>
              <w:pStyle w:val="ListParagraph"/>
              <w:numPr>
                <w:ilvl w:val="0"/>
                <w:numId w:val="11"/>
              </w:numPr>
              <w:spacing w:after="60" w:line="240" w:lineRule="auto"/>
              <w:ind w:right="72"/>
              <w:contextualSpacing w:val="0"/>
            </w:pPr>
            <w:hyperlink r:id="rId17" w:history="1">
              <w:r w:rsidR="00AE6602" w:rsidRPr="00F41E3F">
                <w:rPr>
                  <w:rStyle w:val="Hyperlink"/>
                  <w:rFonts w:ascii="Times New Roman" w:hAnsi="Times New Roman" w:cs="Times New Roman"/>
                </w:rPr>
                <w:t>PDC 1249</w:t>
              </w:r>
            </w:hyperlink>
            <w:r w:rsidR="00F41E3F">
              <w:rPr>
                <w:rFonts w:ascii="Times New Roman" w:hAnsi="Times New Roman" w:cs="Times New Roman"/>
              </w:rPr>
              <w:t xml:space="preserve"> </w:t>
            </w:r>
            <w:r w:rsidR="00F41E3F" w:rsidRPr="00F41E3F">
              <w:rPr>
                <w:rFonts w:ascii="Times New Roman" w:hAnsi="Times New Roman" w:cs="Times New Roman"/>
              </w:rPr>
              <w:t>Revised Guidance Prohibiting Reuse of Document Number for Directed Return of Discrepant/Deficient Materiel associated with DLA Distribution Ship-</w:t>
            </w:r>
            <w:r w:rsidR="00F41E3F">
              <w:rPr>
                <w:rFonts w:ascii="Times New Roman" w:hAnsi="Times New Roman" w:cs="Times New Roman"/>
              </w:rPr>
              <w:t xml:space="preserve">in-Place Processing </w:t>
            </w:r>
          </w:p>
        </w:tc>
        <w:tc>
          <w:tcPr>
            <w:tcW w:w="4015" w:type="dxa"/>
            <w:tcBorders>
              <w:right w:val="double" w:sz="4" w:space="0" w:color="auto"/>
            </w:tcBorders>
            <w:tcMar>
              <w:top w:w="58" w:type="dxa"/>
              <w:left w:w="115" w:type="dxa"/>
              <w:bottom w:w="58" w:type="dxa"/>
              <w:right w:w="115" w:type="dxa"/>
            </w:tcMar>
          </w:tcPr>
          <w:p w:rsidR="00A06E5D" w:rsidRDefault="007D5C40" w:rsidP="00504475">
            <w:pPr>
              <w:ind w:left="72"/>
              <w:jc w:val="center"/>
            </w:pPr>
            <w:r>
              <w:t>EBSO</w:t>
            </w:r>
          </w:p>
          <w:p w:rsidR="000366E3" w:rsidRPr="008F0491" w:rsidRDefault="00B71950" w:rsidP="000366E3">
            <w:pPr>
              <w:ind w:left="72"/>
              <w:jc w:val="center"/>
            </w:pPr>
            <w:r>
              <w:t xml:space="preserve">DoD </w:t>
            </w:r>
            <w:r w:rsidR="000366E3">
              <w:t>Components</w:t>
            </w:r>
          </w:p>
        </w:tc>
      </w:tr>
      <w:tr w:rsidR="0059201B" w:rsidRPr="003B0C4B" w:rsidTr="00F41E3F">
        <w:trPr>
          <w:cantSplit/>
          <w:trHeight w:val="643"/>
          <w:jc w:val="center"/>
        </w:trPr>
        <w:tc>
          <w:tcPr>
            <w:tcW w:w="661" w:type="dxa"/>
            <w:tcBorders>
              <w:left w:val="double" w:sz="4" w:space="0" w:color="auto"/>
            </w:tcBorders>
            <w:tcMar>
              <w:top w:w="58" w:type="dxa"/>
              <w:left w:w="115" w:type="dxa"/>
              <w:bottom w:w="58" w:type="dxa"/>
              <w:right w:w="115" w:type="dxa"/>
            </w:tcMar>
          </w:tcPr>
          <w:p w:rsidR="0059201B" w:rsidRDefault="0059201B" w:rsidP="00A1714C">
            <w:pPr>
              <w:pStyle w:val="ListParagraph"/>
              <w:numPr>
                <w:ilvl w:val="0"/>
                <w:numId w:val="13"/>
              </w:numPr>
              <w:jc w:val="center"/>
            </w:pPr>
          </w:p>
        </w:tc>
        <w:tc>
          <w:tcPr>
            <w:tcW w:w="6829" w:type="dxa"/>
            <w:tcMar>
              <w:top w:w="58" w:type="dxa"/>
              <w:left w:w="115" w:type="dxa"/>
              <w:bottom w:w="58" w:type="dxa"/>
              <w:right w:w="115" w:type="dxa"/>
            </w:tcMar>
          </w:tcPr>
          <w:p w:rsidR="0059201B" w:rsidRDefault="006D3134" w:rsidP="00F41E3F">
            <w:pPr>
              <w:spacing w:after="60"/>
              <w:ind w:right="72"/>
              <w:rPr>
                <w:rStyle w:val="Hyperlink"/>
              </w:rPr>
            </w:pPr>
            <w:hyperlink r:id="rId18" w:history="1">
              <w:r w:rsidR="0059201B" w:rsidRPr="00771B34">
                <w:rPr>
                  <w:rStyle w:val="Hyperlink"/>
                </w:rPr>
                <w:t>DLA Distribution ADC 1198/1198A Implementation Status</w:t>
              </w:r>
            </w:hyperlink>
          </w:p>
          <w:p w:rsidR="0004578C" w:rsidRPr="00AE6602" w:rsidRDefault="006D3134" w:rsidP="00F41E3F">
            <w:pPr>
              <w:pStyle w:val="ListParagraph"/>
              <w:numPr>
                <w:ilvl w:val="0"/>
                <w:numId w:val="17"/>
              </w:numPr>
              <w:spacing w:after="60" w:line="240" w:lineRule="auto"/>
              <w:ind w:right="72"/>
              <w:rPr>
                <w:rStyle w:val="Hyperlink"/>
                <w:rFonts w:ascii="Times New Roman" w:hAnsi="Times New Roman" w:cs="Times New Roman"/>
                <w:color w:val="auto"/>
                <w:u w:val="none"/>
              </w:rPr>
            </w:pPr>
            <w:hyperlink r:id="rId19" w:history="1">
              <w:r w:rsidR="0004578C" w:rsidRPr="00A6279B">
                <w:rPr>
                  <w:rStyle w:val="Hyperlink"/>
                  <w:rFonts w:ascii="Times New Roman" w:hAnsi="Times New Roman" w:cs="Times New Roman"/>
                </w:rPr>
                <w:t>ADC 1198</w:t>
              </w:r>
            </w:hyperlink>
            <w:r w:rsidR="00AE6602">
              <w:rPr>
                <w:rStyle w:val="Hyperlink"/>
              </w:rPr>
              <w:t xml:space="preserve"> </w:t>
            </w:r>
            <w:r w:rsidR="00AE6602" w:rsidRPr="00AE6602">
              <w:rPr>
                <w:rStyle w:val="Hyperlink"/>
                <w:rFonts w:ascii="Times New Roman" w:hAnsi="Times New Roman" w:cs="Times New Roman"/>
                <w:color w:val="auto"/>
                <w:u w:val="none"/>
              </w:rPr>
              <w:t>Establishing and Maintaining Accountability for Service Owned Capital Equipment Stored at DLA Distribution Centers</w:t>
            </w:r>
          </w:p>
          <w:p w:rsidR="0004578C" w:rsidRPr="0007231D" w:rsidRDefault="006D3134" w:rsidP="00F41E3F">
            <w:pPr>
              <w:pStyle w:val="ListParagraph"/>
              <w:numPr>
                <w:ilvl w:val="0"/>
                <w:numId w:val="17"/>
              </w:numPr>
              <w:spacing w:after="60" w:line="240" w:lineRule="auto"/>
              <w:ind w:right="72"/>
            </w:pPr>
            <w:hyperlink r:id="rId20" w:history="1">
              <w:r w:rsidR="0004578C" w:rsidRPr="00A6279B">
                <w:rPr>
                  <w:rStyle w:val="Hyperlink"/>
                  <w:rFonts w:ascii="Times New Roman" w:hAnsi="Times New Roman" w:cs="Times New Roman"/>
                </w:rPr>
                <w:t>ADC 1198A</w:t>
              </w:r>
            </w:hyperlink>
            <w:r w:rsidR="00AE6602">
              <w:rPr>
                <w:rStyle w:val="Hyperlink"/>
              </w:rPr>
              <w:t xml:space="preserve"> </w:t>
            </w:r>
            <w:r w:rsidR="00AE6602" w:rsidRPr="00AE6602">
              <w:rPr>
                <w:rFonts w:ascii="Times New Roman" w:hAnsi="Times New Roman" w:cs="Times New Roman"/>
              </w:rPr>
              <w:t>Establishing and Maintaining Accountability for Service Owned Capital Equipment Stored at DLA Distribution Centers – (Missing Serial Numbers and Remove 867I Issue Transactions)</w:t>
            </w:r>
          </w:p>
        </w:tc>
        <w:tc>
          <w:tcPr>
            <w:tcW w:w="4015" w:type="dxa"/>
            <w:tcBorders>
              <w:right w:val="double" w:sz="4" w:space="0" w:color="auto"/>
            </w:tcBorders>
            <w:tcMar>
              <w:top w:w="58" w:type="dxa"/>
              <w:left w:w="115" w:type="dxa"/>
              <w:bottom w:w="58" w:type="dxa"/>
              <w:right w:w="115" w:type="dxa"/>
            </w:tcMar>
          </w:tcPr>
          <w:p w:rsidR="0059201B" w:rsidRDefault="0059201B" w:rsidP="0059201B">
            <w:pPr>
              <w:ind w:left="72"/>
              <w:jc w:val="center"/>
            </w:pPr>
            <w:r w:rsidRPr="00E80F8C">
              <w:t>Jim Weiner</w:t>
            </w:r>
          </w:p>
          <w:p w:rsidR="003340E4" w:rsidRDefault="003340E4" w:rsidP="0059201B">
            <w:pPr>
              <w:ind w:left="72"/>
              <w:jc w:val="center"/>
            </w:pPr>
            <w:r>
              <w:t xml:space="preserve">DLA HQ </w:t>
            </w:r>
            <w:r w:rsidRPr="003340E4">
              <w:t>J345</w:t>
            </w:r>
          </w:p>
        </w:tc>
      </w:tr>
      <w:tr w:rsidR="00830D51" w:rsidRPr="003B0C4B" w:rsidTr="00F41E3F">
        <w:trPr>
          <w:cantSplit/>
          <w:trHeight w:val="1336"/>
          <w:jc w:val="center"/>
        </w:trPr>
        <w:tc>
          <w:tcPr>
            <w:tcW w:w="661" w:type="dxa"/>
            <w:tcBorders>
              <w:left w:val="double" w:sz="4" w:space="0" w:color="auto"/>
            </w:tcBorders>
            <w:tcMar>
              <w:top w:w="58" w:type="dxa"/>
              <w:left w:w="115" w:type="dxa"/>
              <w:bottom w:w="58" w:type="dxa"/>
              <w:right w:w="115" w:type="dxa"/>
            </w:tcMar>
          </w:tcPr>
          <w:p w:rsidR="00830D51" w:rsidRPr="008F0491" w:rsidRDefault="00830D51" w:rsidP="00A1714C">
            <w:pPr>
              <w:pStyle w:val="ListParagraph"/>
              <w:numPr>
                <w:ilvl w:val="0"/>
                <w:numId w:val="13"/>
              </w:numPr>
              <w:jc w:val="center"/>
            </w:pPr>
          </w:p>
        </w:tc>
        <w:tc>
          <w:tcPr>
            <w:tcW w:w="6829" w:type="dxa"/>
            <w:tcMar>
              <w:top w:w="58" w:type="dxa"/>
              <w:left w:w="115" w:type="dxa"/>
              <w:bottom w:w="58" w:type="dxa"/>
              <w:right w:w="115" w:type="dxa"/>
            </w:tcMar>
          </w:tcPr>
          <w:p w:rsidR="00830D51" w:rsidRPr="0007231D" w:rsidRDefault="006D3134" w:rsidP="00830D51">
            <w:pPr>
              <w:ind w:right="72"/>
              <w:jc w:val="center"/>
            </w:pPr>
            <w:hyperlink r:id="rId21" w:history="1">
              <w:r w:rsidR="00830D51" w:rsidRPr="005B5238">
                <w:rPr>
                  <w:rStyle w:val="Hyperlink"/>
                </w:rPr>
                <w:t>PDC 1244</w:t>
              </w:r>
              <w:r w:rsidR="00B71950" w:rsidRPr="005B5238">
                <w:rPr>
                  <w:rStyle w:val="Hyperlink"/>
                </w:rPr>
                <w:t>,</w:t>
              </w:r>
              <w:r w:rsidR="00830D51" w:rsidRPr="005B5238">
                <w:rPr>
                  <w:rStyle w:val="Hyperlink"/>
                </w:rPr>
                <w:t xml:space="preserve"> Establishing Visibility of Unique Item Tracking (UIT) Program Items for Service-Owned Assets Stored at DLA Distribution Centers under DOD Item Unique Identification (IUID) Supply Policy</w:t>
              </w:r>
            </w:hyperlink>
          </w:p>
        </w:tc>
        <w:tc>
          <w:tcPr>
            <w:tcW w:w="4015" w:type="dxa"/>
            <w:tcBorders>
              <w:right w:val="double" w:sz="4" w:space="0" w:color="auto"/>
            </w:tcBorders>
            <w:tcMar>
              <w:top w:w="58" w:type="dxa"/>
              <w:left w:w="115" w:type="dxa"/>
              <w:bottom w:w="58" w:type="dxa"/>
              <w:right w:w="115" w:type="dxa"/>
            </w:tcMar>
          </w:tcPr>
          <w:p w:rsidR="00830D51" w:rsidRPr="008F0491" w:rsidDel="00967258" w:rsidRDefault="00830D51" w:rsidP="00227A36">
            <w:pPr>
              <w:ind w:left="72"/>
              <w:jc w:val="center"/>
            </w:pPr>
            <w:r>
              <w:t>EBSO</w:t>
            </w:r>
          </w:p>
        </w:tc>
      </w:tr>
      <w:tr w:rsidR="00830D51" w:rsidRPr="003B0C4B" w:rsidTr="00F41E3F">
        <w:trPr>
          <w:cantSplit/>
          <w:trHeight w:val="706"/>
          <w:jc w:val="center"/>
        </w:trPr>
        <w:tc>
          <w:tcPr>
            <w:tcW w:w="661" w:type="dxa"/>
            <w:tcBorders>
              <w:left w:val="double" w:sz="4" w:space="0" w:color="auto"/>
            </w:tcBorders>
            <w:tcMar>
              <w:top w:w="58" w:type="dxa"/>
              <w:left w:w="115" w:type="dxa"/>
              <w:bottom w:w="58" w:type="dxa"/>
              <w:right w:w="115" w:type="dxa"/>
            </w:tcMar>
          </w:tcPr>
          <w:p w:rsidR="00830D51" w:rsidRPr="008F0491" w:rsidRDefault="00830D51" w:rsidP="00A1714C">
            <w:pPr>
              <w:pStyle w:val="ListParagraph"/>
              <w:numPr>
                <w:ilvl w:val="0"/>
                <w:numId w:val="13"/>
              </w:numPr>
              <w:jc w:val="center"/>
            </w:pPr>
          </w:p>
        </w:tc>
        <w:tc>
          <w:tcPr>
            <w:tcW w:w="6829" w:type="dxa"/>
            <w:tcMar>
              <w:top w:w="58" w:type="dxa"/>
              <w:left w:w="115" w:type="dxa"/>
              <w:bottom w:w="58" w:type="dxa"/>
              <w:right w:w="115" w:type="dxa"/>
            </w:tcMar>
          </w:tcPr>
          <w:p w:rsidR="00830D51" w:rsidRDefault="00C4703C" w:rsidP="00C4703C">
            <w:pPr>
              <w:spacing w:after="60"/>
              <w:ind w:right="72"/>
            </w:pPr>
            <w:r>
              <w:t xml:space="preserve"> </w:t>
            </w:r>
            <w:hyperlink r:id="rId22" w:history="1">
              <w:r w:rsidR="00830D51" w:rsidRPr="005B5238">
                <w:rPr>
                  <w:rStyle w:val="Hyperlink"/>
                </w:rPr>
                <w:t>Materiel Receipt Acknowledgement (MRA) Report Update</w:t>
              </w:r>
            </w:hyperlink>
          </w:p>
          <w:p w:rsidR="00EB72ED" w:rsidRDefault="00830D51" w:rsidP="00C4703C">
            <w:pPr>
              <w:pStyle w:val="ListParagraph"/>
              <w:numPr>
                <w:ilvl w:val="0"/>
                <w:numId w:val="11"/>
              </w:numPr>
              <w:spacing w:after="60" w:line="240" w:lineRule="auto"/>
              <w:ind w:right="72"/>
              <w:contextualSpacing w:val="0"/>
              <w:rPr>
                <w:rFonts w:ascii="Times New Roman" w:hAnsi="Times New Roman" w:cs="Times New Roman"/>
              </w:rPr>
            </w:pPr>
            <w:r w:rsidRPr="00C4703C">
              <w:rPr>
                <w:rFonts w:ascii="Times New Roman" w:hAnsi="Times New Roman" w:cs="Times New Roman"/>
              </w:rPr>
              <w:t xml:space="preserve">Components </w:t>
            </w:r>
            <w:r w:rsidR="002D5BC4" w:rsidRPr="00C4703C">
              <w:rPr>
                <w:rFonts w:ascii="Times New Roman" w:hAnsi="Times New Roman" w:cs="Times New Roman"/>
              </w:rPr>
              <w:t>brief</w:t>
            </w:r>
            <w:r w:rsidRPr="00C4703C">
              <w:rPr>
                <w:rFonts w:ascii="Times New Roman" w:hAnsi="Times New Roman" w:cs="Times New Roman"/>
              </w:rPr>
              <w:t xml:space="preserve"> how they us</w:t>
            </w:r>
            <w:r w:rsidR="00EB72ED" w:rsidRPr="00C4703C">
              <w:rPr>
                <w:rFonts w:ascii="Times New Roman" w:hAnsi="Times New Roman" w:cs="Times New Roman"/>
              </w:rPr>
              <w:t>e</w:t>
            </w:r>
            <w:r w:rsidRPr="00C4703C">
              <w:rPr>
                <w:rFonts w:ascii="Times New Roman" w:hAnsi="Times New Roman" w:cs="Times New Roman"/>
              </w:rPr>
              <w:t xml:space="preserve"> the MRA Reports tool available on the Defense Automatic Addressing System (DAAS) portal to review their MRA data to identify potential deficiencies in their Component MRA operations or procedures.</w:t>
            </w:r>
          </w:p>
          <w:p w:rsidR="00FA2C6D" w:rsidRPr="00C4703C" w:rsidRDefault="006D3134" w:rsidP="00FA2C6D">
            <w:pPr>
              <w:pStyle w:val="ListParagraph"/>
              <w:numPr>
                <w:ilvl w:val="0"/>
                <w:numId w:val="11"/>
              </w:numPr>
              <w:spacing w:after="60" w:line="240" w:lineRule="auto"/>
              <w:ind w:right="72"/>
              <w:contextualSpacing w:val="0"/>
              <w:rPr>
                <w:rFonts w:ascii="Times New Roman" w:hAnsi="Times New Roman" w:cs="Times New Roman"/>
              </w:rPr>
            </w:pPr>
            <w:hyperlink r:id="rId23" w:history="1">
              <w:r w:rsidR="00FA2C6D" w:rsidRPr="00FA2C6D">
                <w:rPr>
                  <w:rStyle w:val="Hyperlink"/>
                  <w:rFonts w:ascii="Times New Roman" w:hAnsi="Times New Roman" w:cs="Times New Roman"/>
                </w:rPr>
                <w:t>DLA MRA Logic</w:t>
              </w:r>
            </w:hyperlink>
          </w:p>
          <w:p w:rsidR="00830D51" w:rsidRPr="0007231D" w:rsidRDefault="000F4F38" w:rsidP="00C4703C">
            <w:pPr>
              <w:pStyle w:val="ListParagraph"/>
              <w:numPr>
                <w:ilvl w:val="0"/>
                <w:numId w:val="11"/>
              </w:numPr>
              <w:spacing w:after="60" w:line="240" w:lineRule="auto"/>
              <w:ind w:right="72"/>
              <w:contextualSpacing w:val="0"/>
            </w:pPr>
            <w:r w:rsidRPr="00C4703C">
              <w:rPr>
                <w:rFonts w:ascii="Times New Roman" w:hAnsi="Times New Roman" w:cs="Times New Roman"/>
              </w:rPr>
              <w:t xml:space="preserve">Refer to DLMS, Volume 2, Chapter 10, paragraph C10.2.10.2.1, </w:t>
            </w:r>
            <w:r w:rsidR="00EB72ED" w:rsidRPr="00C4703C">
              <w:rPr>
                <w:rFonts w:ascii="Times New Roman" w:hAnsi="Times New Roman" w:cs="Times New Roman"/>
              </w:rPr>
              <w:t>“</w:t>
            </w:r>
            <w:r w:rsidRPr="00C4703C">
              <w:rPr>
                <w:rFonts w:ascii="Times New Roman" w:hAnsi="Times New Roman" w:cs="Times New Roman"/>
              </w:rPr>
              <w:t>Each Supply Process Review Committee representative is responsible for analysis of the report to identify potential deficiencies in their Service or Agency MRA operations or procedures contributing to breakdowns in internal controls for intransit wholesale stock.  Supply Process Review Committee representatives are responsible for initiating corrective action with delinquent and non-reporting activities.</w:t>
            </w:r>
            <w:r w:rsidR="00EB72ED" w:rsidRPr="00C4703C">
              <w:rPr>
                <w:rFonts w:ascii="Times New Roman" w:hAnsi="Times New Roman" w:cs="Times New Roman"/>
              </w:rPr>
              <w:t>”</w:t>
            </w:r>
          </w:p>
        </w:tc>
        <w:tc>
          <w:tcPr>
            <w:tcW w:w="4015" w:type="dxa"/>
            <w:tcBorders>
              <w:right w:val="double" w:sz="4" w:space="0" w:color="auto"/>
            </w:tcBorders>
            <w:tcMar>
              <w:top w:w="58" w:type="dxa"/>
              <w:left w:w="115" w:type="dxa"/>
              <w:bottom w:w="58" w:type="dxa"/>
              <w:right w:w="115" w:type="dxa"/>
            </w:tcMar>
          </w:tcPr>
          <w:p w:rsidR="00830D51" w:rsidRPr="008F0491" w:rsidRDefault="00830D51" w:rsidP="00227A36">
            <w:pPr>
              <w:ind w:left="72"/>
              <w:jc w:val="center"/>
            </w:pPr>
            <w:r>
              <w:t>DoD Components</w:t>
            </w:r>
          </w:p>
        </w:tc>
      </w:tr>
      <w:tr w:rsidR="0059201B" w:rsidRPr="003B0C4B" w:rsidTr="00F41E3F">
        <w:trPr>
          <w:cantSplit/>
          <w:trHeight w:val="571"/>
          <w:jc w:val="center"/>
        </w:trPr>
        <w:tc>
          <w:tcPr>
            <w:tcW w:w="661" w:type="dxa"/>
            <w:tcBorders>
              <w:left w:val="double" w:sz="4" w:space="0" w:color="auto"/>
            </w:tcBorders>
            <w:tcMar>
              <w:top w:w="58" w:type="dxa"/>
              <w:left w:w="115" w:type="dxa"/>
              <w:bottom w:w="58" w:type="dxa"/>
              <w:right w:w="115" w:type="dxa"/>
            </w:tcMar>
          </w:tcPr>
          <w:p w:rsidR="0059201B" w:rsidRPr="00830D51" w:rsidRDefault="0059201B" w:rsidP="00A1714C">
            <w:pPr>
              <w:pStyle w:val="ListParagraph"/>
              <w:numPr>
                <w:ilvl w:val="0"/>
                <w:numId w:val="13"/>
              </w:numPr>
              <w:jc w:val="center"/>
            </w:pPr>
          </w:p>
        </w:tc>
        <w:tc>
          <w:tcPr>
            <w:tcW w:w="6829" w:type="dxa"/>
            <w:tcMar>
              <w:top w:w="58" w:type="dxa"/>
              <w:left w:w="115" w:type="dxa"/>
              <w:bottom w:w="58" w:type="dxa"/>
              <w:right w:w="115" w:type="dxa"/>
            </w:tcMar>
          </w:tcPr>
          <w:p w:rsidR="0059201B" w:rsidRPr="0007231D" w:rsidRDefault="006D3134" w:rsidP="0059201B">
            <w:pPr>
              <w:ind w:right="72"/>
              <w:jc w:val="center"/>
            </w:pPr>
            <w:hyperlink r:id="rId24" w:history="1">
              <w:r w:rsidR="002D5BC4" w:rsidRPr="00E53C4C">
                <w:rPr>
                  <w:rStyle w:val="Hyperlink"/>
                </w:rPr>
                <w:t>DLMS eLearning Update</w:t>
              </w:r>
            </w:hyperlink>
          </w:p>
        </w:tc>
        <w:tc>
          <w:tcPr>
            <w:tcW w:w="4015" w:type="dxa"/>
            <w:tcBorders>
              <w:right w:val="double" w:sz="4" w:space="0" w:color="auto"/>
            </w:tcBorders>
            <w:tcMar>
              <w:top w:w="58" w:type="dxa"/>
              <w:left w:w="115" w:type="dxa"/>
              <w:bottom w:w="58" w:type="dxa"/>
              <w:right w:w="115" w:type="dxa"/>
            </w:tcMar>
          </w:tcPr>
          <w:p w:rsidR="002D5BC4" w:rsidRDefault="002D5BC4" w:rsidP="002D5BC4">
            <w:pPr>
              <w:ind w:left="72"/>
              <w:jc w:val="center"/>
            </w:pPr>
            <w:r>
              <w:t>Sylvia Williams</w:t>
            </w:r>
          </w:p>
          <w:p w:rsidR="0059201B" w:rsidRDefault="002D5BC4" w:rsidP="00EC24A0">
            <w:pPr>
              <w:spacing w:after="120"/>
              <w:ind w:left="72"/>
              <w:jc w:val="center"/>
            </w:pPr>
            <w:r>
              <w:t>EBSO</w:t>
            </w:r>
          </w:p>
        </w:tc>
      </w:tr>
      <w:tr w:rsidR="00830D51" w:rsidRPr="003B0C4B" w:rsidTr="00F41E3F">
        <w:trPr>
          <w:cantSplit/>
          <w:trHeight w:val="391"/>
          <w:jc w:val="center"/>
        </w:trPr>
        <w:tc>
          <w:tcPr>
            <w:tcW w:w="11505" w:type="dxa"/>
            <w:gridSpan w:val="3"/>
            <w:tcBorders>
              <w:left w:val="double" w:sz="4" w:space="0" w:color="auto"/>
              <w:right w:val="double" w:sz="4" w:space="0" w:color="auto"/>
            </w:tcBorders>
            <w:tcMar>
              <w:top w:w="58" w:type="dxa"/>
              <w:left w:w="115" w:type="dxa"/>
              <w:bottom w:w="58" w:type="dxa"/>
              <w:right w:w="115" w:type="dxa"/>
            </w:tcMar>
          </w:tcPr>
          <w:p w:rsidR="00830D51" w:rsidRDefault="00830D51" w:rsidP="00830D51">
            <w:pPr>
              <w:ind w:left="72"/>
              <w:jc w:val="center"/>
            </w:pPr>
            <w:r w:rsidRPr="0034043A">
              <w:rPr>
                <w:b/>
              </w:rPr>
              <w:t>Day 2, November 16, 2017</w:t>
            </w:r>
            <w:r w:rsidR="003340E4">
              <w:rPr>
                <w:b/>
              </w:rPr>
              <w:t xml:space="preserve">  8:30AM</w:t>
            </w:r>
            <w:r w:rsidR="00B74434">
              <w:rPr>
                <w:b/>
              </w:rPr>
              <w:t>-2PM</w:t>
            </w:r>
          </w:p>
        </w:tc>
      </w:tr>
      <w:tr w:rsidR="002D5BC4" w:rsidRPr="00504475" w:rsidTr="00F41E3F">
        <w:trPr>
          <w:cantSplit/>
          <w:trHeight w:val="661"/>
          <w:jc w:val="center"/>
        </w:trPr>
        <w:tc>
          <w:tcPr>
            <w:tcW w:w="661" w:type="dxa"/>
            <w:tcBorders>
              <w:left w:val="double" w:sz="4" w:space="0" w:color="auto"/>
            </w:tcBorders>
            <w:tcMar>
              <w:top w:w="58" w:type="dxa"/>
              <w:left w:w="115" w:type="dxa"/>
              <w:bottom w:w="58" w:type="dxa"/>
              <w:right w:w="115" w:type="dxa"/>
            </w:tcMar>
          </w:tcPr>
          <w:p w:rsidR="002D5BC4" w:rsidRPr="00504475" w:rsidRDefault="002D5BC4" w:rsidP="00B359D7">
            <w:pPr>
              <w:pStyle w:val="ListParagraph"/>
              <w:numPr>
                <w:ilvl w:val="0"/>
                <w:numId w:val="13"/>
              </w:numPr>
              <w:jc w:val="center"/>
            </w:pPr>
          </w:p>
        </w:tc>
        <w:tc>
          <w:tcPr>
            <w:tcW w:w="6829" w:type="dxa"/>
            <w:tcMar>
              <w:top w:w="58" w:type="dxa"/>
              <w:left w:w="115" w:type="dxa"/>
              <w:bottom w:w="58" w:type="dxa"/>
              <w:right w:w="115" w:type="dxa"/>
            </w:tcMar>
          </w:tcPr>
          <w:p w:rsidR="002D5BC4" w:rsidRPr="005702F6" w:rsidRDefault="006D3134" w:rsidP="002D5BC4">
            <w:pPr>
              <w:pStyle w:val="PlainText"/>
              <w:jc w:val="center"/>
              <w:rPr>
                <w:rFonts w:ascii="Times New Roman" w:hAnsi="Times New Roman" w:cs="Times New Roman"/>
                <w:sz w:val="24"/>
                <w:szCs w:val="24"/>
              </w:rPr>
            </w:pPr>
            <w:hyperlink r:id="rId25" w:history="1">
              <w:r w:rsidR="002D5BC4" w:rsidRPr="005B5238">
                <w:rPr>
                  <w:rStyle w:val="Hyperlink"/>
                  <w:rFonts w:ascii="Times New Roman" w:hAnsi="Times New Roman" w:cs="Times New Roman"/>
                  <w:sz w:val="24"/>
                  <w:szCs w:val="24"/>
                </w:rPr>
                <w:t>Suspended Asset Brief</w:t>
              </w:r>
            </w:hyperlink>
          </w:p>
        </w:tc>
        <w:tc>
          <w:tcPr>
            <w:tcW w:w="4015" w:type="dxa"/>
            <w:tcBorders>
              <w:right w:val="double" w:sz="4" w:space="0" w:color="auto"/>
            </w:tcBorders>
            <w:tcMar>
              <w:top w:w="58" w:type="dxa"/>
              <w:left w:w="115" w:type="dxa"/>
              <w:bottom w:w="58" w:type="dxa"/>
              <w:right w:w="115" w:type="dxa"/>
            </w:tcMar>
          </w:tcPr>
          <w:p w:rsidR="002D5BC4" w:rsidRDefault="002D5BC4" w:rsidP="002D5BC4">
            <w:pPr>
              <w:ind w:left="72"/>
              <w:jc w:val="center"/>
            </w:pPr>
            <w:r>
              <w:t>George Berkery</w:t>
            </w:r>
          </w:p>
          <w:p w:rsidR="002D5BC4" w:rsidRPr="00504475" w:rsidRDefault="002D5BC4" w:rsidP="002D5BC4">
            <w:pPr>
              <w:ind w:left="72"/>
              <w:jc w:val="center"/>
            </w:pPr>
            <w:r>
              <w:t>DLA HQ TQ</w:t>
            </w:r>
          </w:p>
        </w:tc>
      </w:tr>
      <w:tr w:rsidR="002D5BC4" w:rsidRPr="00504475" w:rsidTr="00F41E3F">
        <w:trPr>
          <w:cantSplit/>
          <w:trHeight w:val="931"/>
          <w:jc w:val="center"/>
        </w:trPr>
        <w:tc>
          <w:tcPr>
            <w:tcW w:w="661" w:type="dxa"/>
            <w:tcBorders>
              <w:left w:val="double" w:sz="4" w:space="0" w:color="auto"/>
            </w:tcBorders>
            <w:tcMar>
              <w:top w:w="58" w:type="dxa"/>
              <w:left w:w="115" w:type="dxa"/>
              <w:bottom w:w="58" w:type="dxa"/>
              <w:right w:w="115" w:type="dxa"/>
            </w:tcMar>
          </w:tcPr>
          <w:p w:rsidR="002D5BC4" w:rsidRDefault="002D5BC4" w:rsidP="00B359D7">
            <w:pPr>
              <w:pStyle w:val="ListParagraph"/>
              <w:numPr>
                <w:ilvl w:val="0"/>
                <w:numId w:val="13"/>
              </w:numPr>
              <w:jc w:val="center"/>
            </w:pPr>
          </w:p>
        </w:tc>
        <w:tc>
          <w:tcPr>
            <w:tcW w:w="6829" w:type="dxa"/>
            <w:tcMar>
              <w:top w:w="58" w:type="dxa"/>
              <w:left w:w="115" w:type="dxa"/>
              <w:bottom w:w="58" w:type="dxa"/>
              <w:right w:w="115" w:type="dxa"/>
            </w:tcMar>
          </w:tcPr>
          <w:p w:rsidR="002D5BC4" w:rsidRDefault="006D3134" w:rsidP="002D5BC4">
            <w:pPr>
              <w:pStyle w:val="PlainText"/>
              <w:jc w:val="center"/>
              <w:rPr>
                <w:rFonts w:ascii="Times New Roman" w:hAnsi="Times New Roman" w:cs="Times New Roman"/>
                <w:sz w:val="24"/>
                <w:szCs w:val="24"/>
              </w:rPr>
            </w:pPr>
            <w:hyperlink r:id="rId26" w:history="1">
              <w:r w:rsidR="002D5BC4" w:rsidRPr="000323AD">
                <w:rPr>
                  <w:rStyle w:val="Hyperlink"/>
                  <w:rFonts w:ascii="Times New Roman" w:hAnsi="Times New Roman" w:cs="Times New Roman"/>
                  <w:sz w:val="24"/>
                  <w:szCs w:val="24"/>
                </w:rPr>
                <w:t>Updating the SDR/SQCR Discrepant Quantity to Accurately Reflect Suspended Inventory Balance</w:t>
              </w:r>
            </w:hyperlink>
          </w:p>
        </w:tc>
        <w:tc>
          <w:tcPr>
            <w:tcW w:w="4015" w:type="dxa"/>
            <w:tcBorders>
              <w:right w:val="double" w:sz="4" w:space="0" w:color="auto"/>
            </w:tcBorders>
            <w:tcMar>
              <w:top w:w="58" w:type="dxa"/>
              <w:left w:w="115" w:type="dxa"/>
              <w:bottom w:w="58" w:type="dxa"/>
              <w:right w:w="115" w:type="dxa"/>
            </w:tcMar>
          </w:tcPr>
          <w:p w:rsidR="002D5BC4" w:rsidRDefault="002D5BC4" w:rsidP="002D5BC4">
            <w:pPr>
              <w:ind w:left="72"/>
              <w:jc w:val="center"/>
            </w:pPr>
            <w:r>
              <w:t>George Berkery</w:t>
            </w:r>
          </w:p>
          <w:p w:rsidR="002D5BC4" w:rsidRDefault="002D5BC4" w:rsidP="002D5BC4">
            <w:pPr>
              <w:ind w:left="72"/>
              <w:jc w:val="center"/>
            </w:pPr>
            <w:r>
              <w:t>DLA HQ TQ</w:t>
            </w:r>
          </w:p>
          <w:p w:rsidR="002D5BC4" w:rsidRDefault="002D5BC4" w:rsidP="002D5BC4">
            <w:pPr>
              <w:ind w:left="72"/>
              <w:jc w:val="center"/>
            </w:pPr>
            <w:r>
              <w:t>Ben Breen</w:t>
            </w:r>
          </w:p>
          <w:p w:rsidR="002D5BC4" w:rsidRDefault="002D5BC4" w:rsidP="002D5BC4">
            <w:pPr>
              <w:ind w:left="72"/>
              <w:jc w:val="center"/>
            </w:pPr>
            <w:r>
              <w:t>EBSO</w:t>
            </w:r>
          </w:p>
        </w:tc>
      </w:tr>
      <w:tr w:rsidR="002D5BC4" w:rsidRPr="001C7938" w:rsidTr="00F41E3F">
        <w:trPr>
          <w:cantSplit/>
          <w:trHeight w:val="661"/>
          <w:jc w:val="center"/>
        </w:trPr>
        <w:tc>
          <w:tcPr>
            <w:tcW w:w="661" w:type="dxa"/>
            <w:tcBorders>
              <w:left w:val="double" w:sz="4" w:space="0" w:color="auto"/>
            </w:tcBorders>
            <w:tcMar>
              <w:top w:w="58" w:type="dxa"/>
              <w:left w:w="115" w:type="dxa"/>
              <w:bottom w:w="58" w:type="dxa"/>
              <w:right w:w="115" w:type="dxa"/>
            </w:tcMar>
          </w:tcPr>
          <w:p w:rsidR="002D5BC4" w:rsidRDefault="002D5BC4" w:rsidP="00B359D7">
            <w:pPr>
              <w:pStyle w:val="ListParagraph"/>
              <w:numPr>
                <w:ilvl w:val="0"/>
                <w:numId w:val="13"/>
              </w:numPr>
              <w:jc w:val="center"/>
            </w:pPr>
          </w:p>
        </w:tc>
        <w:tc>
          <w:tcPr>
            <w:tcW w:w="6829" w:type="dxa"/>
            <w:tcMar>
              <w:top w:w="58" w:type="dxa"/>
              <w:left w:w="115" w:type="dxa"/>
              <w:bottom w:w="58" w:type="dxa"/>
              <w:right w:w="115" w:type="dxa"/>
            </w:tcMar>
          </w:tcPr>
          <w:p w:rsidR="009A7963" w:rsidRPr="009A7963" w:rsidRDefault="006D3134" w:rsidP="009A7963">
            <w:pPr>
              <w:pStyle w:val="PlainText"/>
              <w:numPr>
                <w:ilvl w:val="0"/>
                <w:numId w:val="15"/>
              </w:numPr>
              <w:rPr>
                <w:rFonts w:ascii="Times New Roman" w:hAnsi="Times New Roman" w:cs="Times New Roman"/>
                <w:sz w:val="24"/>
                <w:szCs w:val="24"/>
              </w:rPr>
            </w:pPr>
            <w:hyperlink r:id="rId27" w:history="1">
              <w:r w:rsidR="009A7963" w:rsidRPr="000323AD">
                <w:rPr>
                  <w:rStyle w:val="Hyperlink"/>
                  <w:rFonts w:ascii="Times New Roman" w:hAnsi="Times New Roman" w:cs="Times New Roman"/>
                  <w:sz w:val="24"/>
                  <w:szCs w:val="24"/>
                </w:rPr>
                <w:t>FIAR &amp; Enterprise Risk Management (ERM)</w:t>
              </w:r>
            </w:hyperlink>
          </w:p>
          <w:p w:rsidR="009A7963" w:rsidRPr="009A7963" w:rsidRDefault="009A7963" w:rsidP="009A7963">
            <w:pPr>
              <w:pStyle w:val="PlainText"/>
              <w:numPr>
                <w:ilvl w:val="0"/>
                <w:numId w:val="15"/>
              </w:numPr>
              <w:rPr>
                <w:rFonts w:ascii="Times New Roman" w:hAnsi="Times New Roman" w:cs="Times New Roman"/>
                <w:sz w:val="24"/>
                <w:szCs w:val="24"/>
              </w:rPr>
            </w:pPr>
            <w:r w:rsidRPr="009A7963">
              <w:rPr>
                <w:rFonts w:ascii="Times New Roman" w:hAnsi="Times New Roman" w:cs="Times New Roman"/>
                <w:sz w:val="24"/>
                <w:szCs w:val="24"/>
              </w:rPr>
              <w:t>Supply and Finance Policy Alignment IPT</w:t>
            </w:r>
          </w:p>
          <w:p w:rsidR="00F6274C" w:rsidRDefault="009A7963" w:rsidP="00E45739">
            <w:pPr>
              <w:pStyle w:val="PlainText"/>
              <w:numPr>
                <w:ilvl w:val="0"/>
                <w:numId w:val="15"/>
              </w:numPr>
              <w:rPr>
                <w:rFonts w:ascii="Times New Roman" w:hAnsi="Times New Roman" w:cs="Times New Roman"/>
                <w:sz w:val="24"/>
                <w:szCs w:val="24"/>
              </w:rPr>
            </w:pPr>
            <w:r w:rsidRPr="009A7963">
              <w:rPr>
                <w:rFonts w:ascii="Times New Roman" w:hAnsi="Times New Roman" w:cs="Times New Roman"/>
                <w:sz w:val="24"/>
                <w:szCs w:val="24"/>
              </w:rPr>
              <w:t>DLMS IPT</w:t>
            </w:r>
          </w:p>
          <w:p w:rsidR="009A7963" w:rsidRPr="009A7963" w:rsidRDefault="009A7963" w:rsidP="009A7963">
            <w:pPr>
              <w:pStyle w:val="PlainText"/>
              <w:rPr>
                <w:rFonts w:ascii="Times New Roman" w:hAnsi="Times New Roman" w:cs="Times New Roman"/>
                <w:sz w:val="24"/>
                <w:szCs w:val="24"/>
              </w:rPr>
            </w:pPr>
          </w:p>
          <w:p w:rsidR="002D5BC4" w:rsidRPr="001E4931" w:rsidRDefault="006D3134" w:rsidP="00160A05">
            <w:pPr>
              <w:pStyle w:val="PlainText"/>
              <w:numPr>
                <w:ilvl w:val="0"/>
                <w:numId w:val="15"/>
              </w:numPr>
              <w:rPr>
                <w:rFonts w:ascii="Times New Roman" w:hAnsi="Times New Roman" w:cs="Times New Roman"/>
                <w:sz w:val="24"/>
                <w:szCs w:val="24"/>
              </w:rPr>
            </w:pPr>
            <w:hyperlink r:id="rId28" w:history="1">
              <w:r w:rsidR="001E4931" w:rsidRPr="00E24548">
                <w:rPr>
                  <w:rStyle w:val="Hyperlink"/>
                  <w:rFonts w:ascii="Times New Roman" w:hAnsi="Times New Roman" w:cs="Times New Roman"/>
                  <w:sz w:val="24"/>
                  <w:szCs w:val="24"/>
                </w:rPr>
                <w:t>DLMS Compliance</w:t>
              </w:r>
            </w:hyperlink>
            <w:bookmarkStart w:id="0" w:name="_GoBack"/>
            <w:bookmarkEnd w:id="0"/>
          </w:p>
        </w:tc>
        <w:tc>
          <w:tcPr>
            <w:tcW w:w="4015" w:type="dxa"/>
            <w:tcBorders>
              <w:right w:val="double" w:sz="4" w:space="0" w:color="auto"/>
            </w:tcBorders>
            <w:tcMar>
              <w:top w:w="58" w:type="dxa"/>
              <w:left w:w="115" w:type="dxa"/>
              <w:bottom w:w="58" w:type="dxa"/>
              <w:right w:w="115" w:type="dxa"/>
            </w:tcMar>
          </w:tcPr>
          <w:p w:rsidR="00F6274C" w:rsidRDefault="00F6274C" w:rsidP="002D5BC4">
            <w:pPr>
              <w:jc w:val="center"/>
            </w:pPr>
            <w:r>
              <w:t>Robert Carroll</w:t>
            </w:r>
          </w:p>
          <w:p w:rsidR="00F6274C" w:rsidRDefault="00F6274C" w:rsidP="002D5BC4">
            <w:pPr>
              <w:jc w:val="center"/>
            </w:pPr>
            <w:r w:rsidRPr="00F6274C">
              <w:t>ODASD(SCI)</w:t>
            </w:r>
          </w:p>
          <w:p w:rsidR="00F6274C" w:rsidRDefault="00F6274C" w:rsidP="002D5BC4">
            <w:pPr>
              <w:jc w:val="center"/>
            </w:pPr>
          </w:p>
          <w:p w:rsidR="009A7963" w:rsidRDefault="009A7963" w:rsidP="002D5BC4">
            <w:pPr>
              <w:jc w:val="center"/>
            </w:pPr>
          </w:p>
          <w:p w:rsidR="00A21A48" w:rsidRDefault="00A21A48" w:rsidP="002D5BC4">
            <w:pPr>
              <w:jc w:val="center"/>
            </w:pPr>
            <w:r>
              <w:t>Eric Flanagan</w:t>
            </w:r>
          </w:p>
          <w:p w:rsidR="002D5BC4" w:rsidRDefault="001E4931" w:rsidP="002D5BC4">
            <w:pPr>
              <w:jc w:val="center"/>
            </w:pPr>
            <w:r>
              <w:t>EBSO</w:t>
            </w:r>
          </w:p>
        </w:tc>
      </w:tr>
      <w:tr w:rsidR="002D5BC4" w:rsidRPr="001C7938" w:rsidTr="00F41E3F">
        <w:trPr>
          <w:cantSplit/>
          <w:trHeight w:val="418"/>
          <w:jc w:val="center"/>
        </w:trPr>
        <w:tc>
          <w:tcPr>
            <w:tcW w:w="661" w:type="dxa"/>
            <w:tcBorders>
              <w:left w:val="double" w:sz="4" w:space="0" w:color="auto"/>
            </w:tcBorders>
            <w:tcMar>
              <w:top w:w="58" w:type="dxa"/>
              <w:left w:w="115" w:type="dxa"/>
              <w:bottom w:w="58" w:type="dxa"/>
              <w:right w:w="115" w:type="dxa"/>
            </w:tcMar>
          </w:tcPr>
          <w:p w:rsidR="002D5BC4" w:rsidRPr="008F0491" w:rsidRDefault="002D5BC4" w:rsidP="00B359D7">
            <w:pPr>
              <w:pStyle w:val="ListParagraph"/>
              <w:numPr>
                <w:ilvl w:val="0"/>
                <w:numId w:val="13"/>
              </w:numPr>
              <w:jc w:val="center"/>
            </w:pPr>
          </w:p>
        </w:tc>
        <w:tc>
          <w:tcPr>
            <w:tcW w:w="6829" w:type="dxa"/>
            <w:tcMar>
              <w:top w:w="58" w:type="dxa"/>
              <w:left w:w="115" w:type="dxa"/>
              <w:bottom w:w="58" w:type="dxa"/>
              <w:right w:w="115" w:type="dxa"/>
            </w:tcMar>
          </w:tcPr>
          <w:p w:rsidR="002D5BC4" w:rsidRPr="001E4931" w:rsidRDefault="006D3134" w:rsidP="002D5BC4">
            <w:pPr>
              <w:pStyle w:val="PlainText"/>
              <w:jc w:val="center"/>
              <w:rPr>
                <w:rFonts w:ascii="Times New Roman" w:hAnsi="Times New Roman" w:cs="Times New Roman"/>
                <w:sz w:val="24"/>
                <w:szCs w:val="24"/>
              </w:rPr>
            </w:pPr>
            <w:hyperlink r:id="rId29" w:history="1">
              <w:r w:rsidR="001E4931" w:rsidRPr="0084231B">
                <w:rPr>
                  <w:rStyle w:val="Hyperlink"/>
                  <w:rFonts w:ascii="Times New Roman" w:hAnsi="Times New Roman" w:cs="Times New Roman"/>
                  <w:sz w:val="24"/>
                  <w:szCs w:val="24"/>
                </w:rPr>
                <w:t>Overview ADC/PDCs and PDCs Under Development</w:t>
              </w:r>
            </w:hyperlink>
          </w:p>
        </w:tc>
        <w:tc>
          <w:tcPr>
            <w:tcW w:w="4015" w:type="dxa"/>
            <w:tcBorders>
              <w:right w:val="double" w:sz="4" w:space="0" w:color="auto"/>
            </w:tcBorders>
            <w:tcMar>
              <w:top w:w="58" w:type="dxa"/>
              <w:left w:w="115" w:type="dxa"/>
              <w:bottom w:w="58" w:type="dxa"/>
              <w:right w:w="115" w:type="dxa"/>
            </w:tcMar>
          </w:tcPr>
          <w:p w:rsidR="002D5BC4" w:rsidRPr="008F0491" w:rsidRDefault="002D5BC4" w:rsidP="002D5BC4">
            <w:pPr>
              <w:jc w:val="center"/>
            </w:pPr>
            <w:r>
              <w:t>EBSO</w:t>
            </w:r>
          </w:p>
        </w:tc>
      </w:tr>
      <w:tr w:rsidR="002D5BC4" w:rsidRPr="001C7938" w:rsidTr="00F41E3F">
        <w:trPr>
          <w:cantSplit/>
          <w:jc w:val="center"/>
        </w:trPr>
        <w:tc>
          <w:tcPr>
            <w:tcW w:w="661" w:type="dxa"/>
            <w:tcBorders>
              <w:left w:val="double" w:sz="4" w:space="0" w:color="auto"/>
              <w:bottom w:val="single" w:sz="4" w:space="0" w:color="auto"/>
            </w:tcBorders>
            <w:tcMar>
              <w:top w:w="58" w:type="dxa"/>
              <w:left w:w="115" w:type="dxa"/>
              <w:bottom w:w="58" w:type="dxa"/>
              <w:right w:w="115" w:type="dxa"/>
            </w:tcMar>
          </w:tcPr>
          <w:p w:rsidR="002D5BC4" w:rsidRPr="008F0491" w:rsidRDefault="002D5BC4" w:rsidP="00B359D7">
            <w:pPr>
              <w:pStyle w:val="ListParagraph"/>
              <w:numPr>
                <w:ilvl w:val="0"/>
                <w:numId w:val="13"/>
              </w:numPr>
              <w:jc w:val="center"/>
            </w:pPr>
          </w:p>
        </w:tc>
        <w:tc>
          <w:tcPr>
            <w:tcW w:w="6829" w:type="dxa"/>
            <w:tcBorders>
              <w:bottom w:val="single" w:sz="4" w:space="0" w:color="auto"/>
            </w:tcBorders>
            <w:tcMar>
              <w:top w:w="58" w:type="dxa"/>
              <w:left w:w="115" w:type="dxa"/>
              <w:bottom w:w="58" w:type="dxa"/>
              <w:right w:w="115" w:type="dxa"/>
            </w:tcMar>
          </w:tcPr>
          <w:p w:rsidR="002D5BC4" w:rsidRPr="008F0491" w:rsidRDefault="006D3134" w:rsidP="00EC24A0">
            <w:pPr>
              <w:spacing w:after="60"/>
              <w:jc w:val="center"/>
            </w:pPr>
            <w:hyperlink r:id="rId30" w:history="1">
              <w:r w:rsidR="001E4931" w:rsidRPr="00082580">
                <w:rPr>
                  <w:rStyle w:val="Hyperlink"/>
                  <w:lang w:val="en"/>
                </w:rPr>
                <w:t>Logistics Data Resources Management System (</w:t>
              </w:r>
              <w:r w:rsidR="001E4931" w:rsidRPr="00082580">
                <w:rPr>
                  <w:rStyle w:val="Hyperlink"/>
                </w:rPr>
                <w:t>LOGDRMS) Update: Raising Awareness</w:t>
              </w:r>
            </w:hyperlink>
          </w:p>
        </w:tc>
        <w:tc>
          <w:tcPr>
            <w:tcW w:w="4015" w:type="dxa"/>
            <w:tcBorders>
              <w:right w:val="double" w:sz="4" w:space="0" w:color="auto"/>
            </w:tcBorders>
            <w:tcMar>
              <w:top w:w="58" w:type="dxa"/>
              <w:left w:w="115" w:type="dxa"/>
              <w:bottom w:w="58" w:type="dxa"/>
              <w:right w:w="115" w:type="dxa"/>
            </w:tcMar>
          </w:tcPr>
          <w:p w:rsidR="00D2053D" w:rsidRDefault="00D2053D" w:rsidP="002D5BC4">
            <w:pPr>
              <w:jc w:val="center"/>
            </w:pPr>
            <w:r>
              <w:t>Sylvia Williams</w:t>
            </w:r>
          </w:p>
          <w:p w:rsidR="002D5BC4" w:rsidRPr="008F0491" w:rsidRDefault="002D5BC4" w:rsidP="002D5BC4">
            <w:pPr>
              <w:jc w:val="center"/>
            </w:pPr>
            <w:r>
              <w:t>EBSO</w:t>
            </w:r>
          </w:p>
        </w:tc>
      </w:tr>
      <w:tr w:rsidR="002D5BC4" w:rsidRPr="001C7938" w:rsidTr="00F41E3F">
        <w:trPr>
          <w:cantSplit/>
          <w:trHeight w:val="661"/>
          <w:jc w:val="center"/>
        </w:trPr>
        <w:tc>
          <w:tcPr>
            <w:tcW w:w="661" w:type="dxa"/>
            <w:tcBorders>
              <w:left w:val="double" w:sz="4" w:space="0" w:color="auto"/>
              <w:bottom w:val="single" w:sz="4" w:space="0" w:color="auto"/>
            </w:tcBorders>
            <w:tcMar>
              <w:top w:w="58" w:type="dxa"/>
              <w:left w:w="115" w:type="dxa"/>
              <w:bottom w:w="58" w:type="dxa"/>
              <w:right w:w="115" w:type="dxa"/>
            </w:tcMar>
          </w:tcPr>
          <w:p w:rsidR="002D5BC4" w:rsidRPr="008F0491" w:rsidRDefault="002D5BC4" w:rsidP="00B359D7">
            <w:pPr>
              <w:pStyle w:val="ListParagraph"/>
              <w:numPr>
                <w:ilvl w:val="0"/>
                <w:numId w:val="13"/>
              </w:numPr>
              <w:jc w:val="center"/>
            </w:pPr>
          </w:p>
        </w:tc>
        <w:tc>
          <w:tcPr>
            <w:tcW w:w="6829" w:type="dxa"/>
            <w:tcBorders>
              <w:bottom w:val="single" w:sz="4" w:space="0" w:color="auto"/>
            </w:tcBorders>
            <w:tcMar>
              <w:top w:w="58" w:type="dxa"/>
              <w:left w:w="115" w:type="dxa"/>
              <w:bottom w:w="58" w:type="dxa"/>
              <w:right w:w="115" w:type="dxa"/>
            </w:tcMar>
          </w:tcPr>
          <w:p w:rsidR="001E4931" w:rsidRDefault="006D3134" w:rsidP="001E4931">
            <w:pPr>
              <w:pStyle w:val="PlainText"/>
              <w:jc w:val="center"/>
              <w:rPr>
                <w:rFonts w:ascii="Times New Roman" w:hAnsi="Times New Roman" w:cs="Times New Roman"/>
                <w:sz w:val="24"/>
                <w:szCs w:val="24"/>
              </w:rPr>
            </w:pPr>
            <w:hyperlink r:id="rId31" w:history="1">
              <w:r w:rsidR="001E4931" w:rsidRPr="008815FC">
                <w:rPr>
                  <w:rStyle w:val="Hyperlink"/>
                  <w:rFonts w:ascii="Times New Roman" w:hAnsi="Times New Roman" w:cs="Times New Roman"/>
                  <w:sz w:val="24"/>
                  <w:szCs w:val="24"/>
                </w:rPr>
                <w:t>X12 Standards in the DLMS</w:t>
              </w:r>
            </w:hyperlink>
          </w:p>
          <w:p w:rsidR="002D5BC4" w:rsidRPr="008F0491" w:rsidRDefault="001E4931" w:rsidP="001E4931">
            <w:pPr>
              <w:jc w:val="center"/>
            </w:pPr>
            <w:r>
              <w:t>(Forward Codes and Delimiters)</w:t>
            </w:r>
          </w:p>
        </w:tc>
        <w:tc>
          <w:tcPr>
            <w:tcW w:w="4015" w:type="dxa"/>
            <w:tcBorders>
              <w:right w:val="double" w:sz="4" w:space="0" w:color="auto"/>
            </w:tcBorders>
            <w:tcMar>
              <w:top w:w="58" w:type="dxa"/>
              <w:left w:w="115" w:type="dxa"/>
              <w:bottom w:w="58" w:type="dxa"/>
              <w:right w:w="115" w:type="dxa"/>
            </w:tcMar>
          </w:tcPr>
          <w:p w:rsidR="00D2053D" w:rsidRDefault="00D2053D" w:rsidP="002D5BC4">
            <w:pPr>
              <w:ind w:left="72"/>
              <w:jc w:val="center"/>
            </w:pPr>
            <w:r>
              <w:t>Frank Napoli</w:t>
            </w:r>
          </w:p>
          <w:p w:rsidR="002D5BC4" w:rsidRPr="008F0491" w:rsidRDefault="002D5BC4" w:rsidP="002D5BC4">
            <w:pPr>
              <w:ind w:left="72"/>
              <w:jc w:val="center"/>
            </w:pPr>
            <w:r>
              <w:t>EBSO</w:t>
            </w:r>
          </w:p>
        </w:tc>
      </w:tr>
      <w:tr w:rsidR="002D5BC4" w:rsidRPr="001C7938" w:rsidTr="00F41E3F">
        <w:trPr>
          <w:cantSplit/>
          <w:trHeight w:val="571"/>
          <w:jc w:val="center"/>
        </w:trPr>
        <w:tc>
          <w:tcPr>
            <w:tcW w:w="661" w:type="dxa"/>
            <w:tcBorders>
              <w:top w:val="single" w:sz="4" w:space="0" w:color="auto"/>
              <w:left w:val="double" w:sz="4" w:space="0" w:color="auto"/>
              <w:bottom w:val="double" w:sz="4" w:space="0" w:color="auto"/>
            </w:tcBorders>
            <w:tcMar>
              <w:top w:w="58" w:type="dxa"/>
              <w:left w:w="115" w:type="dxa"/>
              <w:bottom w:w="58" w:type="dxa"/>
              <w:right w:w="115" w:type="dxa"/>
            </w:tcMar>
          </w:tcPr>
          <w:p w:rsidR="002D5BC4" w:rsidRPr="008F0491" w:rsidRDefault="002D5BC4" w:rsidP="002D5BC4">
            <w:pPr>
              <w:jc w:val="center"/>
            </w:pPr>
          </w:p>
        </w:tc>
        <w:tc>
          <w:tcPr>
            <w:tcW w:w="6829" w:type="dxa"/>
            <w:tcBorders>
              <w:top w:val="single" w:sz="4" w:space="0" w:color="auto"/>
              <w:bottom w:val="double" w:sz="4" w:space="0" w:color="auto"/>
            </w:tcBorders>
            <w:tcMar>
              <w:top w:w="58" w:type="dxa"/>
              <w:left w:w="115" w:type="dxa"/>
              <w:bottom w:w="58" w:type="dxa"/>
              <w:right w:w="115" w:type="dxa"/>
            </w:tcMar>
          </w:tcPr>
          <w:p w:rsidR="002D5BC4" w:rsidRPr="008F0491" w:rsidRDefault="002D5BC4" w:rsidP="002D5BC4">
            <w:pPr>
              <w:pStyle w:val="PlainText"/>
              <w:spacing w:before="60" w:after="60"/>
              <w:jc w:val="center"/>
              <w:rPr>
                <w:rFonts w:ascii="Times New Roman" w:eastAsia="Times New Roman" w:hAnsi="Times New Roman" w:cs="Times New Roman"/>
                <w:b/>
                <w:sz w:val="24"/>
                <w:szCs w:val="24"/>
              </w:rPr>
            </w:pPr>
            <w:r w:rsidRPr="008F0491">
              <w:rPr>
                <w:rFonts w:ascii="Times New Roman" w:hAnsi="Times New Roman" w:cs="Times New Roman"/>
                <w:b/>
                <w:sz w:val="24"/>
                <w:szCs w:val="24"/>
              </w:rPr>
              <w:t>Wrap-up</w:t>
            </w:r>
          </w:p>
        </w:tc>
        <w:tc>
          <w:tcPr>
            <w:tcW w:w="4015" w:type="dxa"/>
            <w:tcBorders>
              <w:bottom w:val="double" w:sz="4" w:space="0" w:color="auto"/>
              <w:right w:val="double" w:sz="4" w:space="0" w:color="auto"/>
            </w:tcBorders>
            <w:tcMar>
              <w:top w:w="58" w:type="dxa"/>
              <w:left w:w="115" w:type="dxa"/>
              <w:bottom w:w="58" w:type="dxa"/>
              <w:right w:w="115" w:type="dxa"/>
            </w:tcMar>
          </w:tcPr>
          <w:p w:rsidR="002D5BC4" w:rsidRPr="001E4931" w:rsidRDefault="001E4931" w:rsidP="002D5BC4">
            <w:pPr>
              <w:spacing w:before="60"/>
              <w:ind w:left="72"/>
              <w:jc w:val="center"/>
              <w:rPr>
                <w:b/>
              </w:rPr>
            </w:pPr>
            <w:r w:rsidRPr="001E4931">
              <w:rPr>
                <w:b/>
              </w:rPr>
              <w:t>2:00 PM</w:t>
            </w:r>
          </w:p>
        </w:tc>
      </w:tr>
    </w:tbl>
    <w:p w:rsidR="00B072D8" w:rsidRPr="00816CFA" w:rsidRDefault="00B072D8" w:rsidP="00EC24A0">
      <w:pPr>
        <w:spacing w:after="200" w:line="276" w:lineRule="auto"/>
      </w:pPr>
    </w:p>
    <w:sectPr w:rsidR="00B072D8" w:rsidRPr="00816CFA" w:rsidSect="00462488">
      <w:pgSz w:w="12240" w:h="15840"/>
      <w:pgMar w:top="864"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238" w:rsidRDefault="005B5238" w:rsidP="009031AC">
      <w:r>
        <w:separator/>
      </w:r>
    </w:p>
  </w:endnote>
  <w:endnote w:type="continuationSeparator" w:id="0">
    <w:p w:rsidR="005B5238" w:rsidRDefault="005B5238" w:rsidP="0090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w:altName w:val="Times New Roman"/>
    <w:panose1 w:val="00000000000000000000"/>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238" w:rsidRDefault="005B5238" w:rsidP="009031AC">
      <w:r>
        <w:separator/>
      </w:r>
    </w:p>
  </w:footnote>
  <w:footnote w:type="continuationSeparator" w:id="0">
    <w:p w:rsidR="005B5238" w:rsidRDefault="005B5238" w:rsidP="00903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F35"/>
    <w:multiLevelType w:val="hybridMultilevel"/>
    <w:tmpl w:val="14A2D5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2E5695"/>
    <w:multiLevelType w:val="hybridMultilevel"/>
    <w:tmpl w:val="F620CD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8C04EF"/>
    <w:multiLevelType w:val="hybridMultilevel"/>
    <w:tmpl w:val="6492941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F9193D"/>
    <w:multiLevelType w:val="hybridMultilevel"/>
    <w:tmpl w:val="9578B42E"/>
    <w:lvl w:ilvl="0" w:tplc="5E22C4DC">
      <w:start w:val="1"/>
      <w:numFmt w:val="decimal"/>
      <w:lvlText w:val="%1."/>
      <w:lvlJc w:val="center"/>
      <w:pPr>
        <w:ind w:left="720" w:hanging="360"/>
      </w:pPr>
      <w:rPr>
        <w:rFonts w:ascii="new" w:hAnsi="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07196"/>
    <w:multiLevelType w:val="multilevel"/>
    <w:tmpl w:val="4A9CD1DC"/>
    <w:numStyleLink w:val="Style1"/>
  </w:abstractNum>
  <w:abstractNum w:abstractNumId="5" w15:restartNumberingAfterBreak="0">
    <w:nsid w:val="1B6A5B4B"/>
    <w:multiLevelType w:val="hybridMultilevel"/>
    <w:tmpl w:val="9072D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083D72"/>
    <w:multiLevelType w:val="hybridMultilevel"/>
    <w:tmpl w:val="F1CCE3C8"/>
    <w:lvl w:ilvl="0" w:tplc="5E22C4DC">
      <w:start w:val="1"/>
      <w:numFmt w:val="decimal"/>
      <w:lvlText w:val="%1."/>
      <w:lvlJc w:val="center"/>
      <w:pPr>
        <w:ind w:left="720" w:hanging="360"/>
      </w:pPr>
      <w:rPr>
        <w:rFonts w:ascii="new" w:hAnsi="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943BA"/>
    <w:multiLevelType w:val="hybridMultilevel"/>
    <w:tmpl w:val="EF90210C"/>
    <w:lvl w:ilvl="0" w:tplc="818E91E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6863B9"/>
    <w:multiLevelType w:val="hybridMultilevel"/>
    <w:tmpl w:val="859C521A"/>
    <w:lvl w:ilvl="0" w:tplc="8CF04B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DA3451B"/>
    <w:multiLevelType w:val="hybridMultilevel"/>
    <w:tmpl w:val="65E0DC8E"/>
    <w:lvl w:ilvl="0" w:tplc="BEAEC83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77972A4"/>
    <w:multiLevelType w:val="hybridMultilevel"/>
    <w:tmpl w:val="CEB804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635919"/>
    <w:multiLevelType w:val="multilevel"/>
    <w:tmpl w:val="4A9CD1DC"/>
    <w:styleLink w:val="Style1"/>
    <w:lvl w:ilvl="0">
      <w:start w:val="1"/>
      <w:numFmt w:val="decimal"/>
      <w:suff w:val="space"/>
      <w:lvlText w:val="%1. "/>
      <w:lvlJc w:val="left"/>
      <w:pPr>
        <w:ind w:left="0" w:firstLine="0"/>
      </w:pPr>
      <w:rPr>
        <w:rFonts w:hint="default"/>
        <w:b/>
      </w:rPr>
    </w:lvl>
    <w:lvl w:ilvl="1">
      <w:start w:val="1"/>
      <w:numFmt w:val="lowerLetter"/>
      <w:suff w:val="space"/>
      <w:lvlText w:val="%2. "/>
      <w:lvlJc w:val="left"/>
      <w:pPr>
        <w:ind w:left="0" w:firstLine="720"/>
      </w:pPr>
      <w:rPr>
        <w:rFonts w:hint="default"/>
        <w:b/>
      </w:rPr>
    </w:lvl>
    <w:lvl w:ilvl="2">
      <w:start w:val="1"/>
      <w:numFmt w:val="decimal"/>
      <w:suff w:val="space"/>
      <w:lvlText w:val="(%3) "/>
      <w:lvlJc w:val="left"/>
      <w:pPr>
        <w:ind w:left="0" w:firstLine="1440"/>
      </w:pPr>
      <w:rPr>
        <w:rFonts w:hint="default"/>
        <w:b/>
      </w:rPr>
    </w:lvl>
    <w:lvl w:ilvl="3">
      <w:start w:val="1"/>
      <w:numFmt w:val="lowerLetter"/>
      <w:suff w:val="space"/>
      <w:lvlText w:val="(%4) "/>
      <w:lvlJc w:val="left"/>
      <w:pPr>
        <w:ind w:left="0" w:firstLine="2160"/>
      </w:pPr>
      <w:rPr>
        <w:rFonts w:hint="default"/>
        <w:b/>
      </w:rPr>
    </w:lvl>
    <w:lvl w:ilvl="4">
      <w:start w:val="1"/>
      <w:numFmt w:val="decimal"/>
      <w:suff w:val="space"/>
      <w:lvlText w:val="%5. "/>
      <w:lvlJc w:val="left"/>
      <w:pPr>
        <w:ind w:left="0" w:firstLine="2880"/>
      </w:pPr>
      <w:rPr>
        <w:rFonts w:hint="default"/>
        <w:b/>
        <w:u w:val="words"/>
      </w:rPr>
    </w:lvl>
    <w:lvl w:ilvl="5">
      <w:start w:val="1"/>
      <w:numFmt w:val="lowerLetter"/>
      <w:suff w:val="space"/>
      <w:lvlText w:val="%6. "/>
      <w:lvlJc w:val="left"/>
      <w:pPr>
        <w:ind w:left="0" w:firstLine="3600"/>
      </w:pPr>
      <w:rPr>
        <w:rFonts w:hint="default"/>
        <w:b/>
        <w:u w:val="words"/>
      </w:rPr>
    </w:lvl>
    <w:lvl w:ilvl="6">
      <w:start w:val="1"/>
      <w:numFmt w:val="decimal"/>
      <w:lvlText w:val="%7."/>
      <w:lvlJc w:val="left"/>
      <w:pPr>
        <w:ind w:left="2160" w:firstLine="360"/>
      </w:pPr>
      <w:rPr>
        <w:rFonts w:hint="default"/>
      </w:rPr>
    </w:lvl>
    <w:lvl w:ilvl="7">
      <w:start w:val="1"/>
      <w:numFmt w:val="lowerLetter"/>
      <w:lvlText w:val="%8."/>
      <w:lvlJc w:val="left"/>
      <w:pPr>
        <w:ind w:left="2520" w:firstLine="360"/>
      </w:pPr>
      <w:rPr>
        <w:rFonts w:hint="default"/>
      </w:rPr>
    </w:lvl>
    <w:lvl w:ilvl="8">
      <w:start w:val="1"/>
      <w:numFmt w:val="lowerRoman"/>
      <w:lvlText w:val="%9."/>
      <w:lvlJc w:val="left"/>
      <w:pPr>
        <w:ind w:left="2880" w:firstLine="360"/>
      </w:pPr>
      <w:rPr>
        <w:rFonts w:hint="default"/>
      </w:rPr>
    </w:lvl>
  </w:abstractNum>
  <w:abstractNum w:abstractNumId="12" w15:restartNumberingAfterBreak="0">
    <w:nsid w:val="60FA1B65"/>
    <w:multiLevelType w:val="hybridMultilevel"/>
    <w:tmpl w:val="47FC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7478B0"/>
    <w:multiLevelType w:val="hybridMultilevel"/>
    <w:tmpl w:val="BA8AC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D5B1C44"/>
    <w:multiLevelType w:val="hybridMultilevel"/>
    <w:tmpl w:val="BA8AC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1BC1C24"/>
    <w:multiLevelType w:val="hybridMultilevel"/>
    <w:tmpl w:val="76D65E00"/>
    <w:lvl w:ilvl="0" w:tplc="5E22C4DC">
      <w:start w:val="1"/>
      <w:numFmt w:val="decimal"/>
      <w:lvlText w:val="%1."/>
      <w:lvlJc w:val="center"/>
      <w:pPr>
        <w:ind w:left="720" w:hanging="360"/>
      </w:pPr>
      <w:rPr>
        <w:rFonts w:ascii="new" w:hAnsi="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060610"/>
    <w:multiLevelType w:val="hybridMultilevel"/>
    <w:tmpl w:val="2CAE714A"/>
    <w:lvl w:ilvl="0" w:tplc="818E91E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D613790"/>
    <w:multiLevelType w:val="hybridMultilevel"/>
    <w:tmpl w:val="3EC4525E"/>
    <w:lvl w:ilvl="0" w:tplc="9AECDC7C">
      <w:start w:val="1"/>
      <w:numFmt w:val="lowerLetter"/>
      <w:lvlText w:val="%1."/>
      <w:lvlJc w:val="left"/>
      <w:pPr>
        <w:ind w:left="335" w:hanging="360"/>
      </w:pPr>
      <w:rPr>
        <w:rFonts w:asciiTheme="minorHAnsi" w:hAnsiTheme="minorHAnsi" w:cstheme="minorBidi" w:hint="default"/>
        <w:b/>
      </w:rPr>
    </w:lvl>
    <w:lvl w:ilvl="1" w:tplc="04090019" w:tentative="1">
      <w:start w:val="1"/>
      <w:numFmt w:val="lowerLetter"/>
      <w:lvlText w:val="%2."/>
      <w:lvlJc w:val="left"/>
      <w:pPr>
        <w:ind w:left="1055" w:hanging="360"/>
      </w:pPr>
    </w:lvl>
    <w:lvl w:ilvl="2" w:tplc="0409001B" w:tentative="1">
      <w:start w:val="1"/>
      <w:numFmt w:val="lowerRoman"/>
      <w:lvlText w:val="%3."/>
      <w:lvlJc w:val="right"/>
      <w:pPr>
        <w:ind w:left="1775" w:hanging="180"/>
      </w:pPr>
    </w:lvl>
    <w:lvl w:ilvl="3" w:tplc="0409000F" w:tentative="1">
      <w:start w:val="1"/>
      <w:numFmt w:val="decimal"/>
      <w:lvlText w:val="%4."/>
      <w:lvlJc w:val="left"/>
      <w:pPr>
        <w:ind w:left="2495" w:hanging="360"/>
      </w:pPr>
    </w:lvl>
    <w:lvl w:ilvl="4" w:tplc="04090019" w:tentative="1">
      <w:start w:val="1"/>
      <w:numFmt w:val="lowerLetter"/>
      <w:lvlText w:val="%5."/>
      <w:lvlJc w:val="left"/>
      <w:pPr>
        <w:ind w:left="3215" w:hanging="360"/>
      </w:pPr>
    </w:lvl>
    <w:lvl w:ilvl="5" w:tplc="0409001B" w:tentative="1">
      <w:start w:val="1"/>
      <w:numFmt w:val="lowerRoman"/>
      <w:lvlText w:val="%6."/>
      <w:lvlJc w:val="right"/>
      <w:pPr>
        <w:ind w:left="3935" w:hanging="180"/>
      </w:pPr>
    </w:lvl>
    <w:lvl w:ilvl="6" w:tplc="0409000F" w:tentative="1">
      <w:start w:val="1"/>
      <w:numFmt w:val="decimal"/>
      <w:lvlText w:val="%7."/>
      <w:lvlJc w:val="left"/>
      <w:pPr>
        <w:ind w:left="4655" w:hanging="360"/>
      </w:pPr>
    </w:lvl>
    <w:lvl w:ilvl="7" w:tplc="04090019" w:tentative="1">
      <w:start w:val="1"/>
      <w:numFmt w:val="lowerLetter"/>
      <w:lvlText w:val="%8."/>
      <w:lvlJc w:val="left"/>
      <w:pPr>
        <w:ind w:left="5375" w:hanging="360"/>
      </w:pPr>
    </w:lvl>
    <w:lvl w:ilvl="8" w:tplc="0409001B" w:tentative="1">
      <w:start w:val="1"/>
      <w:numFmt w:val="lowerRoman"/>
      <w:lvlText w:val="%9."/>
      <w:lvlJc w:val="right"/>
      <w:pPr>
        <w:ind w:left="6095" w:hanging="180"/>
      </w:pPr>
    </w:lvl>
  </w:abstractNum>
  <w:num w:numId="1">
    <w:abstractNumId w:val="11"/>
  </w:num>
  <w:num w:numId="2">
    <w:abstractNumId w:val="4"/>
  </w:num>
  <w:num w:numId="3">
    <w:abstractNumId w:val="2"/>
  </w:num>
  <w:num w:numId="4">
    <w:abstractNumId w:val="1"/>
  </w:num>
  <w:num w:numId="5">
    <w:abstractNumId w:val="9"/>
  </w:num>
  <w:num w:numId="6">
    <w:abstractNumId w:val="10"/>
  </w:num>
  <w:num w:numId="7">
    <w:abstractNumId w:val="17"/>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8"/>
  </w:num>
  <w:num w:numId="11">
    <w:abstractNumId w:val="0"/>
  </w:num>
  <w:num w:numId="12">
    <w:abstractNumId w:val="6"/>
  </w:num>
  <w:num w:numId="13">
    <w:abstractNumId w:val="3"/>
  </w:num>
  <w:num w:numId="14">
    <w:abstractNumId w:val="15"/>
  </w:num>
  <w:num w:numId="15">
    <w:abstractNumId w:val="5"/>
  </w:num>
  <w:num w:numId="16">
    <w:abstractNumId w:val="12"/>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NotTrackFormatting/>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D5D"/>
    <w:rsid w:val="00001D57"/>
    <w:rsid w:val="00004294"/>
    <w:rsid w:val="00004F62"/>
    <w:rsid w:val="00005395"/>
    <w:rsid w:val="0000608A"/>
    <w:rsid w:val="00012A54"/>
    <w:rsid w:val="000158D3"/>
    <w:rsid w:val="000174DF"/>
    <w:rsid w:val="00020518"/>
    <w:rsid w:val="00022ABD"/>
    <w:rsid w:val="00023338"/>
    <w:rsid w:val="000323AD"/>
    <w:rsid w:val="00033B6C"/>
    <w:rsid w:val="000366E3"/>
    <w:rsid w:val="000373D3"/>
    <w:rsid w:val="00043900"/>
    <w:rsid w:val="0004578C"/>
    <w:rsid w:val="00050621"/>
    <w:rsid w:val="00050E1A"/>
    <w:rsid w:val="00052242"/>
    <w:rsid w:val="00053B0C"/>
    <w:rsid w:val="00056E01"/>
    <w:rsid w:val="00057B2F"/>
    <w:rsid w:val="00066000"/>
    <w:rsid w:val="0006769B"/>
    <w:rsid w:val="0007231D"/>
    <w:rsid w:val="00075FD0"/>
    <w:rsid w:val="00082580"/>
    <w:rsid w:val="00082DCB"/>
    <w:rsid w:val="00094A45"/>
    <w:rsid w:val="00095150"/>
    <w:rsid w:val="00096D6C"/>
    <w:rsid w:val="00097F1C"/>
    <w:rsid w:val="000B0CAC"/>
    <w:rsid w:val="000C0A23"/>
    <w:rsid w:val="000C685D"/>
    <w:rsid w:val="000E2A1E"/>
    <w:rsid w:val="000E48EA"/>
    <w:rsid w:val="000F028F"/>
    <w:rsid w:val="000F4F38"/>
    <w:rsid w:val="000F516C"/>
    <w:rsid w:val="0010751D"/>
    <w:rsid w:val="00115F8C"/>
    <w:rsid w:val="00123F31"/>
    <w:rsid w:val="00130159"/>
    <w:rsid w:val="0013673B"/>
    <w:rsid w:val="00141C23"/>
    <w:rsid w:val="00150E3C"/>
    <w:rsid w:val="00160A05"/>
    <w:rsid w:val="001633F2"/>
    <w:rsid w:val="00175067"/>
    <w:rsid w:val="00183C77"/>
    <w:rsid w:val="00184BCD"/>
    <w:rsid w:val="0019177D"/>
    <w:rsid w:val="001935D3"/>
    <w:rsid w:val="0019766B"/>
    <w:rsid w:val="001A3056"/>
    <w:rsid w:val="001B177B"/>
    <w:rsid w:val="001B3460"/>
    <w:rsid w:val="001C2B5D"/>
    <w:rsid w:val="001C7938"/>
    <w:rsid w:val="001D379E"/>
    <w:rsid w:val="001D4C8D"/>
    <w:rsid w:val="001E0AA5"/>
    <w:rsid w:val="001E1651"/>
    <w:rsid w:val="001E4931"/>
    <w:rsid w:val="001E7783"/>
    <w:rsid w:val="0020560D"/>
    <w:rsid w:val="00214F8A"/>
    <w:rsid w:val="00215330"/>
    <w:rsid w:val="00222F51"/>
    <w:rsid w:val="00227A36"/>
    <w:rsid w:val="00242288"/>
    <w:rsid w:val="002426D4"/>
    <w:rsid w:val="002456CC"/>
    <w:rsid w:val="00245B03"/>
    <w:rsid w:val="00253D50"/>
    <w:rsid w:val="00254487"/>
    <w:rsid w:val="00256D17"/>
    <w:rsid w:val="00257AA5"/>
    <w:rsid w:val="00260932"/>
    <w:rsid w:val="0026393D"/>
    <w:rsid w:val="002646F1"/>
    <w:rsid w:val="00264854"/>
    <w:rsid w:val="00283F25"/>
    <w:rsid w:val="00286D66"/>
    <w:rsid w:val="00287B3C"/>
    <w:rsid w:val="002A7740"/>
    <w:rsid w:val="002A7E13"/>
    <w:rsid w:val="002B553B"/>
    <w:rsid w:val="002C1B1E"/>
    <w:rsid w:val="002C32A9"/>
    <w:rsid w:val="002C6F8C"/>
    <w:rsid w:val="002D323D"/>
    <w:rsid w:val="002D5BC4"/>
    <w:rsid w:val="002D6A19"/>
    <w:rsid w:val="002E0E90"/>
    <w:rsid w:val="002E6D08"/>
    <w:rsid w:val="002F21AC"/>
    <w:rsid w:val="003009A3"/>
    <w:rsid w:val="003108CA"/>
    <w:rsid w:val="00320C35"/>
    <w:rsid w:val="00322761"/>
    <w:rsid w:val="00322E88"/>
    <w:rsid w:val="0032331A"/>
    <w:rsid w:val="00323B51"/>
    <w:rsid w:val="0033012E"/>
    <w:rsid w:val="003316B8"/>
    <w:rsid w:val="003340E4"/>
    <w:rsid w:val="00337067"/>
    <w:rsid w:val="0034043A"/>
    <w:rsid w:val="00342949"/>
    <w:rsid w:val="00343410"/>
    <w:rsid w:val="00351B6A"/>
    <w:rsid w:val="00355F37"/>
    <w:rsid w:val="00357C1B"/>
    <w:rsid w:val="00364442"/>
    <w:rsid w:val="00373BCC"/>
    <w:rsid w:val="00374DA3"/>
    <w:rsid w:val="00382ED8"/>
    <w:rsid w:val="00383223"/>
    <w:rsid w:val="003A2D8C"/>
    <w:rsid w:val="003A6B5F"/>
    <w:rsid w:val="003B0C4B"/>
    <w:rsid w:val="003C68EA"/>
    <w:rsid w:val="003D3F94"/>
    <w:rsid w:val="003F31CD"/>
    <w:rsid w:val="0040355E"/>
    <w:rsid w:val="00406D8F"/>
    <w:rsid w:val="00410C4F"/>
    <w:rsid w:val="0041513A"/>
    <w:rsid w:val="0042447F"/>
    <w:rsid w:val="00427FBA"/>
    <w:rsid w:val="00431EA0"/>
    <w:rsid w:val="00433935"/>
    <w:rsid w:val="00433A6C"/>
    <w:rsid w:val="004340A8"/>
    <w:rsid w:val="004444CF"/>
    <w:rsid w:val="00454515"/>
    <w:rsid w:val="00454CC3"/>
    <w:rsid w:val="00462488"/>
    <w:rsid w:val="004750EF"/>
    <w:rsid w:val="004B1149"/>
    <w:rsid w:val="004B5C9B"/>
    <w:rsid w:val="004B7C27"/>
    <w:rsid w:val="004C3F8D"/>
    <w:rsid w:val="004C49DB"/>
    <w:rsid w:val="004C6934"/>
    <w:rsid w:val="004C7EE6"/>
    <w:rsid w:val="004D3DA9"/>
    <w:rsid w:val="004D6481"/>
    <w:rsid w:val="004E2097"/>
    <w:rsid w:val="004E3AA7"/>
    <w:rsid w:val="004E4D56"/>
    <w:rsid w:val="004F091D"/>
    <w:rsid w:val="004F64C9"/>
    <w:rsid w:val="004F64EC"/>
    <w:rsid w:val="00503634"/>
    <w:rsid w:val="00503E91"/>
    <w:rsid w:val="00504475"/>
    <w:rsid w:val="005115F8"/>
    <w:rsid w:val="00515051"/>
    <w:rsid w:val="00516EF0"/>
    <w:rsid w:val="00525AAD"/>
    <w:rsid w:val="00525B0C"/>
    <w:rsid w:val="005362C0"/>
    <w:rsid w:val="005433D0"/>
    <w:rsid w:val="005524E7"/>
    <w:rsid w:val="00554459"/>
    <w:rsid w:val="00556882"/>
    <w:rsid w:val="00563C80"/>
    <w:rsid w:val="0056671D"/>
    <w:rsid w:val="005702F6"/>
    <w:rsid w:val="00570D72"/>
    <w:rsid w:val="005875ED"/>
    <w:rsid w:val="0059201B"/>
    <w:rsid w:val="00592112"/>
    <w:rsid w:val="005A367E"/>
    <w:rsid w:val="005B028E"/>
    <w:rsid w:val="005B5238"/>
    <w:rsid w:val="005C2F18"/>
    <w:rsid w:val="005C3DFC"/>
    <w:rsid w:val="005D1C34"/>
    <w:rsid w:val="005D213A"/>
    <w:rsid w:val="005D531A"/>
    <w:rsid w:val="005E08B4"/>
    <w:rsid w:val="006006A8"/>
    <w:rsid w:val="00600F47"/>
    <w:rsid w:val="006016B8"/>
    <w:rsid w:val="006041CA"/>
    <w:rsid w:val="00607A6A"/>
    <w:rsid w:val="00615A58"/>
    <w:rsid w:val="00620A8D"/>
    <w:rsid w:val="00621CC9"/>
    <w:rsid w:val="00625ADF"/>
    <w:rsid w:val="00626FCF"/>
    <w:rsid w:val="00627714"/>
    <w:rsid w:val="00636A28"/>
    <w:rsid w:val="006405B6"/>
    <w:rsid w:val="006442BF"/>
    <w:rsid w:val="006447A5"/>
    <w:rsid w:val="006501E2"/>
    <w:rsid w:val="00651AB2"/>
    <w:rsid w:val="006535AA"/>
    <w:rsid w:val="0066631F"/>
    <w:rsid w:val="00674110"/>
    <w:rsid w:val="00682F13"/>
    <w:rsid w:val="00690C9F"/>
    <w:rsid w:val="00691979"/>
    <w:rsid w:val="00692C09"/>
    <w:rsid w:val="006A1146"/>
    <w:rsid w:val="006A7FA9"/>
    <w:rsid w:val="006B0FA3"/>
    <w:rsid w:val="006B37AE"/>
    <w:rsid w:val="006B7FAD"/>
    <w:rsid w:val="006C4F14"/>
    <w:rsid w:val="006D1A0A"/>
    <w:rsid w:val="006D3134"/>
    <w:rsid w:val="006D570D"/>
    <w:rsid w:val="006E4A8C"/>
    <w:rsid w:val="006E5A72"/>
    <w:rsid w:val="006E6E38"/>
    <w:rsid w:val="006F3A73"/>
    <w:rsid w:val="0070400B"/>
    <w:rsid w:val="00707BFD"/>
    <w:rsid w:val="00710729"/>
    <w:rsid w:val="00714157"/>
    <w:rsid w:val="00722A41"/>
    <w:rsid w:val="0072588E"/>
    <w:rsid w:val="00726E08"/>
    <w:rsid w:val="00730152"/>
    <w:rsid w:val="00741A69"/>
    <w:rsid w:val="007511CE"/>
    <w:rsid w:val="0076289C"/>
    <w:rsid w:val="007664DA"/>
    <w:rsid w:val="0077117A"/>
    <w:rsid w:val="00771B34"/>
    <w:rsid w:val="0077289F"/>
    <w:rsid w:val="00773166"/>
    <w:rsid w:val="00783D0C"/>
    <w:rsid w:val="0078415B"/>
    <w:rsid w:val="00785BFB"/>
    <w:rsid w:val="00792B45"/>
    <w:rsid w:val="007977AE"/>
    <w:rsid w:val="007B12B6"/>
    <w:rsid w:val="007B1C37"/>
    <w:rsid w:val="007D5C40"/>
    <w:rsid w:val="007E22FA"/>
    <w:rsid w:val="007E5D74"/>
    <w:rsid w:val="007F0122"/>
    <w:rsid w:val="00806E76"/>
    <w:rsid w:val="00813E9C"/>
    <w:rsid w:val="00816ACB"/>
    <w:rsid w:val="00816CFA"/>
    <w:rsid w:val="00821988"/>
    <w:rsid w:val="008224E5"/>
    <w:rsid w:val="00822C85"/>
    <w:rsid w:val="00830D51"/>
    <w:rsid w:val="00837D87"/>
    <w:rsid w:val="00840DA5"/>
    <w:rsid w:val="0084231B"/>
    <w:rsid w:val="008519BD"/>
    <w:rsid w:val="00857AAF"/>
    <w:rsid w:val="00866DC5"/>
    <w:rsid w:val="00874BBA"/>
    <w:rsid w:val="008815FC"/>
    <w:rsid w:val="008820A5"/>
    <w:rsid w:val="008866BE"/>
    <w:rsid w:val="00891D7E"/>
    <w:rsid w:val="00894B72"/>
    <w:rsid w:val="008953C8"/>
    <w:rsid w:val="008A5482"/>
    <w:rsid w:val="008B230E"/>
    <w:rsid w:val="008B31BA"/>
    <w:rsid w:val="008B6B04"/>
    <w:rsid w:val="008C02F4"/>
    <w:rsid w:val="008C2917"/>
    <w:rsid w:val="008D159F"/>
    <w:rsid w:val="008D2AD4"/>
    <w:rsid w:val="008D7974"/>
    <w:rsid w:val="008E16FD"/>
    <w:rsid w:val="008F0491"/>
    <w:rsid w:val="008F6E37"/>
    <w:rsid w:val="009031AC"/>
    <w:rsid w:val="00914D70"/>
    <w:rsid w:val="00920DBD"/>
    <w:rsid w:val="00922124"/>
    <w:rsid w:val="00925241"/>
    <w:rsid w:val="00926045"/>
    <w:rsid w:val="00942D83"/>
    <w:rsid w:val="0095011A"/>
    <w:rsid w:val="00953E60"/>
    <w:rsid w:val="009540BE"/>
    <w:rsid w:val="00955446"/>
    <w:rsid w:val="00957F4D"/>
    <w:rsid w:val="009605F1"/>
    <w:rsid w:val="00967258"/>
    <w:rsid w:val="0096740F"/>
    <w:rsid w:val="00972189"/>
    <w:rsid w:val="00972B42"/>
    <w:rsid w:val="00976A5D"/>
    <w:rsid w:val="00977811"/>
    <w:rsid w:val="00986124"/>
    <w:rsid w:val="009A09F8"/>
    <w:rsid w:val="009A2AC2"/>
    <w:rsid w:val="009A7963"/>
    <w:rsid w:val="009B097E"/>
    <w:rsid w:val="009B0CB9"/>
    <w:rsid w:val="009C09E8"/>
    <w:rsid w:val="009C2194"/>
    <w:rsid w:val="009C7B2F"/>
    <w:rsid w:val="009D2937"/>
    <w:rsid w:val="009E2D26"/>
    <w:rsid w:val="009E2D5B"/>
    <w:rsid w:val="009F4BD3"/>
    <w:rsid w:val="009F6FFC"/>
    <w:rsid w:val="00A06E5D"/>
    <w:rsid w:val="00A13C8E"/>
    <w:rsid w:val="00A16734"/>
    <w:rsid w:val="00A1714C"/>
    <w:rsid w:val="00A21A48"/>
    <w:rsid w:val="00A23C1B"/>
    <w:rsid w:val="00A24B79"/>
    <w:rsid w:val="00A257DF"/>
    <w:rsid w:val="00A35D0C"/>
    <w:rsid w:val="00A36BEF"/>
    <w:rsid w:val="00A4197D"/>
    <w:rsid w:val="00A5782D"/>
    <w:rsid w:val="00A6279B"/>
    <w:rsid w:val="00A71106"/>
    <w:rsid w:val="00A75A64"/>
    <w:rsid w:val="00A8048A"/>
    <w:rsid w:val="00A90298"/>
    <w:rsid w:val="00A91FE1"/>
    <w:rsid w:val="00A9350D"/>
    <w:rsid w:val="00AC1550"/>
    <w:rsid w:val="00AD4B1E"/>
    <w:rsid w:val="00AD7198"/>
    <w:rsid w:val="00AD75C7"/>
    <w:rsid w:val="00AE6602"/>
    <w:rsid w:val="00B072D8"/>
    <w:rsid w:val="00B133B3"/>
    <w:rsid w:val="00B16A43"/>
    <w:rsid w:val="00B17C0C"/>
    <w:rsid w:val="00B359D7"/>
    <w:rsid w:val="00B44093"/>
    <w:rsid w:val="00B47AC1"/>
    <w:rsid w:val="00B519A5"/>
    <w:rsid w:val="00B5275E"/>
    <w:rsid w:val="00B5613E"/>
    <w:rsid w:val="00B5784E"/>
    <w:rsid w:val="00B62A7B"/>
    <w:rsid w:val="00B71950"/>
    <w:rsid w:val="00B74434"/>
    <w:rsid w:val="00B81D2E"/>
    <w:rsid w:val="00B81F36"/>
    <w:rsid w:val="00B84473"/>
    <w:rsid w:val="00B87F5B"/>
    <w:rsid w:val="00B9632A"/>
    <w:rsid w:val="00B97208"/>
    <w:rsid w:val="00BA02D5"/>
    <w:rsid w:val="00BB1528"/>
    <w:rsid w:val="00BB4B0F"/>
    <w:rsid w:val="00BD0B18"/>
    <w:rsid w:val="00BD71A3"/>
    <w:rsid w:val="00BD74C9"/>
    <w:rsid w:val="00BE31E4"/>
    <w:rsid w:val="00BE4F3A"/>
    <w:rsid w:val="00BE7D5D"/>
    <w:rsid w:val="00BF6E9A"/>
    <w:rsid w:val="00BF711D"/>
    <w:rsid w:val="00C12121"/>
    <w:rsid w:val="00C14906"/>
    <w:rsid w:val="00C27574"/>
    <w:rsid w:val="00C400E2"/>
    <w:rsid w:val="00C4703C"/>
    <w:rsid w:val="00C53425"/>
    <w:rsid w:val="00C55DA1"/>
    <w:rsid w:val="00C62560"/>
    <w:rsid w:val="00C65013"/>
    <w:rsid w:val="00C674EC"/>
    <w:rsid w:val="00C760AF"/>
    <w:rsid w:val="00C7773A"/>
    <w:rsid w:val="00C83BD4"/>
    <w:rsid w:val="00C936CE"/>
    <w:rsid w:val="00C95261"/>
    <w:rsid w:val="00CA11E6"/>
    <w:rsid w:val="00CA164F"/>
    <w:rsid w:val="00CA39A8"/>
    <w:rsid w:val="00CA4148"/>
    <w:rsid w:val="00CA4AF9"/>
    <w:rsid w:val="00CB0A7F"/>
    <w:rsid w:val="00CB29BF"/>
    <w:rsid w:val="00CB447C"/>
    <w:rsid w:val="00CB7AE4"/>
    <w:rsid w:val="00CC1E02"/>
    <w:rsid w:val="00CC5EAB"/>
    <w:rsid w:val="00CC7578"/>
    <w:rsid w:val="00CE415E"/>
    <w:rsid w:val="00D1221D"/>
    <w:rsid w:val="00D17FFE"/>
    <w:rsid w:val="00D2053D"/>
    <w:rsid w:val="00D240C7"/>
    <w:rsid w:val="00D2439B"/>
    <w:rsid w:val="00D3187B"/>
    <w:rsid w:val="00D33143"/>
    <w:rsid w:val="00D3686C"/>
    <w:rsid w:val="00D42253"/>
    <w:rsid w:val="00D43B11"/>
    <w:rsid w:val="00D4492A"/>
    <w:rsid w:val="00D516EF"/>
    <w:rsid w:val="00D54DB8"/>
    <w:rsid w:val="00D63C09"/>
    <w:rsid w:val="00D65405"/>
    <w:rsid w:val="00D67E2B"/>
    <w:rsid w:val="00D92639"/>
    <w:rsid w:val="00D93D8A"/>
    <w:rsid w:val="00DA5BA6"/>
    <w:rsid w:val="00DA5BD6"/>
    <w:rsid w:val="00DB3A31"/>
    <w:rsid w:val="00DC34A3"/>
    <w:rsid w:val="00DC6F71"/>
    <w:rsid w:val="00DD3640"/>
    <w:rsid w:val="00DD5421"/>
    <w:rsid w:val="00DE0ADC"/>
    <w:rsid w:val="00DE2465"/>
    <w:rsid w:val="00DE26D8"/>
    <w:rsid w:val="00DE459B"/>
    <w:rsid w:val="00DE5F82"/>
    <w:rsid w:val="00DE7418"/>
    <w:rsid w:val="00DF3294"/>
    <w:rsid w:val="00E03F34"/>
    <w:rsid w:val="00E116B8"/>
    <w:rsid w:val="00E22B8F"/>
    <w:rsid w:val="00E24548"/>
    <w:rsid w:val="00E2499F"/>
    <w:rsid w:val="00E25505"/>
    <w:rsid w:val="00E3028A"/>
    <w:rsid w:val="00E36FF0"/>
    <w:rsid w:val="00E45739"/>
    <w:rsid w:val="00E460F0"/>
    <w:rsid w:val="00E473BC"/>
    <w:rsid w:val="00E528AE"/>
    <w:rsid w:val="00E53C4C"/>
    <w:rsid w:val="00E53E39"/>
    <w:rsid w:val="00E57183"/>
    <w:rsid w:val="00E60496"/>
    <w:rsid w:val="00E64519"/>
    <w:rsid w:val="00E6672C"/>
    <w:rsid w:val="00E77E41"/>
    <w:rsid w:val="00E80A73"/>
    <w:rsid w:val="00E92CDA"/>
    <w:rsid w:val="00E941A7"/>
    <w:rsid w:val="00E95618"/>
    <w:rsid w:val="00EA50FB"/>
    <w:rsid w:val="00EB0A62"/>
    <w:rsid w:val="00EB3B36"/>
    <w:rsid w:val="00EB72ED"/>
    <w:rsid w:val="00EC181A"/>
    <w:rsid w:val="00EC24A0"/>
    <w:rsid w:val="00EC2542"/>
    <w:rsid w:val="00ED1777"/>
    <w:rsid w:val="00ED705E"/>
    <w:rsid w:val="00EE4189"/>
    <w:rsid w:val="00EF38FD"/>
    <w:rsid w:val="00F02EC8"/>
    <w:rsid w:val="00F04F77"/>
    <w:rsid w:val="00F05B41"/>
    <w:rsid w:val="00F17D1A"/>
    <w:rsid w:val="00F2281B"/>
    <w:rsid w:val="00F23E81"/>
    <w:rsid w:val="00F303BF"/>
    <w:rsid w:val="00F41E3F"/>
    <w:rsid w:val="00F557A1"/>
    <w:rsid w:val="00F6274C"/>
    <w:rsid w:val="00F66D90"/>
    <w:rsid w:val="00F75412"/>
    <w:rsid w:val="00F77370"/>
    <w:rsid w:val="00F825B5"/>
    <w:rsid w:val="00F92120"/>
    <w:rsid w:val="00F933FB"/>
    <w:rsid w:val="00F951AC"/>
    <w:rsid w:val="00FA2365"/>
    <w:rsid w:val="00FA2C6D"/>
    <w:rsid w:val="00FA4F14"/>
    <w:rsid w:val="00FA7E21"/>
    <w:rsid w:val="00FD07AC"/>
    <w:rsid w:val="00FD6054"/>
    <w:rsid w:val="00FE070D"/>
    <w:rsid w:val="00FF3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4AB9503E-7F4F-4C09-857A-88F5463D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D5D"/>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7D5D"/>
    <w:pPr>
      <w:tabs>
        <w:tab w:val="center" w:pos="4680"/>
        <w:tab w:val="right" w:pos="9360"/>
      </w:tabs>
    </w:pPr>
    <w:rPr>
      <w:lang w:val="x-none" w:eastAsia="x-none"/>
    </w:rPr>
  </w:style>
  <w:style w:type="character" w:customStyle="1" w:styleId="HeaderChar">
    <w:name w:val="Header Char"/>
    <w:basedOn w:val="DefaultParagraphFont"/>
    <w:link w:val="Header"/>
    <w:rsid w:val="00BE7D5D"/>
    <w:rPr>
      <w:rFonts w:eastAsia="Times New Roman" w:cs="Times New Roman"/>
      <w:szCs w:val="24"/>
      <w:lang w:val="x-none" w:eastAsia="x-none"/>
    </w:rPr>
  </w:style>
  <w:style w:type="table" w:styleId="TableGrid">
    <w:name w:val="Table Grid"/>
    <w:basedOn w:val="TableNormal"/>
    <w:uiPriority w:val="59"/>
    <w:rsid w:val="00BE7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B447C"/>
    <w:rPr>
      <w:color w:val="0000FF"/>
      <w:u w:val="single"/>
    </w:rPr>
  </w:style>
  <w:style w:type="numbering" w:customStyle="1" w:styleId="Style1">
    <w:name w:val="Style1"/>
    <w:uiPriority w:val="99"/>
    <w:rsid w:val="00E77E41"/>
    <w:pPr>
      <w:numPr>
        <w:numId w:val="1"/>
      </w:numPr>
    </w:pPr>
  </w:style>
  <w:style w:type="character" w:styleId="FollowedHyperlink">
    <w:name w:val="FollowedHyperlink"/>
    <w:basedOn w:val="DefaultParagraphFont"/>
    <w:uiPriority w:val="99"/>
    <w:semiHidden/>
    <w:unhideWhenUsed/>
    <w:rsid w:val="00C53425"/>
    <w:rPr>
      <w:color w:val="800080" w:themeColor="followedHyperlink"/>
      <w:u w:val="single"/>
    </w:rPr>
  </w:style>
  <w:style w:type="paragraph" w:styleId="Footer">
    <w:name w:val="footer"/>
    <w:basedOn w:val="Normal"/>
    <w:link w:val="FooterChar"/>
    <w:uiPriority w:val="99"/>
    <w:unhideWhenUsed/>
    <w:rsid w:val="009031AC"/>
    <w:pPr>
      <w:tabs>
        <w:tab w:val="center" w:pos="4680"/>
        <w:tab w:val="right" w:pos="9360"/>
      </w:tabs>
    </w:pPr>
  </w:style>
  <w:style w:type="character" w:customStyle="1" w:styleId="FooterChar">
    <w:name w:val="Footer Char"/>
    <w:basedOn w:val="DefaultParagraphFont"/>
    <w:link w:val="Footer"/>
    <w:uiPriority w:val="99"/>
    <w:rsid w:val="009031AC"/>
    <w:rPr>
      <w:rFonts w:eastAsia="Times New Roman" w:cs="Times New Roman"/>
      <w:szCs w:val="24"/>
    </w:rPr>
  </w:style>
  <w:style w:type="paragraph" w:styleId="PlainText">
    <w:name w:val="Plain Text"/>
    <w:basedOn w:val="Normal"/>
    <w:link w:val="PlainTextChar"/>
    <w:uiPriority w:val="99"/>
    <w:unhideWhenUsed/>
    <w:rsid w:val="00F9212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92120"/>
    <w:rPr>
      <w:rFonts w:ascii="Calibri" w:hAnsi="Calibri"/>
      <w:sz w:val="22"/>
      <w:szCs w:val="21"/>
    </w:rPr>
  </w:style>
  <w:style w:type="paragraph" w:styleId="ListParagraph">
    <w:name w:val="List Paragraph"/>
    <w:basedOn w:val="Normal"/>
    <w:uiPriority w:val="34"/>
    <w:qFormat/>
    <w:rsid w:val="00A90298"/>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EB3B36"/>
    <w:rPr>
      <w:rFonts w:ascii="Tahoma" w:hAnsi="Tahoma" w:cs="Tahoma"/>
      <w:sz w:val="16"/>
      <w:szCs w:val="16"/>
    </w:rPr>
  </w:style>
  <w:style w:type="character" w:customStyle="1" w:styleId="BalloonTextChar">
    <w:name w:val="Balloon Text Char"/>
    <w:basedOn w:val="DefaultParagraphFont"/>
    <w:link w:val="BalloonText"/>
    <w:uiPriority w:val="99"/>
    <w:semiHidden/>
    <w:rsid w:val="00EB3B36"/>
    <w:rPr>
      <w:rFonts w:ascii="Tahoma" w:eastAsia="Times New Roman" w:hAnsi="Tahoma" w:cs="Tahoma"/>
      <w:sz w:val="16"/>
      <w:szCs w:val="16"/>
    </w:rPr>
  </w:style>
  <w:style w:type="character" w:customStyle="1" w:styleId="st1">
    <w:name w:val="st1"/>
    <w:basedOn w:val="DefaultParagraphFont"/>
    <w:rsid w:val="00D67E2B"/>
  </w:style>
  <w:style w:type="character" w:styleId="CommentReference">
    <w:name w:val="annotation reference"/>
    <w:basedOn w:val="DefaultParagraphFont"/>
    <w:uiPriority w:val="99"/>
    <w:semiHidden/>
    <w:unhideWhenUsed/>
    <w:rsid w:val="00C62560"/>
    <w:rPr>
      <w:sz w:val="16"/>
      <w:szCs w:val="16"/>
    </w:rPr>
  </w:style>
  <w:style w:type="paragraph" w:styleId="CommentText">
    <w:name w:val="annotation text"/>
    <w:basedOn w:val="Normal"/>
    <w:link w:val="CommentTextChar"/>
    <w:uiPriority w:val="99"/>
    <w:semiHidden/>
    <w:unhideWhenUsed/>
    <w:rsid w:val="00C62560"/>
    <w:rPr>
      <w:sz w:val="20"/>
      <w:szCs w:val="20"/>
    </w:rPr>
  </w:style>
  <w:style w:type="character" w:customStyle="1" w:styleId="CommentTextChar">
    <w:name w:val="Comment Text Char"/>
    <w:basedOn w:val="DefaultParagraphFont"/>
    <w:link w:val="CommentText"/>
    <w:uiPriority w:val="99"/>
    <w:semiHidden/>
    <w:rsid w:val="00C6256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2560"/>
    <w:rPr>
      <w:b/>
      <w:bCs/>
    </w:rPr>
  </w:style>
  <w:style w:type="character" w:customStyle="1" w:styleId="CommentSubjectChar">
    <w:name w:val="Comment Subject Char"/>
    <w:basedOn w:val="CommentTextChar"/>
    <w:link w:val="CommentSubject"/>
    <w:uiPriority w:val="99"/>
    <w:semiHidden/>
    <w:rsid w:val="00C62560"/>
    <w:rPr>
      <w:rFonts w:eastAsia="Times New Roman" w:cs="Times New Roman"/>
      <w:b/>
      <w:bCs/>
      <w:sz w:val="20"/>
      <w:szCs w:val="20"/>
    </w:rPr>
  </w:style>
  <w:style w:type="character" w:styleId="LineNumber">
    <w:name w:val="line number"/>
    <w:basedOn w:val="DefaultParagraphFont"/>
    <w:uiPriority w:val="99"/>
    <w:semiHidden/>
    <w:unhideWhenUsed/>
    <w:rsid w:val="006535AA"/>
  </w:style>
  <w:style w:type="paragraph" w:styleId="NoSpacing">
    <w:name w:val="No Spacing"/>
    <w:uiPriority w:val="1"/>
    <w:qFormat/>
    <w:rsid w:val="006405B6"/>
    <w:pPr>
      <w:spacing w:after="0"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71231">
      <w:bodyDiv w:val="1"/>
      <w:marLeft w:val="0"/>
      <w:marRight w:val="0"/>
      <w:marTop w:val="0"/>
      <w:marBottom w:val="0"/>
      <w:divBdr>
        <w:top w:val="none" w:sz="0" w:space="0" w:color="auto"/>
        <w:left w:val="none" w:sz="0" w:space="0" w:color="auto"/>
        <w:bottom w:val="none" w:sz="0" w:space="0" w:color="auto"/>
        <w:right w:val="none" w:sz="0" w:space="0" w:color="auto"/>
      </w:divBdr>
    </w:div>
    <w:div w:id="401635653">
      <w:bodyDiv w:val="1"/>
      <w:marLeft w:val="0"/>
      <w:marRight w:val="0"/>
      <w:marTop w:val="0"/>
      <w:marBottom w:val="0"/>
      <w:divBdr>
        <w:top w:val="none" w:sz="0" w:space="0" w:color="auto"/>
        <w:left w:val="none" w:sz="0" w:space="0" w:color="auto"/>
        <w:bottom w:val="none" w:sz="0" w:space="0" w:color="auto"/>
        <w:right w:val="none" w:sz="0" w:space="0" w:color="auto"/>
      </w:divBdr>
    </w:div>
    <w:div w:id="534125212">
      <w:bodyDiv w:val="1"/>
      <w:marLeft w:val="0"/>
      <w:marRight w:val="0"/>
      <w:marTop w:val="0"/>
      <w:marBottom w:val="0"/>
      <w:divBdr>
        <w:top w:val="none" w:sz="0" w:space="0" w:color="auto"/>
        <w:left w:val="none" w:sz="0" w:space="0" w:color="auto"/>
        <w:bottom w:val="none" w:sz="0" w:space="0" w:color="auto"/>
        <w:right w:val="none" w:sz="0" w:space="0" w:color="auto"/>
      </w:divBdr>
    </w:div>
    <w:div w:id="587690428">
      <w:bodyDiv w:val="1"/>
      <w:marLeft w:val="0"/>
      <w:marRight w:val="0"/>
      <w:marTop w:val="0"/>
      <w:marBottom w:val="0"/>
      <w:divBdr>
        <w:top w:val="none" w:sz="0" w:space="0" w:color="auto"/>
        <w:left w:val="none" w:sz="0" w:space="0" w:color="auto"/>
        <w:bottom w:val="none" w:sz="0" w:space="0" w:color="auto"/>
        <w:right w:val="none" w:sz="0" w:space="0" w:color="auto"/>
      </w:divBdr>
    </w:div>
    <w:div w:id="650981240">
      <w:bodyDiv w:val="1"/>
      <w:marLeft w:val="0"/>
      <w:marRight w:val="0"/>
      <w:marTop w:val="0"/>
      <w:marBottom w:val="0"/>
      <w:divBdr>
        <w:top w:val="none" w:sz="0" w:space="0" w:color="auto"/>
        <w:left w:val="none" w:sz="0" w:space="0" w:color="auto"/>
        <w:bottom w:val="none" w:sz="0" w:space="0" w:color="auto"/>
        <w:right w:val="none" w:sz="0" w:space="0" w:color="auto"/>
      </w:divBdr>
    </w:div>
    <w:div w:id="801658559">
      <w:bodyDiv w:val="1"/>
      <w:marLeft w:val="0"/>
      <w:marRight w:val="0"/>
      <w:marTop w:val="0"/>
      <w:marBottom w:val="0"/>
      <w:divBdr>
        <w:top w:val="none" w:sz="0" w:space="0" w:color="auto"/>
        <w:left w:val="none" w:sz="0" w:space="0" w:color="auto"/>
        <w:bottom w:val="none" w:sz="0" w:space="0" w:color="auto"/>
        <w:right w:val="none" w:sz="0" w:space="0" w:color="auto"/>
      </w:divBdr>
    </w:div>
    <w:div w:id="841310794">
      <w:bodyDiv w:val="1"/>
      <w:marLeft w:val="0"/>
      <w:marRight w:val="0"/>
      <w:marTop w:val="0"/>
      <w:marBottom w:val="0"/>
      <w:divBdr>
        <w:top w:val="none" w:sz="0" w:space="0" w:color="auto"/>
        <w:left w:val="none" w:sz="0" w:space="0" w:color="auto"/>
        <w:bottom w:val="none" w:sz="0" w:space="0" w:color="auto"/>
        <w:right w:val="none" w:sz="0" w:space="0" w:color="auto"/>
      </w:divBdr>
    </w:div>
    <w:div w:id="846138532">
      <w:bodyDiv w:val="1"/>
      <w:marLeft w:val="0"/>
      <w:marRight w:val="0"/>
      <w:marTop w:val="0"/>
      <w:marBottom w:val="0"/>
      <w:divBdr>
        <w:top w:val="none" w:sz="0" w:space="0" w:color="auto"/>
        <w:left w:val="none" w:sz="0" w:space="0" w:color="auto"/>
        <w:bottom w:val="none" w:sz="0" w:space="0" w:color="auto"/>
        <w:right w:val="none" w:sz="0" w:space="0" w:color="auto"/>
      </w:divBdr>
    </w:div>
    <w:div w:id="1047729588">
      <w:bodyDiv w:val="1"/>
      <w:marLeft w:val="0"/>
      <w:marRight w:val="0"/>
      <w:marTop w:val="0"/>
      <w:marBottom w:val="0"/>
      <w:divBdr>
        <w:top w:val="none" w:sz="0" w:space="0" w:color="auto"/>
        <w:left w:val="none" w:sz="0" w:space="0" w:color="auto"/>
        <w:bottom w:val="none" w:sz="0" w:space="0" w:color="auto"/>
        <w:right w:val="none" w:sz="0" w:space="0" w:color="auto"/>
      </w:divBdr>
    </w:div>
    <w:div w:id="1062828046">
      <w:bodyDiv w:val="1"/>
      <w:marLeft w:val="0"/>
      <w:marRight w:val="0"/>
      <w:marTop w:val="0"/>
      <w:marBottom w:val="0"/>
      <w:divBdr>
        <w:top w:val="none" w:sz="0" w:space="0" w:color="auto"/>
        <w:left w:val="none" w:sz="0" w:space="0" w:color="auto"/>
        <w:bottom w:val="none" w:sz="0" w:space="0" w:color="auto"/>
        <w:right w:val="none" w:sz="0" w:space="0" w:color="auto"/>
      </w:divBdr>
    </w:div>
    <w:div w:id="1184629722">
      <w:bodyDiv w:val="1"/>
      <w:marLeft w:val="0"/>
      <w:marRight w:val="0"/>
      <w:marTop w:val="0"/>
      <w:marBottom w:val="0"/>
      <w:divBdr>
        <w:top w:val="none" w:sz="0" w:space="0" w:color="auto"/>
        <w:left w:val="none" w:sz="0" w:space="0" w:color="auto"/>
        <w:bottom w:val="none" w:sz="0" w:space="0" w:color="auto"/>
        <w:right w:val="none" w:sz="0" w:space="0" w:color="auto"/>
      </w:divBdr>
    </w:div>
    <w:div w:id="1590581661">
      <w:bodyDiv w:val="1"/>
      <w:marLeft w:val="0"/>
      <w:marRight w:val="0"/>
      <w:marTop w:val="0"/>
      <w:marBottom w:val="0"/>
      <w:divBdr>
        <w:top w:val="none" w:sz="0" w:space="0" w:color="auto"/>
        <w:left w:val="none" w:sz="0" w:space="0" w:color="auto"/>
        <w:bottom w:val="none" w:sz="0" w:space="0" w:color="auto"/>
        <w:right w:val="none" w:sz="0" w:space="0" w:color="auto"/>
      </w:divBdr>
    </w:div>
    <w:div w:id="1639460412">
      <w:bodyDiv w:val="1"/>
      <w:marLeft w:val="0"/>
      <w:marRight w:val="0"/>
      <w:marTop w:val="0"/>
      <w:marBottom w:val="0"/>
      <w:divBdr>
        <w:top w:val="none" w:sz="0" w:space="0" w:color="auto"/>
        <w:left w:val="none" w:sz="0" w:space="0" w:color="auto"/>
        <w:bottom w:val="none" w:sz="0" w:space="0" w:color="auto"/>
        <w:right w:val="none" w:sz="0" w:space="0" w:color="auto"/>
      </w:divBdr>
    </w:div>
    <w:div w:id="1766220559">
      <w:bodyDiv w:val="1"/>
      <w:marLeft w:val="0"/>
      <w:marRight w:val="0"/>
      <w:marTop w:val="0"/>
      <w:marBottom w:val="0"/>
      <w:divBdr>
        <w:top w:val="none" w:sz="0" w:space="0" w:color="auto"/>
        <w:left w:val="none" w:sz="0" w:space="0" w:color="auto"/>
        <w:bottom w:val="none" w:sz="0" w:space="0" w:color="auto"/>
        <w:right w:val="none" w:sz="0" w:space="0" w:color="auto"/>
      </w:divBdr>
    </w:div>
    <w:div w:id="1815294615">
      <w:bodyDiv w:val="1"/>
      <w:marLeft w:val="0"/>
      <w:marRight w:val="0"/>
      <w:marTop w:val="0"/>
      <w:marBottom w:val="0"/>
      <w:divBdr>
        <w:top w:val="none" w:sz="0" w:space="0" w:color="auto"/>
        <w:left w:val="none" w:sz="0" w:space="0" w:color="auto"/>
        <w:bottom w:val="none" w:sz="0" w:space="0" w:color="auto"/>
        <w:right w:val="none" w:sz="0" w:space="0" w:color="auto"/>
      </w:divBdr>
    </w:div>
    <w:div w:id="1906334393">
      <w:bodyDiv w:val="1"/>
      <w:marLeft w:val="0"/>
      <w:marRight w:val="0"/>
      <w:marTop w:val="0"/>
      <w:marBottom w:val="0"/>
      <w:divBdr>
        <w:top w:val="none" w:sz="0" w:space="0" w:color="auto"/>
        <w:left w:val="none" w:sz="0" w:space="0" w:color="auto"/>
        <w:bottom w:val="none" w:sz="0" w:space="0" w:color="auto"/>
        <w:right w:val="none" w:sz="0" w:space="0" w:color="auto"/>
      </w:divBdr>
    </w:div>
    <w:div w:id="1975059625">
      <w:bodyDiv w:val="1"/>
      <w:marLeft w:val="0"/>
      <w:marRight w:val="0"/>
      <w:marTop w:val="0"/>
      <w:marBottom w:val="0"/>
      <w:divBdr>
        <w:top w:val="none" w:sz="0" w:space="0" w:color="auto"/>
        <w:left w:val="none" w:sz="0" w:space="0" w:color="auto"/>
        <w:bottom w:val="none" w:sz="0" w:space="0" w:color="auto"/>
        <w:right w:val="none" w:sz="0" w:space="0" w:color="auto"/>
      </w:divBdr>
    </w:div>
    <w:div w:id="2064476211">
      <w:bodyDiv w:val="1"/>
      <w:marLeft w:val="0"/>
      <w:marRight w:val="0"/>
      <w:marTop w:val="0"/>
      <w:marBottom w:val="0"/>
      <w:divBdr>
        <w:top w:val="none" w:sz="0" w:space="0" w:color="auto"/>
        <w:left w:val="none" w:sz="0" w:space="0" w:color="auto"/>
        <w:bottom w:val="none" w:sz="0" w:space="0" w:color="auto"/>
        <w:right w:val="none" w:sz="0" w:space="0" w:color="auto"/>
      </w:divBdr>
    </w:div>
    <w:div w:id="209774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la.mil/Portals/104/Documents/DLMS/ADC/ADC_1240_Official_Letter_of_Appointment_for_PRC_Representatives.pdf" TargetMode="External"/><Relationship Id="rId18" Type="http://schemas.openxmlformats.org/officeDocument/2006/relationships/hyperlink" Target="http://www.dla.mil/Portals/104/Documents/DLMS/Committees/Supply/Meetings/17-2/DLA_Distribution_ADC_1198_Serialization_Slide_Presentation-Serialization.pdf" TargetMode="External"/><Relationship Id="rId26" Type="http://schemas.openxmlformats.org/officeDocument/2006/relationships/hyperlink" Target="https://intelshare.intelink.gov/sites/dlms/Supply%20PRC/17-2/Quantity_Change_discussion_FOUO.pdf" TargetMode="External"/><Relationship Id="rId3" Type="http://schemas.openxmlformats.org/officeDocument/2006/relationships/customXml" Target="../customXml/item3.xml"/><Relationship Id="rId21" Type="http://schemas.openxmlformats.org/officeDocument/2006/relationships/hyperlink" Target="http://www.dla.mil/Portals/104/Documents/DLMS/Committees/Supply/Meetings/17-2/PDC_1244_Visibility_of_UIT_15_Nov_2017.pdf" TargetMode="External"/><Relationship Id="rId7" Type="http://schemas.openxmlformats.org/officeDocument/2006/relationships/webSettings" Target="webSettings.xml"/><Relationship Id="rId12" Type="http://schemas.openxmlformats.org/officeDocument/2006/relationships/hyperlink" Target="http://www.dla.mil/HQ/InformationOperations/DLMS/committees" TargetMode="External"/><Relationship Id="rId17" Type="http://schemas.openxmlformats.org/officeDocument/2006/relationships/hyperlink" Target="http://www.dla.mil/Portals/104/Documents/DLMS/PDC/PDC_1249_Directed_Return_DOCNO_ship-in-place_SDR_data_fields_for_returns.pdf" TargetMode="External"/><Relationship Id="rId25" Type="http://schemas.openxmlformats.org/officeDocument/2006/relationships/hyperlink" Target="https://intelshare.intelink.gov/sites/dlms/Supply%20PRC/17-2/Suspended_Stock_Supply_SDR_PRC_FOUO_V01.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la.mil/Portals/104/Documents/DLMS/Committees/Supply/Meetings/17-2/PMR_BAR_CODE_20_Memo_Oct_2017.pdf" TargetMode="External"/><Relationship Id="rId20" Type="http://schemas.openxmlformats.org/officeDocument/2006/relationships/hyperlink" Target="http://www.dla.mil/Portals/104/Documents/DLMS/ADC/ADC_1198A_Addendum_September_2017.pdf" TargetMode="External"/><Relationship Id="rId29" Type="http://schemas.openxmlformats.org/officeDocument/2006/relationships/hyperlink" Target="http://www.dla.mil/Portals/104/Documents/DLMS/Committees/Supply/Meetings/17-2/PDC_Overview_Brief_Nov_2017.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la.mil/HQ/InformationOperations/Defense-Logistics-Management-Standards/Directions/" TargetMode="External"/><Relationship Id="rId24" Type="http://schemas.openxmlformats.org/officeDocument/2006/relationships/hyperlink" Target="http://www.dla.mil/Portals/104/Documents/DLMS/Committees/Supply/Meetings/17-2/DLMS_eLearning_Update.pptx"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intelshare.intelink.gov/sites/dlms/Supply%20PRC/17-2/DLA_EBSO_Nov_14_and_15_PQDR_Exhibit_Issues_FOUO.pdf" TargetMode="External"/><Relationship Id="rId23" Type="http://schemas.openxmlformats.org/officeDocument/2006/relationships/hyperlink" Target="http://www.dla.mil/Portals/104/Documents/DLMS/Committees/Supply/Meetings/17-2/Brief-DLA-MRA-Logic-2017-11-15-v2-topic-5.pdf" TargetMode="External"/><Relationship Id="rId28" Type="http://schemas.openxmlformats.org/officeDocument/2006/relationships/hyperlink" Target="http://www.dla.mil/Portals/104/Documents/DLMS/Committees/Supply/Meetings/17-2/DLMS_Compliance-SPRC_17-2.pdf" TargetMode="External"/><Relationship Id="rId10" Type="http://schemas.openxmlformats.org/officeDocument/2006/relationships/hyperlink" Target="https://conference.apps.mil/webconf/SupplyJPIWGSDR1702PRCNOV2017" TargetMode="External"/><Relationship Id="rId19" Type="http://schemas.openxmlformats.org/officeDocument/2006/relationships/hyperlink" Target="http://www.dla.mil/Portals/104/Documents/DLMS/ADC/ADC_1198_Accountability_For_Capital_Equipment_at_DLA_Distribution_Signed_2016_10_06.pdf" TargetMode="External"/><Relationship Id="rId31" Type="http://schemas.openxmlformats.org/officeDocument/2006/relationships/hyperlink" Target="http://www.dla.mil/Portals/104/Documents/DLMS/Committees/Supply/Meetings/17-2/X12_Standards_in_the_DLMS.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la.mil/Portals/104/Documents/DLMS/Committees/Supply/Meetings/17-2/Document_Number_Assignment_for_Directed_Returns_of_Discrepant_Materiel_SDR.pdf" TargetMode="External"/><Relationship Id="rId22" Type="http://schemas.openxmlformats.org/officeDocument/2006/relationships/hyperlink" Target="http://www.dla.mil/Portals/104/Documents/DLMS/Committees/Supply/Meetings/17-2/MRA_Background_SPRC_20171115.pdf" TargetMode="External"/><Relationship Id="rId27" Type="http://schemas.openxmlformats.org/officeDocument/2006/relationships/hyperlink" Target="http://www.dla.mil/Portals/104/Documents/DLMS/Committees/Supply/Meetings/17-2/10_SFPA_SCESC_2017-10-17_Robert_Carroll_Abridged.pdf" TargetMode="External"/><Relationship Id="rId30" Type="http://schemas.openxmlformats.org/officeDocument/2006/relationships/hyperlink" Target="http://www.dla.mil/Portals/104/Documents/DLMS/Committees/Supply/Meetings/17-2/LOGDRMS-Update-Raising_Awareness.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igned xmlns="1019005c-580f-42ae-adec-ba9490377f66">
      <Value>Belcher</Value>
      <Value>Hilert</Value>
      <Value>Flanagan</Value>
      <Value>Gonzalez</Value>
      <Value>Jensen</Value>
      <Value>Johnson</Value>
    </Assigned>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F116ADBD23054CA10BDD9362BC0353" ma:contentTypeVersion="5" ma:contentTypeDescription="Create a new document." ma:contentTypeScope="" ma:versionID="14fc1a7d27c75dbfa19e3c81303ad42c">
  <xsd:schema xmlns:xsd="http://www.w3.org/2001/XMLSchema" xmlns:xs="http://www.w3.org/2001/XMLSchema" xmlns:p="http://schemas.microsoft.com/office/2006/metadata/properties" xmlns:ns1="http://schemas.microsoft.com/sharepoint/v3" xmlns:ns2="http://schemas.microsoft.com/sharepoint/v4" xmlns:ns3="1019005c-580f-42ae-adec-ba9490377f66" targetNamespace="http://schemas.microsoft.com/office/2006/metadata/properties" ma:root="true" ma:fieldsID="9f63284b774a3f4f5fddb0bc14f63941" ns1:_="" ns2:_="" ns3:_="">
    <xsd:import namespace="http://schemas.microsoft.com/sharepoint/v3"/>
    <xsd:import namespace="http://schemas.microsoft.com/sharepoint/v4"/>
    <xsd:import namespace="1019005c-580f-42ae-adec-ba9490377f66"/>
    <xsd:element name="properties">
      <xsd:complexType>
        <xsd:sequence>
          <xsd:element name="documentManagement">
            <xsd:complexType>
              <xsd:all>
                <xsd:element ref="ns1:_vti_ItemHoldRecordStatus" minOccurs="0"/>
                <xsd:element ref="ns2:IconOverlay" minOccurs="0"/>
                <xsd:element ref="ns3:Assign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9005c-580f-42ae-adec-ba9490377f66" elementFormDefault="qualified">
    <xsd:import namespace="http://schemas.microsoft.com/office/2006/documentManagement/types"/>
    <xsd:import namespace="http://schemas.microsoft.com/office/infopath/2007/PartnerControls"/>
    <xsd:element name="Assigned" ma:index="10" nillable="true" ma:displayName="Assigned to" ma:description="Assigned for review" ma:internalName="Assigned">
      <xsd:complexType>
        <xsd:complexContent>
          <xsd:extension base="dms:MultiChoice">
            <xsd:sequence>
              <xsd:element name="Value" maxOccurs="unbounded" minOccurs="0" nillable="true">
                <xsd:simpleType>
                  <xsd:restriction base="dms:Choice">
                    <xsd:enumeration value="Belcher"/>
                    <xsd:enumeration value="Breen"/>
                    <xsd:enumeration value="Daniels"/>
                    <xsd:enumeration value="Daverede"/>
                    <xsd:enumeration value="Davis (DAAS)"/>
                    <xsd:enumeration value="Deans"/>
                    <xsd:enumeration value="Delaney"/>
                    <xsd:enumeration value="Hilert"/>
                    <xsd:enumeration value="Flanagan"/>
                    <xsd:enumeration value="Gonzalez"/>
                    <xsd:enumeration value="Hammond"/>
                    <xsd:enumeration value="Jensen"/>
                    <xsd:enumeration value="Johnson"/>
                    <xsd:enumeration value="Macias"/>
                    <xsd:enumeration value="Napoli"/>
                    <xsd:enumeration value="Nguyen"/>
                    <xsd:enumeration value="Tanner"/>
                    <xsd:enumeration value="Williams"/>
                    <xsd:enumeration value="Yeake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32CEA3-8C85-4670-8AA4-2BFFFB54F59B}">
  <ds:schemaRefs>
    <ds:schemaRef ds:uri="http://purl.org/dc/elements/1.1/"/>
    <ds:schemaRef ds:uri="http://purl.org/dc/dcmitype/"/>
    <ds:schemaRef ds:uri="http://www.w3.org/XML/1998/namespace"/>
    <ds:schemaRef ds:uri="http://schemas.microsoft.com/office/2006/documentManagement/types"/>
    <ds:schemaRef ds:uri="http://schemas.microsoft.com/office/infopath/2007/PartnerControls"/>
    <ds:schemaRef ds:uri="http://schemas.microsoft.com/sharepoint/v3"/>
    <ds:schemaRef ds:uri="http://purl.org/dc/terms/"/>
    <ds:schemaRef ds:uri="http://schemas.microsoft.com/office/2006/metadata/properties"/>
    <ds:schemaRef ds:uri="http://schemas.openxmlformats.org/package/2006/metadata/core-properties"/>
    <ds:schemaRef ds:uri="1019005c-580f-42ae-adec-ba9490377f66"/>
    <ds:schemaRef ds:uri="http://schemas.microsoft.com/sharepoint/v4"/>
  </ds:schemaRefs>
</ds:datastoreItem>
</file>

<file path=customXml/itemProps2.xml><?xml version="1.0" encoding="utf-8"?>
<ds:datastoreItem xmlns:ds="http://schemas.openxmlformats.org/officeDocument/2006/customXml" ds:itemID="{87FBE293-5415-4256-9DCC-60583108D669}">
  <ds:schemaRefs>
    <ds:schemaRef ds:uri="http://schemas.microsoft.com/sharepoint/v3/contenttype/forms"/>
  </ds:schemaRefs>
</ds:datastoreItem>
</file>

<file path=customXml/itemProps3.xml><?xml version="1.0" encoding="utf-8"?>
<ds:datastoreItem xmlns:ds="http://schemas.openxmlformats.org/officeDocument/2006/customXml" ds:itemID="{EE045957-AEE2-49D8-A37B-C043EFF7D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1019005c-580f-42ae-adec-ba9490377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3E8E884E.dotm</Template>
  <TotalTime>26</TotalTime>
  <Pages>3</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Joint Supply SDR JPIWG PRC Agenda 17-2</vt:lpstr>
    </vt:vector>
  </TitlesOfParts>
  <Company>DLMSO</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Supply SDR JPIWG PRC Agenda 17-2</dc:title>
  <dc:subject/>
  <dc:creator>MAry Jane Johnson</dc:creator>
  <cp:keywords/>
  <dc:description/>
  <cp:lastModifiedBy>Nguyen, Bao X CTR DLA INFO OPERATIONS (US)</cp:lastModifiedBy>
  <cp:revision>5</cp:revision>
  <cp:lastPrinted>2015-04-16T16:25:00Z</cp:lastPrinted>
  <dcterms:created xsi:type="dcterms:W3CDTF">2017-11-16T12:34:00Z</dcterms:created>
  <dcterms:modified xsi:type="dcterms:W3CDTF">2017-11-17T13:58:00Z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0x010100AFF116ADBD23054CA10BDD9362BC0353</vt:lpwstr>
  </property>
  <property fmtid="{D5CDD505-2E9C-101B-9397-08002B2CF9AE}" pid="3" name="_NewReviewCycle">
    <vt:lpwstr/>
  </property>
</Properties>
</file>