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86E6E" w14:textId="77777777" w:rsidR="007C2105" w:rsidRPr="00E65770" w:rsidRDefault="007C2105" w:rsidP="00E6190C">
      <w:pPr>
        <w:spacing w:after="240"/>
        <w:jc w:val="center"/>
        <w:rPr>
          <w:b/>
          <w:sz w:val="44"/>
          <w:szCs w:val="44"/>
          <w:u w:val="single"/>
        </w:rPr>
      </w:pPr>
      <w:r w:rsidRPr="00E65770">
        <w:rPr>
          <w:b/>
          <w:sz w:val="44"/>
          <w:szCs w:val="44"/>
          <w:u w:val="single"/>
        </w:rPr>
        <w:t>C19. CHAPTER 19</w:t>
      </w:r>
    </w:p>
    <w:p w14:paraId="26486E6F" w14:textId="77777777" w:rsidR="007C2105" w:rsidRPr="00336869" w:rsidRDefault="007C2105" w:rsidP="00E6190C">
      <w:pPr>
        <w:spacing w:after="360"/>
        <w:jc w:val="center"/>
        <w:rPr>
          <w:b/>
          <w:color w:val="000000"/>
          <w:sz w:val="36"/>
          <w:szCs w:val="36"/>
          <w:u w:val="single"/>
        </w:rPr>
      </w:pPr>
      <w:r w:rsidRPr="00336869">
        <w:rPr>
          <w:b/>
          <w:sz w:val="36"/>
          <w:szCs w:val="36"/>
          <w:u w:val="single"/>
        </w:rPr>
        <w:t xml:space="preserve">UNIQUE ITEM </w:t>
      </w:r>
      <w:r w:rsidRPr="00336869">
        <w:rPr>
          <w:b/>
          <w:color w:val="000000"/>
          <w:sz w:val="36"/>
          <w:szCs w:val="36"/>
          <w:u w:val="single"/>
        </w:rPr>
        <w:t>TRACKING</w:t>
      </w:r>
    </w:p>
    <w:p w14:paraId="4939921B" w14:textId="77777777" w:rsidR="00E6190C" w:rsidRPr="00E6190C" w:rsidRDefault="00E6190C" w:rsidP="00B846A8">
      <w:pPr>
        <w:tabs>
          <w:tab w:val="left" w:pos="540"/>
          <w:tab w:val="left" w:pos="1080"/>
        </w:tabs>
        <w:spacing w:after="240"/>
        <w:outlineLvl w:val="1"/>
      </w:pPr>
      <w:r w:rsidRPr="00E6190C">
        <w:t xml:space="preserve">C19.1.  </w:t>
      </w:r>
      <w:r w:rsidRPr="00E6190C">
        <w:rPr>
          <w:u w:val="single"/>
        </w:rPr>
        <w:t>SCOPE</w:t>
      </w:r>
      <w:r w:rsidRPr="00E6190C">
        <w:t xml:space="preserve">.  </w:t>
      </w:r>
    </w:p>
    <w:p w14:paraId="40A6FAE3" w14:textId="77777777" w:rsidR="00E6190C" w:rsidRPr="00E6190C" w:rsidRDefault="00E6190C" w:rsidP="00B846A8">
      <w:pPr>
        <w:tabs>
          <w:tab w:val="left" w:pos="540"/>
          <w:tab w:val="left" w:pos="1080"/>
        </w:tabs>
        <w:spacing w:after="240"/>
        <w:outlineLvl w:val="1"/>
      </w:pPr>
      <w:r w:rsidRPr="00E6190C">
        <w:rPr>
          <w:b/>
          <w:i/>
        </w:rPr>
        <w:tab/>
        <w:t>C19.1.1.</w:t>
      </w:r>
      <w:r w:rsidRPr="00E6190C">
        <w:t xml:space="preserve">  The provisions of this chapter apply to the Military Departments including Coast Guard and Defense Agencies (hereafter referred to as the DoD Components) responsible for unique item tracking (UIT).  </w:t>
      </w:r>
    </w:p>
    <w:p w14:paraId="60F3B193" w14:textId="3C681D04" w:rsidR="00E6190C" w:rsidRPr="00E6190C" w:rsidRDefault="00E6190C" w:rsidP="00B846A8">
      <w:pPr>
        <w:tabs>
          <w:tab w:val="left" w:pos="540"/>
          <w:tab w:val="left" w:pos="1080"/>
        </w:tabs>
        <w:spacing w:after="240"/>
        <w:outlineLvl w:val="1"/>
        <w:rPr>
          <w:b/>
          <w:i/>
        </w:rPr>
      </w:pPr>
      <w:r w:rsidRPr="00E6190C">
        <w:rPr>
          <w:b/>
          <w:i/>
        </w:rPr>
        <w:tab/>
        <w:t>C19.1.2.</w:t>
      </w:r>
      <w:r w:rsidRPr="00E6190C">
        <w:t xml:space="preserve">  </w:t>
      </w:r>
      <w:r w:rsidRPr="00E6190C">
        <w:rPr>
          <w:b/>
          <w:i/>
        </w:rPr>
        <w:t>This chapter addresses the</w:t>
      </w:r>
      <w:r w:rsidRPr="00E6190C">
        <w:t xml:space="preserve"> </w:t>
      </w:r>
      <w:r w:rsidRPr="00E6190C">
        <w:rPr>
          <w:b/>
          <w:i/>
        </w:rPr>
        <w:t>existing</w:t>
      </w:r>
      <w:r w:rsidRPr="00E6190C">
        <w:t xml:space="preserve"> </w:t>
      </w:r>
      <w:r w:rsidRPr="00E6190C">
        <w:rPr>
          <w:b/>
          <w:i/>
        </w:rPr>
        <w:t>DoD level (inter-DoD Component) UIT programs</w:t>
      </w:r>
      <w:r w:rsidRPr="00E6190C">
        <w:t xml:space="preserve"> </w:t>
      </w:r>
      <w:r w:rsidRPr="00E6190C">
        <w:rPr>
          <w:b/>
          <w:i/>
        </w:rPr>
        <w:t xml:space="preserve">identified in paragraphs C19.25 and C19.26.  In accordance with </w:t>
      </w:r>
      <w:hyperlink r:id="rId10" w:history="1">
        <w:r w:rsidRPr="00E6190C">
          <w:rPr>
            <w:b/>
            <w:i/>
            <w:color w:val="0000FF"/>
            <w:u w:val="single"/>
          </w:rPr>
          <w:t>DODM 4140.01</w:t>
        </w:r>
      </w:hyperlink>
      <w:r w:rsidRPr="00E6190C">
        <w:rPr>
          <w:b/>
          <w:i/>
        </w:rPr>
        <w:t xml:space="preserve">, </w:t>
      </w:r>
      <w:r w:rsidRPr="00E6190C">
        <w:rPr>
          <w:b/>
        </w:rPr>
        <w:t>“</w:t>
      </w:r>
      <w:r w:rsidRPr="00E6190C">
        <w:rPr>
          <w:b/>
          <w:i/>
        </w:rPr>
        <w:t>DoD Supply Chain Materiel Management Procedures, Volume 9, Materiel Programs,” no new UIT programs will be established.</w:t>
      </w:r>
      <w:bookmarkStart w:id="0" w:name="_GoBack"/>
      <w:bookmarkEnd w:id="0"/>
    </w:p>
    <w:p w14:paraId="7FF04FCE" w14:textId="77777777" w:rsidR="00E6190C" w:rsidRPr="00E6190C" w:rsidRDefault="00E6190C" w:rsidP="00B846A8">
      <w:pPr>
        <w:tabs>
          <w:tab w:val="left" w:pos="540"/>
          <w:tab w:val="left" w:pos="1080"/>
        </w:tabs>
        <w:spacing w:after="240"/>
        <w:outlineLvl w:val="1"/>
      </w:pPr>
      <w:r w:rsidRPr="00E6190C">
        <w:rPr>
          <w:b/>
          <w:i/>
        </w:rPr>
        <w:tab/>
        <w:t xml:space="preserve">C19.1.3.  </w:t>
      </w:r>
      <w:r w:rsidRPr="00E6190C">
        <w:t xml:space="preserve">This chapter covers procedures to report, populate, update, and reconcile UIT </w:t>
      </w:r>
      <w:r w:rsidRPr="00E6190C">
        <w:rPr>
          <w:b/>
          <w:i/>
        </w:rPr>
        <w:t>items as required by existing UIT programs,</w:t>
      </w:r>
      <w:r w:rsidRPr="00E6190C">
        <w:t xml:space="preserve"> in the DoD Component systems related to or impacted by </w:t>
      </w:r>
      <w:r w:rsidRPr="00E6190C">
        <w:rPr>
          <w:b/>
          <w:i/>
        </w:rPr>
        <w:t>those</w:t>
      </w:r>
      <w:r w:rsidRPr="00E6190C">
        <w:t xml:space="preserve"> </w:t>
      </w:r>
      <w:r w:rsidRPr="00E6190C">
        <w:rPr>
          <w:b/>
          <w:i/>
        </w:rPr>
        <w:t>programs</w:t>
      </w:r>
      <w:r w:rsidRPr="00E6190C">
        <w:t>.</w:t>
      </w:r>
    </w:p>
    <w:p w14:paraId="41329842" w14:textId="77777777" w:rsidR="00E6190C" w:rsidRPr="00E6190C" w:rsidRDefault="00E6190C" w:rsidP="00B846A8">
      <w:pPr>
        <w:tabs>
          <w:tab w:val="left" w:pos="540"/>
          <w:tab w:val="left" w:pos="1080"/>
        </w:tabs>
        <w:spacing w:after="240"/>
        <w:outlineLvl w:val="1"/>
        <w:rPr>
          <w:u w:val="single"/>
        </w:rPr>
      </w:pPr>
      <w:r w:rsidRPr="00E6190C">
        <w:t xml:space="preserve">C19.2.  </w:t>
      </w:r>
      <w:r w:rsidRPr="00E6190C">
        <w:rPr>
          <w:u w:val="single"/>
        </w:rPr>
        <w:t>EXCLUSIONS</w:t>
      </w:r>
    </w:p>
    <w:p w14:paraId="4D07F0B8" w14:textId="77777777" w:rsidR="00E6190C" w:rsidRPr="00E6190C" w:rsidRDefault="00E6190C" w:rsidP="00B846A8">
      <w:pPr>
        <w:tabs>
          <w:tab w:val="left" w:pos="540"/>
          <w:tab w:val="left" w:pos="1080"/>
        </w:tabs>
        <w:spacing w:after="240"/>
        <w:outlineLvl w:val="1"/>
      </w:pPr>
      <w:r w:rsidRPr="00E6190C">
        <w:tab/>
        <w:t xml:space="preserve">C19.2.1.  Classified activities that determine the visibility of specific UIT </w:t>
      </w:r>
      <w:r w:rsidRPr="00E6190C">
        <w:rPr>
          <w:b/>
          <w:i/>
        </w:rPr>
        <w:t>items</w:t>
      </w:r>
      <w:r w:rsidRPr="00E6190C">
        <w:t xml:space="preserve"> may compromise operational security will request guidance from their DoD Components.</w:t>
      </w:r>
    </w:p>
    <w:p w14:paraId="44AAAD64" w14:textId="7BF1D7B4" w:rsidR="00E6190C" w:rsidRPr="00E6190C" w:rsidRDefault="00E6190C" w:rsidP="00B846A8">
      <w:pPr>
        <w:tabs>
          <w:tab w:val="left" w:pos="540"/>
          <w:tab w:val="left" w:pos="1080"/>
        </w:tabs>
        <w:spacing w:after="240"/>
        <w:outlineLvl w:val="1"/>
        <w:rPr>
          <w:b/>
          <w:i/>
        </w:rPr>
      </w:pPr>
      <w:r w:rsidRPr="00E6190C">
        <w:tab/>
        <w:t xml:space="preserve">C19.2.2.  </w:t>
      </w:r>
      <w:r w:rsidRPr="00E6190C">
        <w:rPr>
          <w:b/>
          <w:i/>
        </w:rPr>
        <w:t xml:space="preserve">DoD </w:t>
      </w:r>
      <w:r w:rsidRPr="00E6190C">
        <w:t xml:space="preserve">Small </w:t>
      </w:r>
      <w:r w:rsidRPr="00E6190C">
        <w:rPr>
          <w:b/>
          <w:i/>
        </w:rPr>
        <w:t>A</w:t>
      </w:r>
      <w:r w:rsidRPr="00E6190C">
        <w:t xml:space="preserve">rms and </w:t>
      </w:r>
      <w:r w:rsidRPr="00E6190C">
        <w:rPr>
          <w:b/>
          <w:i/>
        </w:rPr>
        <w:t>L</w:t>
      </w:r>
      <w:r w:rsidRPr="00E6190C">
        <w:t xml:space="preserve">ight </w:t>
      </w:r>
      <w:r w:rsidRPr="00E6190C">
        <w:rPr>
          <w:b/>
          <w:i/>
        </w:rPr>
        <w:t>W</w:t>
      </w:r>
      <w:r w:rsidRPr="00E6190C">
        <w:t xml:space="preserve">eapons </w:t>
      </w:r>
      <w:r w:rsidRPr="00E6190C">
        <w:rPr>
          <w:b/>
          <w:i/>
        </w:rPr>
        <w:t>(SA/LW)</w:t>
      </w:r>
      <w:r w:rsidRPr="00E6190C">
        <w:t xml:space="preserve"> </w:t>
      </w:r>
      <w:r w:rsidRPr="00E6190C">
        <w:rPr>
          <w:b/>
          <w:i/>
        </w:rPr>
        <w:t>Serialization</w:t>
      </w:r>
      <w:r w:rsidRPr="00E6190C">
        <w:t xml:space="preserve"> </w:t>
      </w:r>
      <w:r w:rsidRPr="00E6190C">
        <w:rPr>
          <w:b/>
          <w:i/>
        </w:rPr>
        <w:t>P</w:t>
      </w:r>
      <w:r w:rsidRPr="00E6190C">
        <w:t>rogram</w:t>
      </w:r>
      <w:r w:rsidRPr="00E6190C">
        <w:rPr>
          <w:b/>
          <w:i/>
        </w:rPr>
        <w:t>.  The DOD SA/LW Serialization UIT program has unique transaction requirements and procedures documented in Chapter 18.  The SA/LW</w:t>
      </w:r>
      <w:r w:rsidR="00877C62">
        <w:rPr>
          <w:b/>
          <w:i/>
        </w:rPr>
        <w:t xml:space="preserve"> program is subject to the </w:t>
      </w:r>
      <w:r w:rsidR="00877C62" w:rsidRPr="00E6190C">
        <w:rPr>
          <w:b/>
          <w:i/>
        </w:rPr>
        <w:t xml:space="preserve">Item Unique Identification (IUID) </w:t>
      </w:r>
      <w:r w:rsidRPr="00E6190C">
        <w:rPr>
          <w:b/>
          <w:i/>
        </w:rPr>
        <w:t>transaction requirements, which are identified in paragraph C19.25.4.</w:t>
      </w:r>
      <w:r w:rsidR="00877C62">
        <w:rPr>
          <w:b/>
          <w:i/>
        </w:rPr>
        <w:t xml:space="preserve">  </w:t>
      </w:r>
      <w:r w:rsidR="00877C62" w:rsidRPr="00877C62">
        <w:rPr>
          <w:b/>
          <w:bCs/>
          <w:i/>
          <w:iCs/>
        </w:rPr>
        <w:t>SA/LW must also meet the requirements described in this chapter for assignment of a UIT designator code, assignment of the IUID Indicator Y (yes), and transition from uniquely identifying items by serial number to the use of unique item identifier (UII) as required by DOD policy.</w:t>
      </w:r>
    </w:p>
    <w:p w14:paraId="62CABA68" w14:textId="28ABB15D" w:rsidR="00E6190C" w:rsidRPr="00E6190C" w:rsidRDefault="00E6190C" w:rsidP="00B846A8">
      <w:pPr>
        <w:tabs>
          <w:tab w:val="left" w:pos="540"/>
          <w:tab w:val="left" w:pos="1080"/>
        </w:tabs>
        <w:spacing w:after="240"/>
        <w:outlineLvl w:val="1"/>
        <w:rPr>
          <w:b/>
          <w:i/>
        </w:rPr>
      </w:pPr>
      <w:r w:rsidRPr="00E6190C">
        <w:t xml:space="preserve">C19.3.  </w:t>
      </w:r>
      <w:r w:rsidRPr="00E6190C">
        <w:rPr>
          <w:b/>
          <w:i/>
          <w:u w:val="single"/>
        </w:rPr>
        <w:t>POLICY</w:t>
      </w:r>
      <w:r w:rsidRPr="00E6190C">
        <w:t xml:space="preserve">.  </w:t>
      </w:r>
      <w:r w:rsidRPr="00E6190C">
        <w:rPr>
          <w:b/>
          <w:i/>
        </w:rPr>
        <w:t xml:space="preserve">In accordance with </w:t>
      </w:r>
      <w:hyperlink r:id="rId11" w:history="1">
        <w:r w:rsidRPr="00E6190C">
          <w:rPr>
            <w:b/>
            <w:i/>
            <w:color w:val="0000FF"/>
            <w:u w:val="single"/>
          </w:rPr>
          <w:t>DODM 4140.01</w:t>
        </w:r>
      </w:hyperlink>
      <w:r w:rsidRPr="00E6190C">
        <w:rPr>
          <w:b/>
          <w:i/>
        </w:rPr>
        <w:t xml:space="preserve"> policy:</w:t>
      </w:r>
    </w:p>
    <w:p w14:paraId="165E02E6" w14:textId="77777777" w:rsidR="00E6190C" w:rsidRPr="00E6190C" w:rsidRDefault="00E6190C" w:rsidP="00B846A8">
      <w:pPr>
        <w:tabs>
          <w:tab w:val="left" w:pos="540"/>
          <w:tab w:val="left" w:pos="1080"/>
        </w:tabs>
        <w:spacing w:after="240"/>
        <w:outlineLvl w:val="1"/>
        <w:rPr>
          <w:b/>
          <w:i/>
        </w:rPr>
      </w:pPr>
      <w:r w:rsidRPr="00E6190C">
        <w:rPr>
          <w:b/>
          <w:i/>
        </w:rPr>
        <w:tab/>
        <w:t>C19.3.1.  No new UIT programs will be established.</w:t>
      </w:r>
    </w:p>
    <w:p w14:paraId="2FA1E03D" w14:textId="6D20189E" w:rsidR="00E6190C" w:rsidRPr="00E6190C" w:rsidRDefault="00E6190C" w:rsidP="00B846A8">
      <w:pPr>
        <w:tabs>
          <w:tab w:val="left" w:pos="540"/>
          <w:tab w:val="left" w:pos="1080"/>
        </w:tabs>
        <w:spacing w:after="240"/>
        <w:outlineLvl w:val="1"/>
        <w:rPr>
          <w:b/>
          <w:i/>
        </w:rPr>
      </w:pPr>
      <w:r w:rsidRPr="00E6190C">
        <w:rPr>
          <w:b/>
          <w:i/>
        </w:rPr>
        <w:tab/>
        <w:t xml:space="preserve">C19.3.2.  DoD Components will transition from uniquely identifying UIT items by serial number, to the use of </w:t>
      </w:r>
      <w:r w:rsidR="00877C62">
        <w:rPr>
          <w:b/>
          <w:i/>
        </w:rPr>
        <w:t>UII</w:t>
      </w:r>
      <w:r w:rsidRPr="00E6190C">
        <w:rPr>
          <w:b/>
          <w:i/>
        </w:rPr>
        <w:t>.</w:t>
      </w:r>
    </w:p>
    <w:p w14:paraId="4A7725E6" w14:textId="57F5B3DB" w:rsidR="00877C62" w:rsidRPr="00E6190C" w:rsidRDefault="00E6190C" w:rsidP="00B846A8">
      <w:pPr>
        <w:tabs>
          <w:tab w:val="left" w:pos="540"/>
          <w:tab w:val="left" w:pos="1080"/>
        </w:tabs>
        <w:spacing w:after="240"/>
        <w:outlineLvl w:val="1"/>
        <w:rPr>
          <w:b/>
          <w:i/>
        </w:rPr>
      </w:pPr>
      <w:r w:rsidRPr="00E6190C">
        <w:rPr>
          <w:b/>
          <w:i/>
        </w:rPr>
        <w:tab/>
        <w:t xml:space="preserve">C19.3.3.  DoD Components will review existing UIT programs for possible transition to </w:t>
      </w:r>
      <w:r w:rsidR="00877C62">
        <w:rPr>
          <w:b/>
          <w:i/>
        </w:rPr>
        <w:t>IUID</w:t>
      </w:r>
      <w:r w:rsidRPr="00E6190C">
        <w:rPr>
          <w:b/>
          <w:i/>
        </w:rPr>
        <w:t xml:space="preserve"> Registry functionality.</w:t>
      </w:r>
    </w:p>
    <w:p w14:paraId="3965CF27" w14:textId="77777777" w:rsidR="00E6190C" w:rsidRPr="00E6190C" w:rsidRDefault="00E6190C" w:rsidP="00B846A8">
      <w:pPr>
        <w:tabs>
          <w:tab w:val="left" w:pos="540"/>
          <w:tab w:val="left" w:pos="1080"/>
        </w:tabs>
        <w:spacing w:after="240"/>
        <w:outlineLvl w:val="1"/>
        <w:rPr>
          <w:u w:val="single"/>
        </w:rPr>
      </w:pPr>
      <w:r w:rsidRPr="00E6190C">
        <w:lastRenderedPageBreak/>
        <w:t xml:space="preserve">C19.4.  </w:t>
      </w:r>
      <w:r w:rsidRPr="00E6190C">
        <w:rPr>
          <w:u w:val="single"/>
        </w:rPr>
        <w:t>OBJECTIVES</w:t>
      </w:r>
    </w:p>
    <w:p w14:paraId="11C8E7DB" w14:textId="77777777" w:rsidR="00E6190C" w:rsidRPr="00E6190C" w:rsidRDefault="00E6190C" w:rsidP="00B846A8">
      <w:pPr>
        <w:tabs>
          <w:tab w:val="left" w:pos="540"/>
          <w:tab w:val="left" w:pos="1080"/>
        </w:tabs>
        <w:spacing w:after="240"/>
        <w:outlineLvl w:val="1"/>
      </w:pPr>
      <w:r w:rsidRPr="00E6190C">
        <w:tab/>
        <w:t xml:space="preserve">C19.4.1.  Establish visibility over UIT </w:t>
      </w:r>
      <w:r w:rsidRPr="00E6190C">
        <w:rPr>
          <w:b/>
          <w:i/>
        </w:rPr>
        <w:t>items</w:t>
      </w:r>
      <w:r w:rsidRPr="00E6190C">
        <w:t xml:space="preserve"> from their point of entry into the DoD logistics systems through disposal, demilitarization</w:t>
      </w:r>
      <w:r w:rsidRPr="00E6190C">
        <w:rPr>
          <w:b/>
          <w:i/>
        </w:rPr>
        <w:t>,</w:t>
      </w:r>
      <w:r w:rsidRPr="00E6190C">
        <w:t xml:space="preserve"> or shipment outside the control of the Department of Defense, </w:t>
      </w:r>
      <w:r w:rsidRPr="00E6190C">
        <w:rPr>
          <w:b/>
          <w:i/>
        </w:rPr>
        <w:t>as required by existing UIT programs</w:t>
      </w:r>
      <w:r w:rsidRPr="00E6190C">
        <w:t>.</w:t>
      </w:r>
    </w:p>
    <w:p w14:paraId="63738A7B" w14:textId="77777777" w:rsidR="00E6190C" w:rsidRPr="00E6190C" w:rsidRDefault="00E6190C" w:rsidP="00B846A8">
      <w:pPr>
        <w:tabs>
          <w:tab w:val="left" w:pos="540"/>
          <w:tab w:val="left" w:pos="1080"/>
        </w:tabs>
        <w:spacing w:after="240"/>
        <w:outlineLvl w:val="1"/>
      </w:pPr>
      <w:r w:rsidRPr="00E6190C">
        <w:tab/>
        <w:t>C19.4.2.  Reestablish visibility over a UIT item previously shipped outside the Department of Defense’s control when it is reintroduced to DoD control.</w:t>
      </w:r>
    </w:p>
    <w:p w14:paraId="62948D4A" w14:textId="77777777" w:rsidR="00E6190C" w:rsidRPr="00E6190C" w:rsidRDefault="00E6190C" w:rsidP="00B846A8">
      <w:pPr>
        <w:tabs>
          <w:tab w:val="left" w:pos="540"/>
          <w:tab w:val="left" w:pos="1080"/>
        </w:tabs>
        <w:spacing w:after="240"/>
        <w:outlineLvl w:val="1"/>
      </w:pPr>
      <w:r w:rsidRPr="00E6190C">
        <w:tab/>
        <w:t xml:space="preserve">C19.4.3.  Require </w:t>
      </w:r>
      <w:r w:rsidRPr="00E6190C">
        <w:rPr>
          <w:b/>
          <w:i/>
        </w:rPr>
        <w:t>the</w:t>
      </w:r>
      <w:r w:rsidRPr="00E6190C">
        <w:t xml:space="preserve"> use of standard logistics transactions to interface UIT reporting between/among owners, the DoD Components</w:t>
      </w:r>
      <w:r w:rsidRPr="00E6190C">
        <w:rPr>
          <w:b/>
          <w:i/>
        </w:rPr>
        <w:t>,</w:t>
      </w:r>
      <w:r w:rsidRPr="00E6190C">
        <w:t xml:space="preserve"> and suppliers.  The objective is to populate accountability and, if required, visibility records using standard DLMS logistics transactions.  These procedures do not dictate whether the DoD Component systems accomplish UIT through an integrated automated information system (AIS) accommodating UIT data or through use of stand-alone UIT data registries.</w:t>
      </w:r>
    </w:p>
    <w:p w14:paraId="77FD2C57" w14:textId="77777777" w:rsidR="00E6190C" w:rsidRPr="00E6190C" w:rsidRDefault="00E6190C" w:rsidP="00B846A8">
      <w:pPr>
        <w:tabs>
          <w:tab w:val="left" w:pos="540"/>
          <w:tab w:val="left" w:pos="1080"/>
        </w:tabs>
        <w:spacing w:after="240"/>
        <w:outlineLvl w:val="1"/>
        <w:rPr>
          <w:u w:val="single"/>
        </w:rPr>
      </w:pPr>
      <w:r w:rsidRPr="00E6190C">
        <w:t xml:space="preserve">C19.5.  </w:t>
      </w:r>
      <w:r w:rsidRPr="00E6190C">
        <w:rPr>
          <w:u w:val="single"/>
        </w:rPr>
        <w:t>SAFEGUARDING AND PHYSICAL SECURITY OF UNIQUE ITEM TRACKING DATA RECORDS</w:t>
      </w:r>
    </w:p>
    <w:p w14:paraId="469B0B5A" w14:textId="77777777" w:rsidR="00E6190C" w:rsidRPr="00E6190C" w:rsidRDefault="00E6190C" w:rsidP="00B846A8">
      <w:pPr>
        <w:tabs>
          <w:tab w:val="left" w:pos="540"/>
          <w:tab w:val="left" w:pos="1080"/>
        </w:tabs>
        <w:spacing w:after="240"/>
        <w:outlineLvl w:val="1"/>
      </w:pPr>
      <w:r w:rsidRPr="00E6190C">
        <w:tab/>
        <w:t xml:space="preserve">C19.5.1.  Secure AIS records as required by </w:t>
      </w:r>
      <w:r w:rsidRPr="00E6190C">
        <w:rPr>
          <w:b/>
          <w:i/>
        </w:rPr>
        <w:t>DoDM 5200.01, Volume 1, “DoD Information Security Program: Overview, Classification, and Declassification,” February 24, 2012</w:t>
      </w:r>
      <w:r w:rsidRPr="00E6190C">
        <w:t>.</w:t>
      </w:r>
    </w:p>
    <w:p w14:paraId="450F5E60" w14:textId="77777777" w:rsidR="00E6190C" w:rsidRPr="00E6190C" w:rsidRDefault="00E6190C" w:rsidP="00B846A8">
      <w:pPr>
        <w:tabs>
          <w:tab w:val="left" w:pos="540"/>
          <w:tab w:val="left" w:pos="1080"/>
        </w:tabs>
        <w:spacing w:after="240"/>
        <w:outlineLvl w:val="1"/>
      </w:pPr>
      <w:r w:rsidRPr="00E6190C">
        <w:rPr>
          <w:bCs/>
        </w:rPr>
        <w:tab/>
        <w:t>C19.5.2.  Safeguarding</w:t>
      </w:r>
      <w:r w:rsidRPr="00E6190C">
        <w:t xml:space="preserve"> AIS UIT recorded data does not relieve units and activities from the DoD Component requirements for physical, electronic, and procedural security of items </w:t>
      </w:r>
      <w:r w:rsidRPr="00E6190C">
        <w:rPr>
          <w:b/>
          <w:i/>
        </w:rPr>
        <w:t>subject to UIT</w:t>
      </w:r>
      <w:r w:rsidRPr="00E6190C">
        <w:t>.</w:t>
      </w:r>
    </w:p>
    <w:p w14:paraId="79A46B2D" w14:textId="77777777" w:rsidR="00E6190C" w:rsidRPr="00E6190C" w:rsidRDefault="00E6190C" w:rsidP="00B846A8">
      <w:pPr>
        <w:tabs>
          <w:tab w:val="left" w:pos="540"/>
          <w:tab w:val="left" w:pos="1080"/>
        </w:tabs>
        <w:spacing w:after="240"/>
        <w:outlineLvl w:val="1"/>
      </w:pPr>
      <w:r w:rsidRPr="00E6190C">
        <w:t xml:space="preserve">C19.6.  </w:t>
      </w:r>
      <w:r w:rsidRPr="00E6190C">
        <w:rPr>
          <w:u w:val="single"/>
        </w:rPr>
        <w:t>VISIBILITY OF UNIQUE ITEM TRACKING ITEMS</w:t>
      </w:r>
      <w:r w:rsidRPr="00E6190C">
        <w:t xml:space="preserve">.  Establishing visibility of items comprising a UIT program (hereafter referred to as UIT items) may begin at any point in the supply chain.  Customarily, for “cradle to grave” UIT programs, initial tracking begins at time of shipment from the </w:t>
      </w:r>
      <w:r w:rsidRPr="00E6190C">
        <w:rPr>
          <w:b/>
          <w:i/>
        </w:rPr>
        <w:t>supplier/</w:t>
      </w:r>
      <w:r w:rsidRPr="00E6190C">
        <w:t>manufacturer.  Alternatively, a UIT program may begin after UIT items are already in the DoD logistics system.</w:t>
      </w:r>
    </w:p>
    <w:p w14:paraId="33B0A98A" w14:textId="48984966" w:rsidR="00E6190C" w:rsidRPr="00E6190C" w:rsidRDefault="00E6190C" w:rsidP="00B846A8">
      <w:pPr>
        <w:tabs>
          <w:tab w:val="left" w:pos="540"/>
          <w:tab w:val="left" w:pos="1080"/>
        </w:tabs>
        <w:spacing w:after="240"/>
        <w:outlineLvl w:val="1"/>
      </w:pPr>
      <w:r w:rsidRPr="00E6190C">
        <w:t xml:space="preserve">C19.7.  </w:t>
      </w:r>
      <w:r w:rsidRPr="00E6190C">
        <w:rPr>
          <w:u w:val="single"/>
        </w:rPr>
        <w:t>RESPONSIBILITIES FOR UNIQUE ITEM TRACKING</w:t>
      </w:r>
      <w:r w:rsidRPr="00E6190C">
        <w:t>.  The DoD Components will</w:t>
      </w:r>
    </w:p>
    <w:p w14:paraId="1B64E748" w14:textId="7B3A3868" w:rsidR="00E6190C" w:rsidRPr="00E6190C" w:rsidRDefault="00E6190C" w:rsidP="00CF55A4">
      <w:pPr>
        <w:tabs>
          <w:tab w:val="left" w:pos="540"/>
          <w:tab w:val="left" w:pos="1080"/>
        </w:tabs>
        <w:spacing w:after="240"/>
        <w:outlineLvl w:val="1"/>
        <w:rPr>
          <w:b/>
          <w:i/>
        </w:rPr>
      </w:pPr>
      <w:r w:rsidRPr="00E6190C">
        <w:rPr>
          <w:b/>
          <w:i/>
        </w:rPr>
        <w:tab/>
        <w:t>C19.7.1.  not establish new UIT programs,</w:t>
      </w:r>
    </w:p>
    <w:p w14:paraId="090967F6" w14:textId="77777777" w:rsidR="00E6190C" w:rsidRPr="00E6190C" w:rsidRDefault="00E6190C" w:rsidP="00B846A8">
      <w:pPr>
        <w:tabs>
          <w:tab w:val="left" w:pos="540"/>
          <w:tab w:val="left" w:pos="1080"/>
        </w:tabs>
        <w:spacing w:after="240"/>
        <w:outlineLvl w:val="1"/>
      </w:pPr>
      <w:r w:rsidRPr="00E6190C">
        <w:tab/>
        <w:t>C19.7.</w:t>
      </w:r>
      <w:r w:rsidRPr="00E6190C">
        <w:rPr>
          <w:b/>
          <w:i/>
        </w:rPr>
        <w:t>2</w:t>
      </w:r>
      <w:r w:rsidRPr="00E6190C">
        <w:t xml:space="preserve">.  </w:t>
      </w:r>
      <w:r w:rsidRPr="00E6190C">
        <w:rPr>
          <w:b/>
          <w:i/>
        </w:rPr>
        <w:t>m</w:t>
      </w:r>
      <w:r w:rsidRPr="00E6190C">
        <w:t>aintain AIS necessary to track UIT items for which the owner has or had accountability/visibility</w:t>
      </w:r>
      <w:r w:rsidRPr="00E6190C">
        <w:rPr>
          <w:b/>
          <w:i/>
        </w:rPr>
        <w:t>,</w:t>
      </w:r>
      <w:r w:rsidRPr="00E6190C">
        <w:t xml:space="preserve"> </w:t>
      </w:r>
    </w:p>
    <w:p w14:paraId="48E601B0" w14:textId="77777777" w:rsidR="00E6190C" w:rsidRPr="00E6190C" w:rsidRDefault="00E6190C" w:rsidP="00B846A8">
      <w:pPr>
        <w:tabs>
          <w:tab w:val="left" w:pos="540"/>
          <w:tab w:val="left" w:pos="1080"/>
        </w:tabs>
        <w:spacing w:after="240"/>
        <w:outlineLvl w:val="1"/>
        <w:rPr>
          <w:b/>
          <w:i/>
        </w:rPr>
      </w:pPr>
      <w:r w:rsidRPr="00E6190C">
        <w:tab/>
        <w:t xml:space="preserve">C19.7.3.  </w:t>
      </w:r>
      <w:r w:rsidRPr="00E6190C">
        <w:rPr>
          <w:b/>
          <w:i/>
        </w:rPr>
        <w:t>a</w:t>
      </w:r>
      <w:r w:rsidRPr="00E6190C">
        <w:t xml:space="preserve">pply </w:t>
      </w:r>
      <w:r w:rsidRPr="00E6190C">
        <w:rPr>
          <w:b/>
          <w:i/>
        </w:rPr>
        <w:t>the appropriate</w:t>
      </w:r>
      <w:r w:rsidRPr="00E6190C">
        <w:t xml:space="preserve"> </w:t>
      </w:r>
      <w:r w:rsidRPr="00E6190C">
        <w:rPr>
          <w:b/>
          <w:i/>
        </w:rPr>
        <w:t xml:space="preserve">Federal Logistics Information System (FLIS) </w:t>
      </w:r>
      <w:r w:rsidRPr="00E6190C">
        <w:t xml:space="preserve">UIT designator codes to national item identification numbers (NIINs) </w:t>
      </w:r>
      <w:r w:rsidRPr="00E6190C">
        <w:rPr>
          <w:b/>
          <w:i/>
        </w:rPr>
        <w:t>in existing UIT programs</w:t>
      </w:r>
      <w:r w:rsidRPr="00E6190C">
        <w:t>. Refer to C19.2</w:t>
      </w:r>
      <w:r w:rsidRPr="00E6190C">
        <w:rPr>
          <w:b/>
          <w:i/>
        </w:rPr>
        <w:t>7</w:t>
      </w:r>
      <w:r w:rsidRPr="00E6190C">
        <w:t>, Table C19.T</w:t>
      </w:r>
      <w:r w:rsidRPr="00E6190C">
        <w:rPr>
          <w:b/>
          <w:i/>
        </w:rPr>
        <w:t>5</w:t>
      </w:r>
      <w:r w:rsidRPr="00E6190C">
        <w:t xml:space="preserve">. for </w:t>
      </w:r>
      <w:r w:rsidRPr="00E6190C">
        <w:rPr>
          <w:b/>
          <w:i/>
        </w:rPr>
        <w:t xml:space="preserve">authorized </w:t>
      </w:r>
      <w:r w:rsidRPr="00E6190C">
        <w:t xml:space="preserve">UIT designator codes.  Ensure that the integrated materiel manager (IMM) applies the UIT designator code to every NIIN comprising the DoD level program, for which a UIT designator code is not already assigned.  The IMM assigns UIT designator codes to a NIIN based on direction by the DoD Component UIT central control point.  </w:t>
      </w:r>
      <w:r w:rsidRPr="00E6190C">
        <w:rPr>
          <w:b/>
          <w:i/>
        </w:rPr>
        <w:t xml:space="preserve">The </w:t>
      </w:r>
      <w:r w:rsidRPr="00E6190C">
        <w:t xml:space="preserve">UIT designator code provides the </w:t>
      </w:r>
      <w:r w:rsidRPr="00E6190C">
        <w:lastRenderedPageBreak/>
        <w:t xml:space="preserve">DoD Components a systemic means to identify that a NIIN is subject to UIT and subject to these procedures.  </w:t>
      </w:r>
      <w:r w:rsidRPr="00E6190C">
        <w:rPr>
          <w:b/>
          <w:i/>
        </w:rPr>
        <w:t xml:space="preserve">For system to system updates of this data, activities should subscribe to the UIT data through the FLIS Portfolio Data Warehouse which is DLA Logistics Information Services Master Data Capability.  To negotiate this XML Data Exchange/Subscription, send an e-mail request to </w:t>
      </w:r>
      <w:hyperlink r:id="rId12" w:history="1">
        <w:r w:rsidRPr="00E6190C">
          <w:rPr>
            <w:b/>
            <w:i/>
            <w:color w:val="0000FF"/>
            <w:u w:val="single"/>
          </w:rPr>
          <w:t>DLISRMDEPMO@dla.mil</w:t>
        </w:r>
      </w:hyperlink>
      <w:r w:rsidRPr="00E6190C">
        <w:rPr>
          <w:b/>
          <w:i/>
        </w:rPr>
        <w:t>.</w:t>
      </w:r>
    </w:p>
    <w:p w14:paraId="3ADB950E" w14:textId="540422D7" w:rsidR="00E6190C" w:rsidRPr="00E6190C" w:rsidRDefault="00CF55A4" w:rsidP="00B846A8">
      <w:pPr>
        <w:tabs>
          <w:tab w:val="left" w:pos="540"/>
          <w:tab w:val="left" w:pos="1080"/>
        </w:tabs>
        <w:spacing w:after="240"/>
        <w:outlineLvl w:val="1"/>
        <w:rPr>
          <w:b/>
          <w:i/>
        </w:rPr>
      </w:pPr>
      <w:r>
        <w:rPr>
          <w:b/>
          <w:i/>
        </w:rPr>
        <w:tab/>
      </w:r>
      <w:r w:rsidR="00E6190C" w:rsidRPr="00E6190C">
        <w:rPr>
          <w:b/>
          <w:i/>
        </w:rPr>
        <w:t>C19.7.4.  include an IUID Indicator value Y (yes ) in the FLIS field “IUID Indicator”, for UIT items with a national stock number (NSN) assigned.</w:t>
      </w:r>
      <w:r w:rsidR="00E6190C" w:rsidRPr="00E6190C">
        <w:t xml:space="preserve">  </w:t>
      </w:r>
      <w:r w:rsidR="00E6190C" w:rsidRPr="00E6190C">
        <w:rPr>
          <w:b/>
          <w:i/>
        </w:rPr>
        <w:t>The IUID yes/no indicator provides DoD-wide visibility of IUID applicability for NSN items.  The IUID Indicator is available through the DLA Logistics Information Services Master Data Capability.</w:t>
      </w:r>
    </w:p>
    <w:p w14:paraId="14F204F1" w14:textId="77777777" w:rsidR="00E6190C" w:rsidRPr="00E6190C" w:rsidRDefault="00E6190C" w:rsidP="00B846A8">
      <w:pPr>
        <w:tabs>
          <w:tab w:val="left" w:pos="540"/>
          <w:tab w:val="left" w:pos="1080"/>
        </w:tabs>
        <w:spacing w:after="240"/>
        <w:outlineLvl w:val="1"/>
      </w:pPr>
      <w:r w:rsidRPr="00E6190C">
        <w:t xml:space="preserve">C19.8.  </w:t>
      </w:r>
      <w:r w:rsidRPr="00E6190C">
        <w:rPr>
          <w:u w:val="single"/>
        </w:rPr>
        <w:t>NATIONAL STOCK NUMBERS</w:t>
      </w:r>
      <w:r w:rsidRPr="00E6190C">
        <w:rPr>
          <w:b/>
          <w:i/>
          <w:u w:val="single"/>
        </w:rPr>
        <w:t>, UNIQUE ITEM IDENTIFIERS, AND SERIAL NUMBERS</w:t>
      </w:r>
      <w:r w:rsidRPr="00E6190C">
        <w:t xml:space="preserve">.  If known, an item’s national stock number (NSN), in conjunction with the UII </w:t>
      </w:r>
      <w:r w:rsidRPr="00E6190C">
        <w:rPr>
          <w:b/>
          <w:i/>
        </w:rPr>
        <w:t>and/or serial number</w:t>
      </w:r>
      <w:r w:rsidRPr="00E6190C">
        <w:t>, will be the preferred means for tracking an item in logistics AIS.</w:t>
      </w:r>
      <w:r w:rsidRPr="00E6190C">
        <w:rPr>
          <w:vertAlign w:val="superscript"/>
        </w:rPr>
        <w:footnoteReference w:id="1"/>
      </w:r>
      <w:r w:rsidRPr="00E6190C">
        <w:t xml:space="preserve">  If there is no NSN, the owner(s) or an accountable officer will assign a local control number (LCN) until a valid management control number (MCN) or NSN can be obtained.  DLMS provides flexibility to accommodate tracking by NSN and UII, or by NSN and serial number, until such time as IUID policy and use of UIIs is fully implemented.  UIT by NSN and serial number is a transitional requirement until the Components fully implement the IUID concept for serially managed assets, and tracking by UII, across the Department of Defense.  </w:t>
      </w:r>
      <w:r w:rsidRPr="00E6190C">
        <w:rPr>
          <w:b/>
          <w:i/>
        </w:rPr>
        <w:t>Pending DoD-wide implementation of IUID, AIS should pass both the UII and serial number in logistics transactions when both are available</w:t>
      </w:r>
      <w:r w:rsidRPr="00E6190C">
        <w:t xml:space="preserve">.  </w:t>
      </w:r>
    </w:p>
    <w:p w14:paraId="23B456A3" w14:textId="77777777" w:rsidR="00E6190C" w:rsidRPr="00E6190C" w:rsidRDefault="00E6190C" w:rsidP="00B846A8">
      <w:pPr>
        <w:tabs>
          <w:tab w:val="left" w:pos="540"/>
          <w:tab w:val="left" w:pos="1080"/>
        </w:tabs>
        <w:spacing w:after="240"/>
        <w:outlineLvl w:val="1"/>
      </w:pPr>
      <w:r w:rsidRPr="00E6190C">
        <w:t xml:space="preserve">C19.9.  </w:t>
      </w:r>
      <w:r w:rsidRPr="00E6190C">
        <w:rPr>
          <w:u w:val="single"/>
        </w:rPr>
        <w:t>VISIBILITY OF ITEMS</w:t>
      </w:r>
      <w:r w:rsidRPr="00E6190C">
        <w:t>.  Visibility tracking will cease when UIT items are shipped outside the control of the Department of Defense, or when demilitarization and/or disposal are confirmed.  Historical UIT transactions will be retained in an inactive file accessible through an automated means.</w:t>
      </w:r>
    </w:p>
    <w:p w14:paraId="586C70D2" w14:textId="77777777" w:rsidR="00E6190C" w:rsidRPr="00E6190C" w:rsidRDefault="00E6190C" w:rsidP="00B846A8">
      <w:pPr>
        <w:tabs>
          <w:tab w:val="left" w:pos="540"/>
          <w:tab w:val="left" w:pos="1080"/>
        </w:tabs>
        <w:spacing w:after="240"/>
        <w:outlineLvl w:val="1"/>
        <w:rPr>
          <w:b/>
          <w:i/>
        </w:rPr>
      </w:pPr>
      <w:r w:rsidRPr="00E6190C">
        <w:t xml:space="preserve">C19.10.  </w:t>
      </w:r>
      <w:r w:rsidRPr="00E6190C">
        <w:rPr>
          <w:u w:val="single"/>
        </w:rPr>
        <w:t xml:space="preserve">RETENTION OF </w:t>
      </w:r>
      <w:r w:rsidRPr="00E6190C">
        <w:rPr>
          <w:b/>
          <w:i/>
          <w:u w:val="single"/>
        </w:rPr>
        <w:t>SOURCE DOCUMENTS AND TRANSACTION HISTORY.</w:t>
      </w:r>
      <w:r w:rsidRPr="00E6190C">
        <w:rPr>
          <w:u w:val="single"/>
        </w:rPr>
        <w:t xml:space="preserve">  </w:t>
      </w:r>
      <w:r w:rsidRPr="00E6190C">
        <w:rPr>
          <w:b/>
          <w:i/>
        </w:rPr>
        <w:t>Activities will</w:t>
      </w:r>
      <w:r w:rsidRPr="00E6190C">
        <w:t xml:space="preserve"> </w:t>
      </w:r>
      <w:r w:rsidRPr="00E6190C">
        <w:rPr>
          <w:b/>
          <w:i/>
        </w:rPr>
        <w:t>maintain and dispose of documents and transaction history records in accordance with the National Archives and Records Administration (NARA) General Records Schedule (GRS) or the NARA-approved Component Records Disposition Schedule.  These are the only approved sources for implementing disposition of DoD Component records.</w:t>
      </w:r>
    </w:p>
    <w:p w14:paraId="53311EAD" w14:textId="49EFCD15" w:rsidR="00E6190C" w:rsidRPr="00E6190C" w:rsidRDefault="00E6190C" w:rsidP="00B846A8">
      <w:pPr>
        <w:tabs>
          <w:tab w:val="left" w:pos="540"/>
          <w:tab w:val="left" w:pos="1080"/>
        </w:tabs>
        <w:spacing w:after="240"/>
        <w:outlineLvl w:val="1"/>
      </w:pPr>
      <w:r w:rsidRPr="00E6190C">
        <w:t xml:space="preserve">C19.11.  </w:t>
      </w:r>
      <w:r w:rsidRPr="00E6190C">
        <w:rPr>
          <w:u w:val="single"/>
        </w:rPr>
        <w:t>DUE-IN AND PREPOSITIONED MATERIEL RECEIPT INFORMATION</w:t>
      </w:r>
      <w:r w:rsidRPr="00E6190C">
        <w:t xml:space="preserve">.  Establish due-in records in accordance with due-in procedures in Chapter 12.  Upon </w:t>
      </w:r>
      <w:r w:rsidRPr="00E6190C">
        <w:lastRenderedPageBreak/>
        <w:t xml:space="preserve">establishing a due-in, provide a DLMS 527D Prepositioned Materiel Receipt (PMR) transaction to each intended storage activity in accordance with the PMR procedures in Chapter 12.  </w:t>
      </w:r>
      <w:r w:rsidRPr="00E6190C">
        <w:rPr>
          <w:b/>
          <w:i/>
        </w:rPr>
        <w:t>Do not include UIIs and/or serial numbers in the PMR transaction.</w:t>
      </w:r>
    </w:p>
    <w:p w14:paraId="1E72AC64" w14:textId="3EB87BBF" w:rsidR="00E6190C" w:rsidRPr="00E6190C" w:rsidRDefault="00E6190C" w:rsidP="00B846A8">
      <w:pPr>
        <w:tabs>
          <w:tab w:val="left" w:pos="547"/>
          <w:tab w:val="left" w:pos="1080"/>
          <w:tab w:val="left" w:pos="1627"/>
          <w:tab w:val="left" w:pos="2232"/>
          <w:tab w:val="left" w:pos="2707"/>
          <w:tab w:val="left" w:pos="3240"/>
        </w:tabs>
        <w:spacing w:after="240"/>
        <w:rPr>
          <w:rFonts w:ascii="Times New Roman" w:hAnsi="Times New Roman"/>
          <w:szCs w:val="24"/>
        </w:rPr>
      </w:pPr>
      <w:r w:rsidRPr="00E6190C">
        <w:rPr>
          <w:rFonts w:cs="Arial"/>
          <w:szCs w:val="24"/>
        </w:rPr>
        <w:t xml:space="preserve">C19.12.  </w:t>
      </w:r>
      <w:r w:rsidRPr="00E6190C">
        <w:rPr>
          <w:rFonts w:cs="Arial"/>
          <w:szCs w:val="24"/>
          <w:u w:val="single"/>
        </w:rPr>
        <w:t xml:space="preserve">ADVANCE </w:t>
      </w:r>
      <w:r w:rsidRPr="00E6190C">
        <w:rPr>
          <w:rFonts w:cs="Arial"/>
          <w:b/>
          <w:i/>
          <w:szCs w:val="24"/>
          <w:u w:val="single"/>
        </w:rPr>
        <w:t>SHIPMENT</w:t>
      </w:r>
      <w:r w:rsidRPr="00E6190C">
        <w:rPr>
          <w:rFonts w:cs="Arial"/>
          <w:szCs w:val="24"/>
          <w:u w:val="single"/>
        </w:rPr>
        <w:t xml:space="preserve"> NOTICE</w:t>
      </w:r>
      <w:r w:rsidRPr="00E6190C">
        <w:rPr>
          <w:rFonts w:cs="Arial"/>
          <w:szCs w:val="24"/>
        </w:rPr>
        <w:t xml:space="preserve">.  When the procuring DoD Component orders UIT items from a </w:t>
      </w:r>
      <w:r w:rsidRPr="00E6190C">
        <w:rPr>
          <w:rFonts w:cs="Arial"/>
          <w:b/>
          <w:i/>
          <w:szCs w:val="24"/>
        </w:rPr>
        <w:t>vendor</w:t>
      </w:r>
      <w:r w:rsidRPr="00E6190C">
        <w:rPr>
          <w:rFonts w:cs="Arial"/>
          <w:szCs w:val="24"/>
        </w:rPr>
        <w:t>, the procuring DoD Component must</w:t>
      </w:r>
      <w:r w:rsidRPr="00E6190C">
        <w:rPr>
          <w:rFonts w:cs="Arial"/>
          <w:b/>
          <w:i/>
          <w:szCs w:val="24"/>
        </w:rPr>
        <w:t xml:space="preserve"> </w:t>
      </w:r>
      <w:r w:rsidRPr="00E6190C">
        <w:rPr>
          <w:rFonts w:cs="Arial"/>
          <w:szCs w:val="24"/>
        </w:rPr>
        <w:t xml:space="preserve"> ensure that the applicable clause requiring the vendor to provide </w:t>
      </w:r>
      <w:r w:rsidRPr="00E6190C">
        <w:rPr>
          <w:rFonts w:cs="Arial"/>
          <w:b/>
          <w:i/>
          <w:szCs w:val="24"/>
        </w:rPr>
        <w:t>IUID information</w:t>
      </w:r>
      <w:r w:rsidRPr="00E6190C">
        <w:rPr>
          <w:rFonts w:cs="Arial"/>
          <w:szCs w:val="24"/>
        </w:rPr>
        <w:t xml:space="preserve"> in accordance with Defense </w:t>
      </w:r>
      <w:r w:rsidRPr="00E6190C">
        <w:rPr>
          <w:rFonts w:cs="Arial"/>
          <w:b/>
          <w:i/>
          <w:szCs w:val="24"/>
        </w:rPr>
        <w:t xml:space="preserve">Federal </w:t>
      </w:r>
      <w:r w:rsidRPr="00E6190C">
        <w:rPr>
          <w:rFonts w:cs="Arial"/>
          <w:szCs w:val="24"/>
        </w:rPr>
        <w:t xml:space="preserve">Acquisition Regulations Supplement (DFARS), </w:t>
      </w:r>
      <w:r w:rsidRPr="00E6190C">
        <w:rPr>
          <w:rFonts w:cs="Arial"/>
          <w:b/>
          <w:i/>
          <w:szCs w:val="24"/>
        </w:rPr>
        <w:t>“Item Unique Identification”</w:t>
      </w:r>
      <w:r w:rsidRPr="00E6190C">
        <w:rPr>
          <w:rFonts w:cs="Arial"/>
          <w:szCs w:val="24"/>
        </w:rPr>
        <w:t xml:space="preserve"> clause is included in the contract.</w:t>
      </w:r>
      <w:r w:rsidRPr="00E6190C">
        <w:rPr>
          <w:rFonts w:cs="Arial"/>
          <w:szCs w:val="24"/>
          <w:vertAlign w:val="superscript"/>
        </w:rPr>
        <w:footnoteReference w:id="2"/>
      </w:r>
      <w:r w:rsidRPr="00E6190C">
        <w:rPr>
          <w:rFonts w:cs="Arial"/>
          <w:szCs w:val="24"/>
        </w:rPr>
        <w:t xml:space="preserve">  The contractor must submit IUID information to the Wide Area Workflow </w:t>
      </w:r>
      <w:r w:rsidRPr="00E6190C">
        <w:rPr>
          <w:rFonts w:cs="Arial"/>
          <w:b/>
          <w:szCs w:val="24"/>
        </w:rPr>
        <w:t>e-Business Suite – Invoicing, Receipt, Acceptance, and Property Transfer (iRAPT)</w:t>
      </w:r>
      <w:r w:rsidRPr="00E6190C">
        <w:rPr>
          <w:rFonts w:cs="Arial"/>
          <w:szCs w:val="24"/>
        </w:rPr>
        <w:t xml:space="preserve"> in accordance with the </w:t>
      </w:r>
      <w:r w:rsidRPr="00E6190C">
        <w:rPr>
          <w:rFonts w:cs="Arial"/>
          <w:b/>
          <w:i/>
          <w:szCs w:val="24"/>
        </w:rPr>
        <w:t>iRAPT</w:t>
      </w:r>
      <w:r w:rsidRPr="00E6190C">
        <w:rPr>
          <w:rFonts w:cs="Arial"/>
          <w:szCs w:val="24"/>
        </w:rPr>
        <w:t xml:space="preserve">  Implementation Guides for the 856, Ship Notice</w:t>
      </w:r>
      <w:r w:rsidRPr="00E6190C">
        <w:rPr>
          <w:rFonts w:cs="Arial"/>
          <w:b/>
          <w:i/>
          <w:szCs w:val="24"/>
        </w:rPr>
        <w:t>/Manifest</w:t>
      </w:r>
      <w:r w:rsidRPr="00E6190C">
        <w:rPr>
          <w:rFonts w:cs="Arial"/>
          <w:szCs w:val="24"/>
        </w:rPr>
        <w:t xml:space="preserve">; 857 Shipment and Billing Notice; direct online input; or another comparable information exchange method supported by </w:t>
      </w:r>
      <w:r w:rsidRPr="00E6190C">
        <w:rPr>
          <w:rFonts w:cs="Arial"/>
          <w:b/>
          <w:i/>
          <w:szCs w:val="24"/>
        </w:rPr>
        <w:t>iRAPT</w:t>
      </w:r>
      <w:r w:rsidRPr="00E6190C">
        <w:rPr>
          <w:rFonts w:cs="Arial"/>
          <w:szCs w:val="24"/>
        </w:rPr>
        <w:t xml:space="preserve"> .  </w:t>
      </w:r>
      <w:r w:rsidRPr="00E6190C">
        <w:rPr>
          <w:rFonts w:cs="Arial"/>
          <w:b/>
          <w:i/>
          <w:szCs w:val="24"/>
        </w:rPr>
        <w:t>iRAPT</w:t>
      </w:r>
      <w:r w:rsidRPr="00E6190C">
        <w:rPr>
          <w:rFonts w:cs="Arial"/>
          <w:szCs w:val="24"/>
        </w:rPr>
        <w:t xml:space="preserve"> will disseminate the vendor shipment </w:t>
      </w:r>
      <w:r w:rsidRPr="00E6190C">
        <w:rPr>
          <w:rFonts w:cs="Arial"/>
          <w:b/>
          <w:i/>
          <w:szCs w:val="24"/>
        </w:rPr>
        <w:t>information</w:t>
      </w:r>
      <w:r w:rsidRPr="00E6190C">
        <w:rPr>
          <w:rFonts w:cs="Arial"/>
          <w:szCs w:val="24"/>
        </w:rPr>
        <w:t xml:space="preserve"> to the procuring activity to satisfy the shipment performance notice requirement for the vendor to provide notification of shipment to the procuring activity using DLMS 856, </w:t>
      </w:r>
      <w:r w:rsidRPr="00E6190C">
        <w:rPr>
          <w:rFonts w:cs="Arial"/>
          <w:b/>
          <w:i/>
          <w:szCs w:val="24"/>
        </w:rPr>
        <w:t>Advance Shipment Notice (ASN),</w:t>
      </w:r>
      <w:r w:rsidRPr="00E6190C">
        <w:rPr>
          <w:rFonts w:cs="Arial"/>
          <w:szCs w:val="24"/>
        </w:rPr>
        <w:t xml:space="preserve"> including UII(s), </w:t>
      </w:r>
      <w:r w:rsidRPr="00E6190C">
        <w:rPr>
          <w:rFonts w:cs="Arial"/>
          <w:b/>
          <w:i/>
          <w:szCs w:val="24"/>
        </w:rPr>
        <w:t>or comparable 856 transaction</w:t>
      </w:r>
      <w:r w:rsidRPr="00E6190C">
        <w:rPr>
          <w:rFonts w:cs="Arial"/>
          <w:szCs w:val="24"/>
        </w:rPr>
        <w:t xml:space="preserve">.  </w:t>
      </w:r>
      <w:r w:rsidRPr="00E6190C">
        <w:rPr>
          <w:rFonts w:cs="Arial"/>
          <w:b/>
          <w:i/>
          <w:szCs w:val="24"/>
        </w:rPr>
        <w:t>DLMS-compliant receiving activities must coordinate with</w:t>
      </w:r>
      <w:r w:rsidRPr="00E6190C">
        <w:rPr>
          <w:rFonts w:cs="Arial"/>
          <w:szCs w:val="24"/>
        </w:rPr>
        <w:t xml:space="preserve"> </w:t>
      </w:r>
      <w:r w:rsidRPr="00E6190C">
        <w:rPr>
          <w:rFonts w:cs="Arial"/>
          <w:b/>
          <w:i/>
          <w:szCs w:val="24"/>
        </w:rPr>
        <w:t>iRAPT</w:t>
      </w:r>
      <w:r w:rsidRPr="00E6190C">
        <w:rPr>
          <w:rFonts w:cs="Arial"/>
          <w:szCs w:val="24"/>
        </w:rPr>
        <w:t xml:space="preserve"> </w:t>
      </w:r>
      <w:r w:rsidRPr="00E6190C">
        <w:rPr>
          <w:rFonts w:cs="Arial"/>
          <w:b/>
          <w:i/>
          <w:szCs w:val="24"/>
        </w:rPr>
        <w:t>for</w:t>
      </w:r>
      <w:r w:rsidRPr="00E6190C">
        <w:rPr>
          <w:rFonts w:cs="Arial"/>
          <w:szCs w:val="24"/>
        </w:rPr>
        <w:t xml:space="preserve"> </w:t>
      </w:r>
      <w:r w:rsidR="007C2AEF" w:rsidRPr="00E6190C">
        <w:rPr>
          <w:rFonts w:cs="Arial"/>
          <w:szCs w:val="24"/>
        </w:rPr>
        <w:t>disseminat</w:t>
      </w:r>
      <w:r w:rsidR="007C2AEF" w:rsidRPr="00E6190C">
        <w:rPr>
          <w:rFonts w:cs="Arial"/>
          <w:b/>
          <w:i/>
          <w:szCs w:val="24"/>
        </w:rPr>
        <w:t>ion</w:t>
      </w:r>
      <w:r w:rsidRPr="00E6190C">
        <w:rPr>
          <w:rFonts w:cs="Arial"/>
          <w:b/>
          <w:szCs w:val="24"/>
        </w:rPr>
        <w:t xml:space="preserve"> </w:t>
      </w:r>
      <w:r w:rsidRPr="00E6190C">
        <w:rPr>
          <w:rFonts w:cs="Arial"/>
          <w:b/>
          <w:i/>
          <w:szCs w:val="24"/>
        </w:rPr>
        <w:t xml:space="preserve">of </w:t>
      </w:r>
      <w:r w:rsidRPr="00E6190C">
        <w:rPr>
          <w:rFonts w:cs="Arial"/>
          <w:szCs w:val="24"/>
        </w:rPr>
        <w:t xml:space="preserve">the vendor shipment information to the receiving system using </w:t>
      </w:r>
      <w:r w:rsidRPr="00E6190C">
        <w:rPr>
          <w:rFonts w:cs="Arial"/>
          <w:b/>
          <w:i/>
          <w:szCs w:val="24"/>
        </w:rPr>
        <w:t>the</w:t>
      </w:r>
      <w:r w:rsidRPr="00E6190C">
        <w:rPr>
          <w:rFonts w:cs="Arial"/>
          <w:szCs w:val="24"/>
        </w:rPr>
        <w:t xml:space="preserve"> DLMS 856 </w:t>
      </w:r>
      <w:r w:rsidRPr="00E6190C">
        <w:rPr>
          <w:rFonts w:cs="Arial"/>
          <w:b/>
          <w:i/>
          <w:szCs w:val="24"/>
        </w:rPr>
        <w:t>ASN</w:t>
      </w:r>
      <w:r w:rsidRPr="00E6190C">
        <w:rPr>
          <w:rFonts w:cs="Arial"/>
          <w:szCs w:val="24"/>
        </w:rPr>
        <w:t>, including UII(s).</w:t>
      </w:r>
      <w:r w:rsidRPr="00E6190C">
        <w:rPr>
          <w:rFonts w:ascii="Times New Roman" w:hAnsi="Times New Roman"/>
          <w:szCs w:val="24"/>
        </w:rPr>
        <w:t xml:space="preserve"> </w:t>
      </w:r>
    </w:p>
    <w:p w14:paraId="304C2E21" w14:textId="76BE09E4"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 xml:space="preserve">C19.13.  </w:t>
      </w:r>
      <w:r w:rsidRPr="00E6190C">
        <w:rPr>
          <w:rFonts w:cs="Arial"/>
          <w:caps/>
          <w:szCs w:val="24"/>
          <w:u w:val="single"/>
        </w:rPr>
        <w:t>Air Force Integrated Logistics Solution-Supply Retail Status</w:t>
      </w:r>
      <w:r w:rsidRPr="00E6190C">
        <w:rPr>
          <w:rFonts w:cs="Arial"/>
          <w:szCs w:val="24"/>
        </w:rPr>
        <w:t>.  Air Force Integrated Logistics Solution-Supply (ILS-S) (Retail Supply) Supply Status (DLMS 870S) will be used on an intra-Air Force basis to provide the latest status to the intended receiving activity, including UII and/or serial number in support of UIT for positive inventory control (PIC) nuclear weapon related materiel (NWRM).  For legacy items where the UII has not been marked in accordance with IUID policy, the serial number alone will be passed.  DLA Transaction Services will enable transmission of information copies of the ILS-S Supply Status to the NWRM PIC Fusion Module UIT Registry to ensure the PIC NWRM program has near real time access to UIIs and the associated serial numbers of NWRM item movements.</w:t>
      </w:r>
    </w:p>
    <w:p w14:paraId="75926B7F" w14:textId="389549DD" w:rsidR="00E6190C" w:rsidRPr="00E6190C" w:rsidRDefault="00E6190C" w:rsidP="00B846A8">
      <w:pPr>
        <w:tabs>
          <w:tab w:val="left" w:pos="547"/>
          <w:tab w:val="left" w:pos="1080"/>
          <w:tab w:val="left" w:pos="1627"/>
          <w:tab w:val="left" w:pos="2232"/>
          <w:tab w:val="left" w:pos="2707"/>
          <w:tab w:val="left" w:pos="3240"/>
        </w:tabs>
        <w:spacing w:after="240"/>
        <w:rPr>
          <w:rFonts w:cs="Arial"/>
          <w:color w:val="0000FF"/>
          <w:sz w:val="20"/>
          <w:u w:val="single"/>
        </w:rPr>
      </w:pPr>
      <w:r w:rsidRPr="00E6190C">
        <w:rPr>
          <w:rFonts w:cs="Arial"/>
          <w:szCs w:val="24"/>
        </w:rPr>
        <w:t xml:space="preserve">C19.14.  </w:t>
      </w:r>
      <w:r w:rsidRPr="00E6190C">
        <w:rPr>
          <w:rFonts w:cs="Arial"/>
          <w:szCs w:val="24"/>
          <w:u w:val="single"/>
        </w:rPr>
        <w:t>ACCEPTANCE REPORT</w:t>
      </w:r>
      <w:r w:rsidRPr="00E6190C">
        <w:rPr>
          <w:rFonts w:cs="Arial"/>
          <w:szCs w:val="24"/>
        </w:rPr>
        <w:t xml:space="preserve">.  When acceptance at origin is applicable, </w:t>
      </w:r>
      <w:r w:rsidRPr="00E6190C">
        <w:rPr>
          <w:rFonts w:cs="Arial"/>
          <w:b/>
          <w:i/>
          <w:szCs w:val="24"/>
        </w:rPr>
        <w:t>the</w:t>
      </w:r>
      <w:r w:rsidRPr="00E6190C">
        <w:rPr>
          <w:rFonts w:cs="Arial"/>
          <w:szCs w:val="24"/>
        </w:rPr>
        <w:t xml:space="preserve"> DLMS 856 </w:t>
      </w:r>
      <w:r w:rsidRPr="00E6190C">
        <w:rPr>
          <w:rFonts w:cs="Arial"/>
          <w:b/>
          <w:i/>
          <w:szCs w:val="24"/>
        </w:rPr>
        <w:t>or comparable 856 transaction</w:t>
      </w:r>
      <w:r w:rsidRPr="00E6190C">
        <w:rPr>
          <w:rFonts w:cs="Arial"/>
          <w:szCs w:val="24"/>
        </w:rPr>
        <w:t>, forwarded to the procuring and receiving activity, will contain accepted IUID information.  When acceptance at destination is applicable, the receiving system must</w:t>
      </w:r>
      <w:r w:rsidRPr="00E6190C">
        <w:rPr>
          <w:rFonts w:cs="Arial"/>
          <w:b/>
          <w:szCs w:val="24"/>
        </w:rPr>
        <w:t xml:space="preserve"> </w:t>
      </w:r>
      <w:r w:rsidRPr="00E6190C">
        <w:rPr>
          <w:rFonts w:cs="Arial"/>
          <w:szCs w:val="24"/>
        </w:rPr>
        <w:t xml:space="preserve">report acceptance, including UII(s) </w:t>
      </w:r>
      <w:r w:rsidRPr="00E6190C">
        <w:rPr>
          <w:rFonts w:cs="Arial"/>
          <w:b/>
          <w:i/>
          <w:szCs w:val="24"/>
        </w:rPr>
        <w:t>(as applicable)</w:t>
      </w:r>
      <w:r w:rsidRPr="00E6190C">
        <w:rPr>
          <w:rFonts w:cs="Arial"/>
          <w:szCs w:val="24"/>
        </w:rPr>
        <w:t xml:space="preserve">, using the DLMS 861, Acceptance Report, </w:t>
      </w:r>
      <w:r w:rsidRPr="00E6190C">
        <w:rPr>
          <w:rFonts w:cs="Arial"/>
          <w:b/>
          <w:i/>
          <w:szCs w:val="24"/>
        </w:rPr>
        <w:t>or direct input</w:t>
      </w:r>
      <w:r w:rsidRPr="00E6190C">
        <w:rPr>
          <w:rFonts w:cs="Arial"/>
          <w:szCs w:val="24"/>
        </w:rPr>
        <w:t xml:space="preserve"> to iRAPT.  </w:t>
      </w:r>
      <w:r w:rsidRPr="00E6190C">
        <w:rPr>
          <w:rFonts w:cs="Arial"/>
          <w:b/>
          <w:i/>
          <w:szCs w:val="24"/>
        </w:rPr>
        <w:t>Responsibility for Government acceptance may also be contractually assigned to an alternative organization which may use the DLMS 861 or direct input to iRAPT for acceptance reporting.</w:t>
      </w:r>
      <w:r w:rsidRPr="00E6190C">
        <w:rPr>
          <w:rFonts w:cs="Arial"/>
          <w:szCs w:val="24"/>
        </w:rPr>
        <w:t xml:space="preserve">  iRAPT will extract the IUID information for all Government accepted IUID items and </w:t>
      </w:r>
      <w:r w:rsidRPr="00E6190C">
        <w:rPr>
          <w:rFonts w:cs="Arial"/>
          <w:b/>
          <w:i/>
          <w:szCs w:val="24"/>
        </w:rPr>
        <w:t>use to establish the birth record in</w:t>
      </w:r>
      <w:r w:rsidRPr="00E6190C">
        <w:rPr>
          <w:rFonts w:cs="Arial"/>
          <w:szCs w:val="24"/>
        </w:rPr>
        <w:t xml:space="preserve"> the IUID Registry.  Additional information and guidance on the IUID registry can be found on the UID Website </w:t>
      </w:r>
      <w:hyperlink r:id="rId13" w:history="1">
        <w:r w:rsidRPr="00E6190C">
          <w:rPr>
            <w:rFonts w:cs="Arial"/>
            <w:color w:val="0000FF"/>
            <w:szCs w:val="24"/>
            <w:u w:val="single"/>
          </w:rPr>
          <w:t>http://www.acq.osd.mil/dpap/pdi/uid</w:t>
        </w:r>
      </w:hyperlink>
      <w:r w:rsidRPr="00E6190C">
        <w:rPr>
          <w:rFonts w:cs="Arial"/>
          <w:color w:val="0000FF"/>
          <w:szCs w:val="24"/>
          <w:u w:val="single"/>
        </w:rPr>
        <w:t>.</w:t>
      </w:r>
    </w:p>
    <w:p w14:paraId="0D32DA3B" w14:textId="7C385139" w:rsidR="00E6190C" w:rsidRPr="00E6190C" w:rsidRDefault="00E6190C" w:rsidP="00B846A8">
      <w:pPr>
        <w:tabs>
          <w:tab w:val="left" w:pos="547"/>
          <w:tab w:val="left" w:pos="1080"/>
          <w:tab w:val="left" w:pos="1627"/>
          <w:tab w:val="left" w:pos="2232"/>
          <w:tab w:val="left" w:pos="2707"/>
          <w:tab w:val="left" w:pos="3240"/>
        </w:tabs>
        <w:spacing w:after="240"/>
        <w:rPr>
          <w:rFonts w:ascii="Times New Roman" w:hAnsi="Times New Roman"/>
          <w:sz w:val="20"/>
        </w:rPr>
      </w:pPr>
      <w:r w:rsidRPr="00E6190C">
        <w:rPr>
          <w:rFonts w:cs="Arial"/>
          <w:szCs w:val="24"/>
        </w:rPr>
        <w:lastRenderedPageBreak/>
        <w:t xml:space="preserve">C19.15.  </w:t>
      </w:r>
      <w:r w:rsidRPr="00E6190C">
        <w:rPr>
          <w:rFonts w:cs="Arial"/>
          <w:szCs w:val="24"/>
          <w:u w:val="single"/>
        </w:rPr>
        <w:t>MATERIEL RECEIPT</w:t>
      </w:r>
      <w:r w:rsidRPr="00E6190C">
        <w:rPr>
          <w:rFonts w:cs="Arial"/>
          <w:szCs w:val="24"/>
        </w:rPr>
        <w:t xml:space="preserve">.  The receiving activity will notify the owner when UIT items are received </w:t>
      </w:r>
      <w:r w:rsidRPr="00E6190C">
        <w:rPr>
          <w:rFonts w:cs="Arial"/>
          <w:b/>
          <w:i/>
          <w:szCs w:val="24"/>
        </w:rPr>
        <w:t>to include UII(s) and/or serial number(s) for</w:t>
      </w:r>
      <w:r w:rsidRPr="00E6190C">
        <w:rPr>
          <w:rFonts w:cs="Arial"/>
          <w:i/>
          <w:szCs w:val="24"/>
        </w:rPr>
        <w:t xml:space="preserve"> </w:t>
      </w:r>
      <w:r w:rsidRPr="00E6190C">
        <w:rPr>
          <w:rFonts w:cs="Arial"/>
          <w:b/>
          <w:i/>
          <w:szCs w:val="24"/>
        </w:rPr>
        <w:t>the UIT programs for Navy Depot Level Reparables and Positive Inventory Control Nuclear Weapon Related Materiel (UIT Designator Codes AAD and AAJ).</w:t>
      </w:r>
      <w:r w:rsidRPr="00E6190C">
        <w:rPr>
          <w:rFonts w:cs="Arial"/>
          <w:i/>
          <w:szCs w:val="24"/>
        </w:rPr>
        <w:t xml:space="preserve">  </w:t>
      </w:r>
      <w:r w:rsidRPr="00E6190C">
        <w:rPr>
          <w:rFonts w:cs="Arial"/>
          <w:szCs w:val="24"/>
        </w:rPr>
        <w:t xml:space="preserve">Submit receipt using DLMS 527R Receipt Transaction, in accordance with the receipt procedures in </w:t>
      </w:r>
      <w:hyperlink r:id="rId14" w:history="1">
        <w:r w:rsidRPr="00B846A8">
          <w:rPr>
            <w:rStyle w:val="Hyperlink"/>
            <w:rFonts w:cs="Arial"/>
            <w:szCs w:val="24"/>
          </w:rPr>
          <w:t>Chapter 13</w:t>
        </w:r>
      </w:hyperlink>
      <w:r w:rsidRPr="00E6190C">
        <w:rPr>
          <w:rFonts w:cs="Arial"/>
          <w:szCs w:val="24"/>
        </w:rPr>
        <w:t xml:space="preserve">.  </w:t>
      </w:r>
    </w:p>
    <w:p w14:paraId="72EABCE8" w14:textId="2EB480B4"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 xml:space="preserve">C19.16.  </w:t>
      </w:r>
      <w:r w:rsidRPr="00E6190C">
        <w:rPr>
          <w:rFonts w:cs="Arial"/>
          <w:szCs w:val="24"/>
          <w:u w:val="single"/>
        </w:rPr>
        <w:t>UNIQUE ITEM IDENTIFIER RECEIPT DISCREPANCIES</w:t>
      </w:r>
      <w:r w:rsidRPr="00E6190C">
        <w:rPr>
          <w:rFonts w:cs="Arial"/>
          <w:szCs w:val="24"/>
        </w:rPr>
        <w:t>.  When received UIIs do not match accompanying UII documentation (e.g., quantity and</w:t>
      </w:r>
      <w:r w:rsidRPr="00E6190C">
        <w:rPr>
          <w:rFonts w:cs="Arial"/>
          <w:bCs/>
          <w:iCs/>
          <w:szCs w:val="24"/>
        </w:rPr>
        <w:t>/or</w:t>
      </w:r>
      <w:r w:rsidRPr="00E6190C">
        <w:rPr>
          <w:rFonts w:cs="Arial"/>
          <w:szCs w:val="24"/>
        </w:rPr>
        <w:t xml:space="preserve"> UIIs), the receiving activity will record the actual quantity and UIIs received, and notify the shipping activity or inventory control point (ICP)/IMM, as applicable, of the discrepancy.  The receiving activity will submit a supply discrepancy report (SDR) showing the appropriate discrepancy code for quantity and IUID discrepancies in accordance with SDR procedures.  For shortages</w:t>
      </w:r>
      <w:r w:rsidRPr="00E6190C">
        <w:rPr>
          <w:rFonts w:cs="Arial"/>
          <w:b/>
          <w:i/>
          <w:szCs w:val="24"/>
        </w:rPr>
        <w:t>,</w:t>
      </w:r>
      <w:r w:rsidRPr="00E6190C">
        <w:rPr>
          <w:rFonts w:cs="Arial"/>
          <w:szCs w:val="24"/>
        </w:rPr>
        <w:t xml:space="preserve"> overages</w:t>
      </w:r>
      <w:r w:rsidRPr="00E6190C">
        <w:rPr>
          <w:rFonts w:cs="Arial"/>
          <w:b/>
          <w:i/>
          <w:szCs w:val="24"/>
        </w:rPr>
        <w:t>, or mismatched UIIs</w:t>
      </w:r>
      <w:r w:rsidRPr="00E6190C">
        <w:rPr>
          <w:rFonts w:cs="Arial"/>
          <w:szCs w:val="24"/>
        </w:rPr>
        <w:t xml:space="preserve"> in shipments of controlled inventory items, arms, arms parts, ammunitions, and explosives, report within 24 hours of discovery (see SDR response timeframes).  Action activities will reply to SDRs </w:t>
      </w:r>
      <w:r w:rsidRPr="00E6190C">
        <w:rPr>
          <w:rFonts w:cs="Arial"/>
          <w:b/>
          <w:i/>
          <w:szCs w:val="24"/>
        </w:rPr>
        <w:t>in accordance with Chapter 17 time standards</w:t>
      </w:r>
      <w:r w:rsidRPr="00E6190C">
        <w:rPr>
          <w:rFonts w:cs="Arial"/>
          <w:szCs w:val="24"/>
        </w:rPr>
        <w:t xml:space="preserve">.  See </w:t>
      </w:r>
      <w:hyperlink r:id="rId15" w:history="1">
        <w:r w:rsidRPr="00E6190C">
          <w:rPr>
            <w:rFonts w:cs="Arial"/>
            <w:color w:val="0000FF"/>
            <w:szCs w:val="24"/>
            <w:u w:val="single"/>
          </w:rPr>
          <w:t>Chapter 17</w:t>
        </w:r>
      </w:hyperlink>
      <w:r w:rsidRPr="00E6190C">
        <w:rPr>
          <w:rFonts w:cs="Arial"/>
          <w:szCs w:val="24"/>
        </w:rPr>
        <w:t xml:space="preserve"> for SDR procedures.</w:t>
      </w:r>
    </w:p>
    <w:p w14:paraId="325E0851" w14:textId="2046C7A6"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 xml:space="preserve">C19.17.  </w:t>
      </w:r>
      <w:r w:rsidRPr="00E6190C">
        <w:rPr>
          <w:rFonts w:cs="Arial"/>
          <w:szCs w:val="24"/>
          <w:u w:val="single"/>
        </w:rPr>
        <w:t>REINTRODUCTION OF UNIQUE ITEM IDENTIFIER ITEM PREVIOUSLY SHIPPED OUTSIDE THE CONTROL OF THE DEPARTMENT OF DEFENSE</w:t>
      </w:r>
      <w:r w:rsidRPr="00E6190C">
        <w:rPr>
          <w:rFonts w:cs="Arial"/>
          <w:szCs w:val="24"/>
        </w:rPr>
        <w:t xml:space="preserve">.  When a UIT item(s) previously shipped outside DoD control is reintroduced to DoD control, the receiving activity will report the receipt, including UIIs </w:t>
      </w:r>
      <w:r w:rsidRPr="00E6190C">
        <w:rPr>
          <w:rFonts w:cs="Arial"/>
          <w:b/>
          <w:i/>
          <w:szCs w:val="24"/>
        </w:rPr>
        <w:t>and/or serial numbers</w:t>
      </w:r>
      <w:r w:rsidRPr="00E6190C">
        <w:rPr>
          <w:rFonts w:cs="Arial"/>
          <w:szCs w:val="24"/>
        </w:rPr>
        <w:t>, to the owner</w:t>
      </w:r>
      <w:r w:rsidRPr="00E6190C">
        <w:rPr>
          <w:rFonts w:cs="Arial"/>
          <w:b/>
          <w:i/>
          <w:szCs w:val="24"/>
        </w:rPr>
        <w:t xml:space="preserve"> when required by the UIT program</w:t>
      </w:r>
      <w:r w:rsidRPr="00E6190C">
        <w:rPr>
          <w:rFonts w:cs="Arial"/>
          <w:szCs w:val="24"/>
        </w:rPr>
        <w:t>.  The receiving activity will submit the receipt using DLMS 527R Receipt transaction.</w:t>
      </w:r>
    </w:p>
    <w:p w14:paraId="5C71E4F7" w14:textId="77777777" w:rsidR="00E6190C" w:rsidRPr="00E6190C" w:rsidRDefault="00E6190C" w:rsidP="00B846A8">
      <w:pPr>
        <w:tabs>
          <w:tab w:val="left" w:pos="547"/>
          <w:tab w:val="left" w:pos="1080"/>
          <w:tab w:val="left" w:pos="1627"/>
          <w:tab w:val="left" w:pos="2232"/>
          <w:tab w:val="left" w:pos="2707"/>
          <w:tab w:val="left" w:pos="3240"/>
        </w:tabs>
        <w:spacing w:after="240"/>
        <w:rPr>
          <w:rFonts w:cs="Arial"/>
          <w:szCs w:val="24"/>
          <w:u w:val="single"/>
        </w:rPr>
      </w:pPr>
      <w:r w:rsidRPr="00E6190C">
        <w:rPr>
          <w:rFonts w:cs="Arial"/>
          <w:szCs w:val="24"/>
        </w:rPr>
        <w:t xml:space="preserve">C19.18.  </w:t>
      </w:r>
      <w:r w:rsidRPr="00E6190C">
        <w:rPr>
          <w:rFonts w:cs="Arial"/>
          <w:szCs w:val="24"/>
          <w:u w:val="single"/>
        </w:rPr>
        <w:t>MATERIEL REDISTRIBUTION AND RELEASE</w:t>
      </w:r>
    </w:p>
    <w:p w14:paraId="1869B3E5" w14:textId="1F5F5677"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ab/>
        <w:t xml:space="preserve">C19.18.1.  The shipping activity will release the appropriate quantity and </w:t>
      </w:r>
      <w:r w:rsidRPr="00E6190C">
        <w:rPr>
          <w:rFonts w:cs="Arial"/>
          <w:b/>
          <w:i/>
          <w:szCs w:val="24"/>
        </w:rPr>
        <w:t xml:space="preserve">supply </w:t>
      </w:r>
      <w:r w:rsidRPr="00E6190C">
        <w:rPr>
          <w:rFonts w:cs="Arial"/>
          <w:szCs w:val="24"/>
        </w:rPr>
        <w:t xml:space="preserve">condition code of UIT items without regard to the UIIs </w:t>
      </w:r>
      <w:r w:rsidRPr="00E6190C">
        <w:rPr>
          <w:rFonts w:cs="Arial"/>
          <w:b/>
          <w:i/>
          <w:szCs w:val="24"/>
        </w:rPr>
        <w:t>and/or serial numbers</w:t>
      </w:r>
      <w:r w:rsidRPr="00E6190C">
        <w:rPr>
          <w:rFonts w:cs="Arial"/>
          <w:szCs w:val="24"/>
        </w:rPr>
        <w:t xml:space="preserve"> selected.  </w:t>
      </w:r>
      <w:r w:rsidRPr="00E6190C">
        <w:rPr>
          <w:rFonts w:cs="Arial"/>
          <w:b/>
          <w:i/>
          <w:szCs w:val="24"/>
        </w:rPr>
        <w:t>This a</w:t>
      </w:r>
      <w:r w:rsidRPr="00E6190C">
        <w:rPr>
          <w:rFonts w:cs="Arial"/>
          <w:szCs w:val="24"/>
        </w:rPr>
        <w:t xml:space="preserve">lso applies to disposal release orders (DRO).  There is currently no documented requirement for an owner to direct release of specific UIIs </w:t>
      </w:r>
      <w:r w:rsidRPr="00E6190C">
        <w:rPr>
          <w:rFonts w:cs="Arial"/>
          <w:b/>
          <w:i/>
          <w:szCs w:val="24"/>
        </w:rPr>
        <w:t>and/or serial numbers</w:t>
      </w:r>
      <w:r w:rsidRPr="00E6190C">
        <w:rPr>
          <w:rFonts w:cs="Arial"/>
          <w:szCs w:val="24"/>
        </w:rPr>
        <w:t xml:space="preserve"> </w:t>
      </w:r>
      <w:r w:rsidRPr="00E6190C">
        <w:rPr>
          <w:rFonts w:cs="Arial"/>
          <w:b/>
          <w:i/>
          <w:szCs w:val="24"/>
        </w:rPr>
        <w:t>by specifying applicable UIIs/serial numbers within the MRO/DRO</w:t>
      </w:r>
      <w:r w:rsidRPr="00E6190C">
        <w:rPr>
          <w:rFonts w:cs="Arial"/>
          <w:szCs w:val="24"/>
        </w:rPr>
        <w:t>.</w:t>
      </w:r>
    </w:p>
    <w:p w14:paraId="2A271BB4" w14:textId="4F8AF671"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ab/>
        <w:t xml:space="preserve">C19.18.2  </w:t>
      </w:r>
      <w:r w:rsidR="00C37D17">
        <w:rPr>
          <w:rFonts w:cs="Arial"/>
          <w:szCs w:val="24"/>
          <w:u w:val="single"/>
        </w:rPr>
        <w:t>Defense Logistics Management Standards</w:t>
      </w:r>
      <w:r w:rsidRPr="00E6190C">
        <w:rPr>
          <w:rFonts w:cs="Arial"/>
          <w:szCs w:val="24"/>
          <w:u w:val="single"/>
        </w:rPr>
        <w:t xml:space="preserve"> Retail Transportation and Supply Receipt And Acknowledgement Interchange</w:t>
      </w:r>
      <w:r w:rsidRPr="00E6190C">
        <w:rPr>
          <w:rFonts w:cs="Arial"/>
          <w:szCs w:val="24"/>
        </w:rPr>
        <w:t xml:space="preserve">.  (See </w:t>
      </w:r>
      <w:hyperlink r:id="rId16" w:history="1">
        <w:r w:rsidRPr="00E6190C">
          <w:rPr>
            <w:rFonts w:cs="Arial"/>
            <w:color w:val="0000FF"/>
            <w:szCs w:val="24"/>
            <w:u w:val="single"/>
          </w:rPr>
          <w:t>DLM 4000.25</w:t>
        </w:r>
      </w:hyperlink>
      <w:r w:rsidRPr="00E6190C">
        <w:rPr>
          <w:rFonts w:cs="Arial"/>
          <w:szCs w:val="24"/>
        </w:rPr>
        <w:t>, “</w:t>
      </w:r>
      <w:r w:rsidR="00C37D17">
        <w:rPr>
          <w:rFonts w:cs="Arial"/>
          <w:szCs w:val="24"/>
        </w:rPr>
        <w:t>Defense Logistics Management Standards</w:t>
      </w:r>
      <w:r w:rsidRPr="00E6190C">
        <w:rPr>
          <w:rFonts w:cs="Arial"/>
          <w:szCs w:val="24"/>
        </w:rPr>
        <w:t xml:space="preserve"> Manual,” Volume 3, Chapter 2.)  For designated supply trading partners (currently limited to the Standard Base Supply System (SBSS) – Cargo Movement Operations System (CMOS) interface), the DLMS 940R Materiel Release will be used to support the UIT program for PIC NWRM.  UIIs and the associated serial number will be passed in the DLMS 940R for each item meeting the PIC NWRM program criteria.  For legacy items where the UII has not been marked in accordance with IUID policy, the serial number alone will be passed.</w:t>
      </w:r>
    </w:p>
    <w:p w14:paraId="395E951E" w14:textId="7CB9054D"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ab/>
        <w:t xml:space="preserve">C19.18.3.  For designated supply trading partners (currently limited to SBSS – CMOS interface), an information copy (image) of the Materiel Release 940R and </w:t>
      </w:r>
      <w:r w:rsidRPr="00E6190C">
        <w:rPr>
          <w:rFonts w:cs="Arial"/>
          <w:szCs w:val="24"/>
        </w:rPr>
        <w:lastRenderedPageBreak/>
        <w:t>Materiel Release Advice 945A will be used in support of Air Force PIC Fusion program data requirements.  The routing of an additional information only copy of the DLMS standard transactions (940R and 945A) is authorized for forwarding PIC Fusion data needed for the Air Force UIT registry.  This is a specific authorized use with unique identifiers to flag the transaction as information only.</w:t>
      </w:r>
    </w:p>
    <w:p w14:paraId="7C8B79BC" w14:textId="77777777" w:rsidR="00E6190C" w:rsidRPr="00E6190C" w:rsidRDefault="00E6190C" w:rsidP="00B846A8">
      <w:pPr>
        <w:tabs>
          <w:tab w:val="left" w:pos="547"/>
          <w:tab w:val="left" w:pos="1080"/>
          <w:tab w:val="left" w:pos="1627"/>
          <w:tab w:val="left" w:pos="2232"/>
          <w:tab w:val="left" w:pos="2707"/>
          <w:tab w:val="left" w:pos="3240"/>
        </w:tabs>
        <w:spacing w:after="240"/>
        <w:rPr>
          <w:rFonts w:cs="Arial"/>
          <w:szCs w:val="24"/>
          <w:u w:val="single"/>
        </w:rPr>
      </w:pPr>
      <w:r w:rsidRPr="00E6190C">
        <w:rPr>
          <w:rFonts w:cs="Arial"/>
          <w:bCs/>
          <w:szCs w:val="24"/>
        </w:rPr>
        <w:t>C19</w:t>
      </w:r>
      <w:r w:rsidRPr="00E6190C">
        <w:rPr>
          <w:rFonts w:cs="Arial"/>
          <w:szCs w:val="24"/>
        </w:rPr>
        <w:t xml:space="preserve">.19.  </w:t>
      </w:r>
      <w:r w:rsidRPr="00E6190C">
        <w:rPr>
          <w:rFonts w:cs="Arial"/>
          <w:szCs w:val="24"/>
          <w:u w:val="single"/>
        </w:rPr>
        <w:t>CANCELLED MATERIEL RELEASE ORDER/DISPOSAL RELEASE ORDER  SUPPORTING UNIQUE ITEM IDENTIFIER MATERIEL RELEASE</w:t>
      </w:r>
    </w:p>
    <w:p w14:paraId="0DCA1956" w14:textId="0FCD989E"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ab/>
        <w:t>C19.19.1.  The storage activity will confirm materiel release order (MRO) or DRO cancellation to the owner.  The storage activity will</w:t>
      </w:r>
      <w:r w:rsidRPr="00E6190C">
        <w:rPr>
          <w:rFonts w:cs="Arial"/>
          <w:b/>
          <w:i/>
          <w:szCs w:val="24"/>
        </w:rPr>
        <w:t xml:space="preserve"> </w:t>
      </w:r>
      <w:r w:rsidRPr="00E6190C">
        <w:rPr>
          <w:rFonts w:cs="Arial"/>
          <w:szCs w:val="24"/>
        </w:rPr>
        <w:t>confirm MRO or DRO cancellations in accordance with DLMS 945A materiel release cancellation advice or disposal release cancellation advice in accordance with Chapter 4.</w:t>
      </w:r>
    </w:p>
    <w:p w14:paraId="1D3AAB6C" w14:textId="78496F89"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ab/>
        <w:t>C19.19.2.  The owner will confirm MRO cancellation with Status Code BQ using DLMS 870S Supply Status via DAAS to eligible status recipients.  Data are entered in the eligible status recipient’s AIS.</w:t>
      </w:r>
    </w:p>
    <w:p w14:paraId="6ECF0408" w14:textId="77777777" w:rsidR="00E6190C" w:rsidRPr="00E6190C" w:rsidRDefault="00E6190C" w:rsidP="00B846A8">
      <w:pPr>
        <w:keepNext/>
        <w:keepLines/>
        <w:tabs>
          <w:tab w:val="left" w:pos="547"/>
          <w:tab w:val="left" w:pos="1080"/>
          <w:tab w:val="left" w:pos="1627"/>
          <w:tab w:val="left" w:pos="2232"/>
          <w:tab w:val="left" w:pos="2707"/>
          <w:tab w:val="left" w:pos="3240"/>
        </w:tabs>
        <w:spacing w:after="240"/>
        <w:rPr>
          <w:rFonts w:cs="Arial"/>
          <w:szCs w:val="24"/>
          <w:u w:val="single"/>
        </w:rPr>
      </w:pPr>
      <w:r w:rsidRPr="00E6190C">
        <w:rPr>
          <w:rFonts w:cs="Arial"/>
          <w:szCs w:val="24"/>
        </w:rPr>
        <w:t xml:space="preserve">C19.20.  </w:t>
      </w:r>
      <w:r w:rsidRPr="00E6190C">
        <w:rPr>
          <w:rFonts w:cs="Arial"/>
          <w:szCs w:val="24"/>
          <w:u w:val="single"/>
        </w:rPr>
        <w:t>MATERIEL RELEASE CONFIRMATION</w:t>
      </w:r>
    </w:p>
    <w:p w14:paraId="16DA90C8" w14:textId="041C12D7" w:rsidR="00E6190C" w:rsidRPr="00E6190C" w:rsidRDefault="00E6190C" w:rsidP="00B846A8">
      <w:pPr>
        <w:keepNext/>
        <w:keepLines/>
        <w:tabs>
          <w:tab w:val="left" w:pos="547"/>
          <w:tab w:val="left" w:pos="1080"/>
          <w:tab w:val="left" w:pos="1627"/>
          <w:tab w:val="left" w:pos="2232"/>
          <w:tab w:val="left" w:pos="2707"/>
          <w:tab w:val="left" w:pos="3240"/>
        </w:tabs>
        <w:spacing w:after="240"/>
      </w:pPr>
      <w:r w:rsidRPr="00E6190C">
        <w:rPr>
          <w:rFonts w:cs="Arial"/>
          <w:szCs w:val="24"/>
        </w:rPr>
        <w:tab/>
        <w:t xml:space="preserve">C19.20.1.  </w:t>
      </w:r>
      <w:r w:rsidRPr="00E6190C">
        <w:rPr>
          <w:rFonts w:cs="Arial"/>
          <w:b/>
          <w:i/>
          <w:szCs w:val="24"/>
        </w:rPr>
        <w:t>T</w:t>
      </w:r>
      <w:r w:rsidRPr="00E6190C">
        <w:rPr>
          <w:rFonts w:cs="Arial"/>
          <w:szCs w:val="24"/>
        </w:rPr>
        <w:t xml:space="preserve">he shipping activity will confirm materiel release to the owner and report shipped UIIs </w:t>
      </w:r>
      <w:r w:rsidRPr="00E6190C">
        <w:rPr>
          <w:rFonts w:cs="Arial"/>
          <w:b/>
          <w:i/>
          <w:szCs w:val="24"/>
        </w:rPr>
        <w:t>and/or serial numbers</w:t>
      </w:r>
      <w:r w:rsidRPr="00E6190C">
        <w:rPr>
          <w:rFonts w:cs="Arial"/>
          <w:szCs w:val="24"/>
        </w:rPr>
        <w:t xml:space="preserve"> </w:t>
      </w:r>
      <w:r w:rsidRPr="00E6190C">
        <w:rPr>
          <w:rFonts w:cs="Arial"/>
          <w:b/>
          <w:i/>
          <w:szCs w:val="24"/>
        </w:rPr>
        <w:t>for the UIT programs for Navy Depot Level Reparables and Positive Inventory Control Nuclear Weapon Related Materiel (NWRM).  For these two UIT programs, t</w:t>
      </w:r>
      <w:r w:rsidRPr="00E6190C">
        <w:rPr>
          <w:rFonts w:cs="Arial"/>
          <w:szCs w:val="24"/>
        </w:rPr>
        <w:t xml:space="preserve">he storage activity will submit a Materiel Release Confirmation, including UIIs </w:t>
      </w:r>
      <w:r w:rsidRPr="00E6190C">
        <w:rPr>
          <w:rFonts w:cs="Arial"/>
          <w:b/>
          <w:i/>
          <w:szCs w:val="24"/>
        </w:rPr>
        <w:t>and/or serial numbers</w:t>
      </w:r>
      <w:r w:rsidRPr="00E6190C">
        <w:rPr>
          <w:rFonts w:cs="Arial"/>
          <w:szCs w:val="24"/>
        </w:rPr>
        <w:t xml:space="preserve">, </w:t>
      </w:r>
      <w:r w:rsidRPr="00E6190C">
        <w:t>using DLMS 945A, processed in accordance with Chapter 4.</w:t>
      </w:r>
    </w:p>
    <w:p w14:paraId="59F11575" w14:textId="0A3590AD" w:rsidR="00E6190C" w:rsidRPr="00E6190C" w:rsidRDefault="00E6190C" w:rsidP="00B846A8">
      <w:pPr>
        <w:keepNext/>
        <w:keepLines/>
        <w:tabs>
          <w:tab w:val="left" w:pos="547"/>
          <w:tab w:val="left" w:pos="1080"/>
          <w:tab w:val="left" w:pos="1627"/>
          <w:tab w:val="left" w:pos="2232"/>
          <w:tab w:val="left" w:pos="2707"/>
          <w:tab w:val="left" w:pos="3240"/>
        </w:tabs>
        <w:spacing w:after="240"/>
      </w:pPr>
      <w:r w:rsidRPr="00E6190C">
        <w:tab/>
      </w:r>
      <w:r w:rsidRPr="00E6190C">
        <w:rPr>
          <w:rFonts w:cs="Arial"/>
          <w:szCs w:val="24"/>
        </w:rPr>
        <w:t xml:space="preserve">C19.20.2.  </w:t>
      </w:r>
      <w:r w:rsidRPr="00E6190C">
        <w:rPr>
          <w:rFonts w:cs="Arial"/>
          <w:szCs w:val="24"/>
          <w:u w:val="single"/>
        </w:rPr>
        <w:t>DLMS Retail Transportation and Supply Receipt and Acknowledgement Interchange</w:t>
      </w:r>
      <w:r w:rsidRPr="00E6190C">
        <w:rPr>
          <w:rFonts w:cs="Arial"/>
          <w:szCs w:val="24"/>
        </w:rPr>
        <w:t xml:space="preserve">.  (See DLM 4000.25 Volume 3, Chapter 2).  </w:t>
      </w:r>
      <w:r w:rsidRPr="00E6190C">
        <w:rPr>
          <w:rFonts w:cs="Arial"/>
          <w:b/>
          <w:i/>
          <w:szCs w:val="24"/>
        </w:rPr>
        <w:t xml:space="preserve">The transportation office </w:t>
      </w:r>
      <w:r w:rsidRPr="00E6190C">
        <w:rPr>
          <w:rFonts w:cs="Arial"/>
          <w:szCs w:val="24"/>
        </w:rPr>
        <w:t>will</w:t>
      </w:r>
      <w:r w:rsidRPr="00E6190C">
        <w:rPr>
          <w:rFonts w:cs="Arial"/>
          <w:b/>
          <w:i/>
          <w:szCs w:val="24"/>
        </w:rPr>
        <w:t xml:space="preserve"> perpetuate the UIIs and/or serial numbers with the associated transportation control number (TCN) in the Materiel Release Confirmation (distribution code 111).  This data content </w:t>
      </w:r>
      <w:r w:rsidRPr="009011F1">
        <w:rPr>
          <w:rFonts w:cs="Arial"/>
          <w:b/>
          <w:i/>
          <w:szCs w:val="24"/>
        </w:rPr>
        <w:t>will</w:t>
      </w:r>
      <w:r w:rsidRPr="00E6190C">
        <w:rPr>
          <w:rFonts w:cs="Arial"/>
          <w:b/>
          <w:i/>
          <w:szCs w:val="24"/>
        </w:rPr>
        <w:t xml:space="preserve"> be used by the supply activity to perpetuate this information to the Shipment Status.</w:t>
      </w:r>
      <w:r w:rsidRPr="00E6190C">
        <w:rPr>
          <w:rFonts w:cs="Arial"/>
          <w:szCs w:val="24"/>
        </w:rPr>
        <w:t xml:space="preserve"> </w:t>
      </w:r>
    </w:p>
    <w:p w14:paraId="10D10A51" w14:textId="3250DC8F"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 xml:space="preserve">C19.21.  </w:t>
      </w:r>
      <w:r w:rsidRPr="00E6190C">
        <w:rPr>
          <w:rFonts w:cs="Arial"/>
          <w:szCs w:val="24"/>
          <w:u w:val="single"/>
        </w:rPr>
        <w:t>CONFIRMATION OF SHIPMENT TO DEMILITARIZATION AND/OR DISPOSAL</w:t>
      </w:r>
      <w:r w:rsidRPr="00E6190C">
        <w:rPr>
          <w:rFonts w:cs="Arial"/>
          <w:szCs w:val="24"/>
        </w:rPr>
        <w:t xml:space="preserve">.  The shipping activity shall report </w:t>
      </w:r>
      <w:r w:rsidRPr="00E6190C">
        <w:rPr>
          <w:rFonts w:cs="Arial"/>
          <w:b/>
          <w:i/>
          <w:szCs w:val="24"/>
        </w:rPr>
        <w:t xml:space="preserve">UIIs and/or serial numbers  </w:t>
      </w:r>
      <w:r w:rsidRPr="00E6190C">
        <w:rPr>
          <w:rFonts w:cs="Arial"/>
          <w:szCs w:val="24"/>
        </w:rPr>
        <w:t xml:space="preserve">to the owner, </w:t>
      </w:r>
      <w:r w:rsidRPr="00E6190C">
        <w:rPr>
          <w:rFonts w:cs="Arial"/>
          <w:b/>
          <w:i/>
          <w:szCs w:val="24"/>
        </w:rPr>
        <w:t>for</w:t>
      </w:r>
      <w:r w:rsidRPr="00E6190C">
        <w:rPr>
          <w:rFonts w:cs="Arial"/>
          <w:szCs w:val="24"/>
        </w:rPr>
        <w:t xml:space="preserve"> shipment of items to demilitarization and/or disposal</w:t>
      </w:r>
      <w:r w:rsidRPr="00E6190C">
        <w:rPr>
          <w:rFonts w:cs="Arial"/>
          <w:b/>
          <w:i/>
          <w:szCs w:val="24"/>
        </w:rPr>
        <w:t xml:space="preserve"> for the UIT programs for Navy Depot Level Reparables and Positive Inventory Control NWRM</w:t>
      </w:r>
      <w:r w:rsidRPr="00E6190C">
        <w:rPr>
          <w:rFonts w:cs="Arial"/>
          <w:szCs w:val="24"/>
        </w:rPr>
        <w:t xml:space="preserve">.  The storage activity will include the UIIs </w:t>
      </w:r>
      <w:r w:rsidRPr="00E6190C">
        <w:rPr>
          <w:rFonts w:cs="Arial"/>
          <w:b/>
          <w:i/>
          <w:szCs w:val="24"/>
        </w:rPr>
        <w:t xml:space="preserve">and/or serial numbers </w:t>
      </w:r>
      <w:r w:rsidRPr="00E6190C">
        <w:rPr>
          <w:rFonts w:cs="Arial"/>
          <w:szCs w:val="24"/>
        </w:rPr>
        <w:t xml:space="preserve">on the DLMS 945A Materiel Release Advice </w:t>
      </w:r>
      <w:r w:rsidRPr="00E6190C">
        <w:rPr>
          <w:rFonts w:cs="Arial"/>
          <w:b/>
          <w:i/>
          <w:szCs w:val="24"/>
        </w:rPr>
        <w:t>for these two UIT programs</w:t>
      </w:r>
      <w:r w:rsidRPr="00E6190C">
        <w:rPr>
          <w:rFonts w:cs="Arial"/>
          <w:szCs w:val="24"/>
        </w:rPr>
        <w:t xml:space="preserve">.  </w:t>
      </w:r>
    </w:p>
    <w:p w14:paraId="3E856C9D" w14:textId="4458B49C"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 xml:space="preserve">C19.22.  </w:t>
      </w:r>
      <w:r w:rsidRPr="00E6190C">
        <w:rPr>
          <w:rFonts w:cs="Arial"/>
          <w:szCs w:val="24"/>
          <w:u w:val="single"/>
        </w:rPr>
        <w:t>SHIPMENT STATUS</w:t>
      </w:r>
      <w:r w:rsidRPr="00E6190C">
        <w:rPr>
          <w:rFonts w:cs="Arial"/>
          <w:szCs w:val="24"/>
        </w:rPr>
        <w:t xml:space="preserve">.  For all UIT programs, the shipping activity will report shipment status, with UIIs </w:t>
      </w:r>
      <w:r w:rsidRPr="00E6190C">
        <w:rPr>
          <w:rFonts w:cs="Arial"/>
          <w:b/>
          <w:i/>
          <w:szCs w:val="24"/>
        </w:rPr>
        <w:t xml:space="preserve">and/or serial numbers </w:t>
      </w:r>
      <w:r w:rsidRPr="00E6190C">
        <w:rPr>
          <w:rFonts w:cs="Arial"/>
          <w:szCs w:val="24"/>
        </w:rPr>
        <w:t>selected for shipment, to the receiving DoD Component.  The receiving DoD Component will</w:t>
      </w:r>
      <w:r w:rsidRPr="00E6190C" w:rsidDel="00785427">
        <w:rPr>
          <w:rFonts w:cs="Arial"/>
          <w:szCs w:val="24"/>
        </w:rPr>
        <w:t xml:space="preserve"> </w:t>
      </w:r>
      <w:r w:rsidRPr="00E6190C">
        <w:rPr>
          <w:rFonts w:cs="Arial"/>
          <w:szCs w:val="24"/>
        </w:rPr>
        <w:t xml:space="preserve">enter the data in its AIS to confirm that received UIIs </w:t>
      </w:r>
      <w:r w:rsidRPr="00E6190C">
        <w:rPr>
          <w:rFonts w:cs="Arial"/>
          <w:b/>
          <w:i/>
          <w:szCs w:val="24"/>
        </w:rPr>
        <w:t xml:space="preserve">and/or serial numbers </w:t>
      </w:r>
      <w:r w:rsidRPr="00E6190C">
        <w:rPr>
          <w:rFonts w:cs="Arial"/>
          <w:szCs w:val="24"/>
        </w:rPr>
        <w:t>are the UIIs</w:t>
      </w:r>
      <w:r w:rsidRPr="00E6190C">
        <w:rPr>
          <w:rFonts w:cs="Arial"/>
          <w:b/>
          <w:i/>
          <w:szCs w:val="24"/>
        </w:rPr>
        <w:t xml:space="preserve">/serial numbers </w:t>
      </w:r>
      <w:r w:rsidRPr="00E6190C">
        <w:rPr>
          <w:rFonts w:cs="Arial"/>
          <w:szCs w:val="24"/>
        </w:rPr>
        <w:t xml:space="preserve">reported shipped.  </w:t>
      </w:r>
    </w:p>
    <w:p w14:paraId="1FA49CCD" w14:textId="4B2F7099"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lastRenderedPageBreak/>
        <w:t xml:space="preserve">C19.23.  </w:t>
      </w:r>
      <w:r w:rsidRPr="00E6190C">
        <w:rPr>
          <w:rFonts w:cs="Arial"/>
          <w:szCs w:val="24"/>
          <w:u w:val="single"/>
        </w:rPr>
        <w:t>PHYSICAL INVENTORY OF UNIQUE ITEM IDENTIFIER ITEMS</w:t>
      </w:r>
      <w:r w:rsidRPr="00E6190C">
        <w:rPr>
          <w:rFonts w:cs="Arial"/>
          <w:szCs w:val="24"/>
        </w:rPr>
        <w:t xml:space="preserve">.  Physical inventory of UIT items will be conducted in accordance with Chapter 6 physical inventory procedures.  </w:t>
      </w:r>
      <w:r w:rsidRPr="00E6190C">
        <w:rPr>
          <w:rFonts w:cs="Arial"/>
          <w:b/>
          <w:i/>
          <w:szCs w:val="24"/>
        </w:rPr>
        <w:t>With the exception of the SA/LW program,</w:t>
      </w:r>
      <w:r w:rsidRPr="00E6190C">
        <w:rPr>
          <w:rFonts w:cs="Arial"/>
          <w:szCs w:val="24"/>
        </w:rPr>
        <w:t xml:space="preserve"> </w:t>
      </w:r>
      <w:r w:rsidRPr="00E6190C">
        <w:rPr>
          <w:rFonts w:cs="Arial"/>
          <w:b/>
          <w:i/>
          <w:szCs w:val="24"/>
        </w:rPr>
        <w:t>t</w:t>
      </w:r>
      <w:r w:rsidRPr="00E6190C">
        <w:rPr>
          <w:rFonts w:cs="Arial"/>
          <w:szCs w:val="24"/>
        </w:rPr>
        <w:t xml:space="preserve">here is currently </w:t>
      </w:r>
      <w:r w:rsidRPr="00E6190C">
        <w:rPr>
          <w:rFonts w:cs="Arial"/>
          <w:b/>
          <w:i/>
          <w:szCs w:val="24"/>
        </w:rPr>
        <w:t>no UIT program with a</w:t>
      </w:r>
      <w:r w:rsidRPr="00E6190C">
        <w:rPr>
          <w:rFonts w:cs="Arial"/>
          <w:szCs w:val="24"/>
        </w:rPr>
        <w:t xml:space="preserve"> DoD requirement to inventory by UII </w:t>
      </w:r>
      <w:r w:rsidRPr="00E6190C">
        <w:rPr>
          <w:rFonts w:cs="Arial"/>
          <w:b/>
          <w:i/>
          <w:szCs w:val="24"/>
        </w:rPr>
        <w:t>or serial number</w:t>
      </w:r>
      <w:r w:rsidRPr="00E6190C">
        <w:rPr>
          <w:rFonts w:cs="Arial"/>
          <w:szCs w:val="24"/>
        </w:rPr>
        <w:t xml:space="preserve">. </w:t>
      </w:r>
    </w:p>
    <w:p w14:paraId="09202F2E" w14:textId="77DC99D0"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caps/>
          <w:szCs w:val="24"/>
        </w:rPr>
        <w:t xml:space="preserve">C19.24.  </w:t>
      </w:r>
      <w:r w:rsidRPr="00E6190C">
        <w:rPr>
          <w:rFonts w:cs="Arial"/>
          <w:caps/>
          <w:szCs w:val="24"/>
          <w:u w:val="single"/>
        </w:rPr>
        <w:t>dOD Stock Readiness Program</w:t>
      </w:r>
      <w:r w:rsidRPr="00E6190C">
        <w:rPr>
          <w:rFonts w:cs="Arial"/>
          <w:szCs w:val="24"/>
        </w:rPr>
        <w:t xml:space="preserve">.  Under the Stock Readiness program, the Department of Defense requires uniform care of supplies, including the inspection and reporting of materiel condition and serviceability, and the scheduling, controlling, and reporting of packaging and other cost reimbursable actions supporting care of supplies in storage (COSIS).  </w:t>
      </w:r>
      <w:r w:rsidRPr="00E6190C">
        <w:rPr>
          <w:rFonts w:cs="Arial"/>
          <w:b/>
          <w:i/>
          <w:szCs w:val="24"/>
        </w:rPr>
        <w:t>Upon implementation of IUID,</w:t>
      </w:r>
      <w:r w:rsidRPr="00E6190C">
        <w:rPr>
          <w:rFonts w:cs="Arial"/>
          <w:szCs w:val="24"/>
        </w:rPr>
        <w:t xml:space="preserve"> the distribution </w:t>
      </w:r>
      <w:r w:rsidRPr="00E6190C">
        <w:rPr>
          <w:rFonts w:cs="Arial"/>
          <w:b/>
          <w:i/>
          <w:szCs w:val="24"/>
        </w:rPr>
        <w:t>center</w:t>
      </w:r>
      <w:r w:rsidRPr="00E6190C">
        <w:rPr>
          <w:rFonts w:cs="Arial"/>
          <w:szCs w:val="24"/>
        </w:rPr>
        <w:t xml:space="preserve"> </w:t>
      </w:r>
      <w:r w:rsidR="00DA5512">
        <w:rPr>
          <w:rFonts w:cs="Arial"/>
          <w:szCs w:val="24"/>
        </w:rPr>
        <w:t xml:space="preserve"> </w:t>
      </w:r>
      <w:r w:rsidRPr="00E6190C">
        <w:rPr>
          <w:rFonts w:cs="Arial"/>
          <w:szCs w:val="24"/>
        </w:rPr>
        <w:t xml:space="preserve">will report storage quality issues requiring COSIS work to the materiel owner via the Storage Quality Control Report, </w:t>
      </w:r>
      <w:r w:rsidRPr="00E6190C">
        <w:rPr>
          <w:rFonts w:cs="Arial"/>
          <w:b/>
          <w:i/>
          <w:szCs w:val="24"/>
        </w:rPr>
        <w:t>for IUID-required items</w:t>
      </w:r>
      <w:r w:rsidRPr="00E6190C">
        <w:rPr>
          <w:rFonts w:cs="Arial"/>
          <w:szCs w:val="24"/>
        </w:rPr>
        <w:t xml:space="preserve"> including UII, for approval in </w:t>
      </w:r>
      <w:r w:rsidRPr="00E6190C">
        <w:rPr>
          <w:rFonts w:cs="Arial"/>
          <w:color w:val="000000"/>
          <w:szCs w:val="24"/>
        </w:rPr>
        <w:t xml:space="preserve">accordance with DoD Component </w:t>
      </w:r>
      <w:hyperlink r:id="rId17" w:history="1">
        <w:r w:rsidRPr="00E6190C">
          <w:rPr>
            <w:rFonts w:cs="Arial"/>
            <w:color w:val="0000FF"/>
            <w:szCs w:val="24"/>
            <w:u w:val="single"/>
          </w:rPr>
          <w:t>"Stock Readiness"</w:t>
        </w:r>
      </w:hyperlink>
      <w:r w:rsidRPr="00E6190C">
        <w:rPr>
          <w:rFonts w:cs="Arial"/>
          <w:color w:val="000000"/>
          <w:szCs w:val="24"/>
        </w:rPr>
        <w:t xml:space="preserve"> Policy using DLMS  </w:t>
      </w:r>
      <w:r w:rsidRPr="00E6190C">
        <w:rPr>
          <w:rFonts w:cs="Arial"/>
          <w:szCs w:val="24"/>
        </w:rPr>
        <w:t>842SQ Storage Quality Control Report and DLMS 842S/R Storage Quality Control Report Reply.</w:t>
      </w:r>
    </w:p>
    <w:p w14:paraId="32BEAEDC" w14:textId="77777777" w:rsidR="00E6190C" w:rsidRPr="00E6190C" w:rsidRDefault="00E6190C" w:rsidP="00B846A8">
      <w:pPr>
        <w:tabs>
          <w:tab w:val="left" w:pos="547"/>
          <w:tab w:val="left" w:pos="1080"/>
          <w:tab w:val="left" w:pos="1627"/>
          <w:tab w:val="left" w:pos="2232"/>
          <w:tab w:val="left" w:pos="2707"/>
          <w:tab w:val="left" w:pos="3240"/>
        </w:tabs>
        <w:spacing w:after="240"/>
        <w:outlineLvl w:val="1"/>
        <w:rPr>
          <w:rFonts w:cs="Arial"/>
          <w:b/>
          <w:i/>
        </w:rPr>
      </w:pPr>
      <w:r w:rsidRPr="00E6190C">
        <w:rPr>
          <w:rFonts w:cs="Arial"/>
        </w:rPr>
        <w:t>C19.</w:t>
      </w:r>
      <w:r w:rsidRPr="00E6190C">
        <w:rPr>
          <w:rFonts w:cs="Arial"/>
          <w:b/>
          <w:i/>
        </w:rPr>
        <w:t>25</w:t>
      </w:r>
      <w:r w:rsidRPr="00E6190C">
        <w:rPr>
          <w:rFonts w:cs="Arial"/>
        </w:rPr>
        <w:t xml:space="preserve">.  </w:t>
      </w:r>
      <w:r w:rsidRPr="00E6190C">
        <w:rPr>
          <w:rFonts w:cs="Arial"/>
          <w:b/>
          <w:i/>
          <w:u w:val="single"/>
        </w:rPr>
        <w:t>ACTIVE</w:t>
      </w:r>
      <w:r w:rsidRPr="00E6190C">
        <w:rPr>
          <w:rFonts w:cs="Arial"/>
          <w:u w:val="single"/>
        </w:rPr>
        <w:t xml:space="preserve"> DOD-LEVEL UNIQUE ITEM TRACKING PROGRAMS</w:t>
      </w:r>
      <w:r w:rsidRPr="00E6190C">
        <w:rPr>
          <w:rFonts w:cs="Arial"/>
        </w:rPr>
        <w:t xml:space="preserve">.  </w:t>
      </w:r>
      <w:r w:rsidRPr="00E6190C">
        <w:rPr>
          <w:rFonts w:cs="Arial"/>
          <w:b/>
          <w:i/>
        </w:rPr>
        <w:t>The following active UIT programs use DLMS transactions to exchange UIT UII and/or serial number on an inter-Component basis.  In addition, see Table C19.T4. for DLMS transactions required for IUID.  All UIT items are subject to IUID.</w:t>
      </w:r>
    </w:p>
    <w:p w14:paraId="5846FBC5" w14:textId="29818836" w:rsidR="00E6190C" w:rsidRPr="00E6190C" w:rsidRDefault="00E6190C" w:rsidP="00B846A8">
      <w:pPr>
        <w:tabs>
          <w:tab w:val="left" w:pos="547"/>
          <w:tab w:val="left" w:pos="1080"/>
          <w:tab w:val="left" w:pos="1627"/>
          <w:tab w:val="left" w:pos="2232"/>
          <w:tab w:val="left" w:pos="2707"/>
          <w:tab w:val="left" w:pos="3240"/>
        </w:tabs>
        <w:spacing w:after="240"/>
        <w:outlineLvl w:val="1"/>
        <w:rPr>
          <w:rFonts w:cs="Arial"/>
          <w:b/>
          <w:i/>
        </w:rPr>
      </w:pPr>
      <w:r w:rsidRPr="00E6190C">
        <w:rPr>
          <w:rFonts w:ascii="Courier New" w:hAnsi="Courier New"/>
          <w:b/>
        </w:rPr>
        <w:tab/>
      </w:r>
      <w:r w:rsidRPr="00E6190C">
        <w:rPr>
          <w:rFonts w:cs="Arial"/>
        </w:rPr>
        <w:t>C19.2</w:t>
      </w:r>
      <w:r w:rsidRPr="00E6190C">
        <w:rPr>
          <w:rFonts w:cs="Arial"/>
          <w:b/>
          <w:i/>
        </w:rPr>
        <w:t>5</w:t>
      </w:r>
      <w:r w:rsidRPr="00E6190C">
        <w:rPr>
          <w:rFonts w:cs="Arial"/>
        </w:rPr>
        <w:t xml:space="preserve">.1.  </w:t>
      </w:r>
      <w:r w:rsidRPr="00E6190C">
        <w:rPr>
          <w:rFonts w:cs="Arial"/>
          <w:u w:val="single"/>
        </w:rPr>
        <w:t>DoD Small Arms and Light Weapons Serialization Program</w:t>
      </w:r>
      <w:r w:rsidRPr="00E6190C">
        <w:rPr>
          <w:rFonts w:cs="Arial"/>
        </w:rPr>
        <w:t xml:space="preserve">.  </w:t>
      </w:r>
      <w:r w:rsidRPr="00E6190C">
        <w:rPr>
          <w:rFonts w:cs="Arial"/>
          <w:b/>
          <w:i/>
        </w:rPr>
        <w:t>Refer to</w:t>
      </w:r>
      <w:r w:rsidRPr="00E6190C">
        <w:rPr>
          <w:rFonts w:cs="Arial"/>
          <w:b/>
        </w:rPr>
        <w:t xml:space="preserve"> </w:t>
      </w:r>
      <w:hyperlink r:id="rId18" w:history="1">
        <w:r w:rsidRPr="00E6190C">
          <w:rPr>
            <w:rFonts w:cs="Arial"/>
            <w:b/>
            <w:color w:val="0000FF"/>
            <w:u w:val="single"/>
          </w:rPr>
          <w:t>Chapter 18</w:t>
        </w:r>
      </w:hyperlink>
      <w:r w:rsidRPr="00E6190C">
        <w:rPr>
          <w:rFonts w:cs="Arial"/>
          <w:b/>
        </w:rPr>
        <w:t xml:space="preserve">, </w:t>
      </w:r>
      <w:r w:rsidRPr="00E6190C">
        <w:rPr>
          <w:rFonts w:cs="Arial"/>
        </w:rPr>
        <w:t xml:space="preserve">for the DoD SA/LW Serialization Program </w:t>
      </w:r>
      <w:r w:rsidRPr="00E6190C">
        <w:rPr>
          <w:rFonts w:cs="Arial"/>
          <w:b/>
          <w:i/>
        </w:rPr>
        <w:t>UIT</w:t>
      </w:r>
      <w:r w:rsidRPr="00E6190C">
        <w:rPr>
          <w:rFonts w:cs="Arial"/>
          <w:b/>
        </w:rPr>
        <w:t xml:space="preserve"> </w:t>
      </w:r>
      <w:r w:rsidRPr="00E6190C">
        <w:rPr>
          <w:rFonts w:cs="Arial"/>
        </w:rPr>
        <w:t>procedures</w:t>
      </w:r>
      <w:r w:rsidRPr="00E6190C">
        <w:rPr>
          <w:rFonts w:cs="Arial"/>
          <w:b/>
        </w:rPr>
        <w:t xml:space="preserve">.  </w:t>
      </w:r>
      <w:r w:rsidRPr="00E6190C">
        <w:rPr>
          <w:rFonts w:cs="Arial"/>
          <w:b/>
          <w:i/>
        </w:rPr>
        <w:t xml:space="preserve">The DoD SA/LW Serialization Program, UIT Designator AAA, uses the following DLMS transactions for UIT.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774"/>
      </w:tblGrid>
      <w:tr w:rsidR="00E6190C" w:rsidRPr="00E6190C" w14:paraId="43CF6D79" w14:textId="77777777" w:rsidTr="004E1047">
        <w:trPr>
          <w:cantSplit/>
          <w:trHeight w:val="432"/>
          <w:tblHeader/>
          <w:jc w:val="center"/>
        </w:trPr>
        <w:tc>
          <w:tcPr>
            <w:tcW w:w="9248" w:type="dxa"/>
            <w:gridSpan w:val="2"/>
            <w:tcBorders>
              <w:top w:val="nil"/>
              <w:left w:val="nil"/>
              <w:bottom w:val="single" w:sz="4" w:space="0" w:color="auto"/>
              <w:right w:val="nil"/>
            </w:tcBorders>
            <w:shd w:val="clear" w:color="auto" w:fill="auto"/>
          </w:tcPr>
          <w:p w14:paraId="3635AA34" w14:textId="77777777" w:rsidR="00E6190C" w:rsidRPr="00E6190C" w:rsidRDefault="00E6190C" w:rsidP="00E6190C">
            <w:pPr>
              <w:tabs>
                <w:tab w:val="left" w:pos="547"/>
                <w:tab w:val="left" w:pos="1080"/>
                <w:tab w:val="left" w:pos="1627"/>
                <w:tab w:val="left" w:pos="2232"/>
                <w:tab w:val="left" w:pos="2707"/>
                <w:tab w:val="left" w:pos="3240"/>
              </w:tabs>
              <w:spacing w:before="40" w:after="40"/>
              <w:jc w:val="center"/>
              <w:rPr>
                <w:rFonts w:cs="Arial"/>
                <w:b/>
                <w:i/>
                <w:sz w:val="22"/>
                <w:szCs w:val="22"/>
              </w:rPr>
            </w:pPr>
            <w:r w:rsidRPr="00E6190C">
              <w:rPr>
                <w:rFonts w:cs="Arial"/>
                <w:b/>
                <w:i/>
                <w:szCs w:val="24"/>
              </w:rPr>
              <w:t>Table C19.T1.  DoD SA/LW Serialization Program UIT transactions</w:t>
            </w:r>
          </w:p>
        </w:tc>
      </w:tr>
      <w:tr w:rsidR="00E6190C" w:rsidRPr="00E6190C" w14:paraId="4A718780" w14:textId="77777777" w:rsidTr="004E1047">
        <w:trPr>
          <w:cantSplit/>
          <w:trHeight w:val="432"/>
          <w:tblHeader/>
          <w:jc w:val="center"/>
        </w:trPr>
        <w:tc>
          <w:tcPr>
            <w:tcW w:w="1474" w:type="dxa"/>
            <w:tcBorders>
              <w:top w:val="single" w:sz="4" w:space="0" w:color="auto"/>
            </w:tcBorders>
            <w:shd w:val="clear" w:color="auto" w:fill="auto"/>
          </w:tcPr>
          <w:p w14:paraId="07A799F8" w14:textId="77777777" w:rsidR="00E6190C" w:rsidRPr="00E6190C" w:rsidRDefault="00E6190C" w:rsidP="00E6190C">
            <w:pPr>
              <w:tabs>
                <w:tab w:val="left" w:pos="547"/>
                <w:tab w:val="left" w:pos="1080"/>
                <w:tab w:val="left" w:pos="1627"/>
                <w:tab w:val="left" w:pos="2232"/>
                <w:tab w:val="left" w:pos="2707"/>
                <w:tab w:val="left" w:pos="3240"/>
              </w:tabs>
              <w:spacing w:before="40" w:after="40"/>
              <w:rPr>
                <w:rFonts w:cs="Arial"/>
                <w:b/>
                <w:bCs/>
                <w:i/>
                <w:sz w:val="22"/>
                <w:szCs w:val="22"/>
              </w:rPr>
            </w:pPr>
            <w:r w:rsidRPr="00E6190C">
              <w:rPr>
                <w:rFonts w:cs="Arial"/>
                <w:b/>
                <w:bCs/>
                <w:i/>
                <w:sz w:val="22"/>
                <w:szCs w:val="22"/>
              </w:rPr>
              <w:t>Transaction</w:t>
            </w:r>
          </w:p>
        </w:tc>
        <w:tc>
          <w:tcPr>
            <w:tcW w:w="7774" w:type="dxa"/>
            <w:tcBorders>
              <w:top w:val="single" w:sz="4" w:space="0" w:color="auto"/>
            </w:tcBorders>
            <w:shd w:val="clear" w:color="auto" w:fill="auto"/>
          </w:tcPr>
          <w:p w14:paraId="43CA7EDC" w14:textId="77777777" w:rsidR="00E6190C" w:rsidRPr="00E6190C" w:rsidRDefault="00E6190C" w:rsidP="00E6190C">
            <w:pPr>
              <w:tabs>
                <w:tab w:val="left" w:pos="547"/>
                <w:tab w:val="left" w:pos="1080"/>
                <w:tab w:val="left" w:pos="1627"/>
                <w:tab w:val="left" w:pos="2232"/>
                <w:tab w:val="left" w:pos="2707"/>
                <w:tab w:val="left" w:pos="3240"/>
              </w:tabs>
              <w:spacing w:before="40" w:after="40"/>
              <w:jc w:val="center"/>
              <w:rPr>
                <w:rFonts w:cs="Arial"/>
                <w:b/>
                <w:i/>
                <w:sz w:val="22"/>
                <w:szCs w:val="22"/>
              </w:rPr>
            </w:pPr>
            <w:r w:rsidRPr="00E6190C">
              <w:rPr>
                <w:rFonts w:cs="Arial"/>
                <w:b/>
                <w:i/>
                <w:sz w:val="22"/>
                <w:szCs w:val="22"/>
              </w:rPr>
              <w:t>Title</w:t>
            </w:r>
          </w:p>
        </w:tc>
      </w:tr>
      <w:tr w:rsidR="00E6190C" w:rsidRPr="00E6190C" w14:paraId="76FE8E68" w14:textId="77777777" w:rsidTr="004E1047">
        <w:trPr>
          <w:cantSplit/>
          <w:trHeight w:val="432"/>
          <w:jc w:val="center"/>
        </w:trPr>
        <w:tc>
          <w:tcPr>
            <w:tcW w:w="1474" w:type="dxa"/>
            <w:vAlign w:val="center"/>
          </w:tcPr>
          <w:p w14:paraId="00682194" w14:textId="77777777" w:rsidR="00E6190C" w:rsidRPr="00E6190C" w:rsidRDefault="00E6190C" w:rsidP="00E6190C">
            <w:pPr>
              <w:tabs>
                <w:tab w:val="left" w:pos="547"/>
                <w:tab w:val="left" w:pos="1080"/>
                <w:tab w:val="left" w:pos="1627"/>
                <w:tab w:val="left" w:pos="2232"/>
                <w:tab w:val="left" w:pos="2707"/>
                <w:tab w:val="left" w:pos="3240"/>
              </w:tabs>
              <w:spacing w:before="40" w:after="40"/>
              <w:rPr>
                <w:rFonts w:cs="Arial"/>
                <w:b/>
                <w:bCs/>
                <w:i/>
                <w:sz w:val="22"/>
                <w:szCs w:val="22"/>
              </w:rPr>
            </w:pPr>
            <w:r w:rsidRPr="00E6190C">
              <w:rPr>
                <w:rFonts w:cs="Arial"/>
                <w:b/>
                <w:bCs/>
                <w:i/>
                <w:sz w:val="22"/>
                <w:szCs w:val="22"/>
              </w:rPr>
              <w:t>140A</w:t>
            </w:r>
          </w:p>
        </w:tc>
        <w:tc>
          <w:tcPr>
            <w:tcW w:w="7774" w:type="dxa"/>
            <w:vAlign w:val="center"/>
          </w:tcPr>
          <w:p w14:paraId="35DCE9B5" w14:textId="77777777" w:rsidR="00E6190C" w:rsidRPr="00E6190C" w:rsidRDefault="00E6190C" w:rsidP="00E6190C">
            <w:pPr>
              <w:tabs>
                <w:tab w:val="left" w:pos="547"/>
                <w:tab w:val="left" w:pos="1080"/>
                <w:tab w:val="left" w:pos="1627"/>
                <w:tab w:val="left" w:pos="2232"/>
                <w:tab w:val="left" w:pos="2707"/>
                <w:tab w:val="left" w:pos="3240"/>
              </w:tabs>
              <w:spacing w:before="40" w:after="40"/>
              <w:rPr>
                <w:rFonts w:cs="Arial"/>
                <w:b/>
                <w:bCs/>
                <w:i/>
                <w:sz w:val="22"/>
                <w:szCs w:val="22"/>
              </w:rPr>
            </w:pPr>
            <w:r w:rsidRPr="00E6190C">
              <w:rPr>
                <w:rFonts w:cs="Arial"/>
                <w:b/>
                <w:bCs/>
                <w:i/>
                <w:sz w:val="22"/>
                <w:szCs w:val="22"/>
              </w:rPr>
              <w:t>Small Arms and Light Weapons Reporting</w:t>
            </w:r>
          </w:p>
        </w:tc>
      </w:tr>
      <w:tr w:rsidR="00E6190C" w:rsidRPr="00E6190C" w14:paraId="58C69385" w14:textId="77777777" w:rsidTr="004E1047">
        <w:trPr>
          <w:cantSplit/>
          <w:trHeight w:val="432"/>
          <w:jc w:val="center"/>
        </w:trPr>
        <w:tc>
          <w:tcPr>
            <w:tcW w:w="1474" w:type="dxa"/>
            <w:vAlign w:val="center"/>
          </w:tcPr>
          <w:p w14:paraId="1EAA2937" w14:textId="77777777" w:rsidR="00E6190C" w:rsidRPr="00E6190C" w:rsidRDefault="00E6190C" w:rsidP="00E6190C">
            <w:pPr>
              <w:tabs>
                <w:tab w:val="left" w:pos="547"/>
                <w:tab w:val="left" w:pos="1080"/>
                <w:tab w:val="left" w:pos="1627"/>
                <w:tab w:val="left" w:pos="2232"/>
                <w:tab w:val="left" w:pos="2707"/>
                <w:tab w:val="left" w:pos="3240"/>
              </w:tabs>
              <w:spacing w:before="40" w:after="40"/>
              <w:rPr>
                <w:rFonts w:cs="Arial"/>
                <w:b/>
                <w:i/>
                <w:sz w:val="22"/>
                <w:szCs w:val="22"/>
              </w:rPr>
            </w:pPr>
            <w:r w:rsidRPr="00E6190C">
              <w:rPr>
                <w:rFonts w:cs="Arial"/>
                <w:b/>
                <w:i/>
                <w:sz w:val="22"/>
                <w:szCs w:val="22"/>
              </w:rPr>
              <w:t>888A</w:t>
            </w:r>
          </w:p>
        </w:tc>
        <w:tc>
          <w:tcPr>
            <w:tcW w:w="7774" w:type="dxa"/>
            <w:vAlign w:val="center"/>
          </w:tcPr>
          <w:p w14:paraId="00FBD928" w14:textId="77777777" w:rsidR="00E6190C" w:rsidRPr="00E6190C" w:rsidRDefault="00E6190C" w:rsidP="00E6190C">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2"/>
                <w:szCs w:val="22"/>
              </w:rPr>
            </w:pPr>
            <w:r w:rsidRPr="00E6190C">
              <w:rPr>
                <w:rFonts w:cs="Arial"/>
                <w:b/>
                <w:i/>
                <w:sz w:val="22"/>
                <w:szCs w:val="22"/>
              </w:rPr>
              <w:t>Small Arms and Light Weapons Data Change</w:t>
            </w:r>
          </w:p>
        </w:tc>
      </w:tr>
    </w:tbl>
    <w:p w14:paraId="551633CD" w14:textId="77777777" w:rsidR="00E6190C" w:rsidRPr="00E6190C" w:rsidRDefault="00E6190C" w:rsidP="00E6190C">
      <w:pPr>
        <w:tabs>
          <w:tab w:val="left" w:pos="540"/>
          <w:tab w:val="left" w:pos="1080"/>
        </w:tabs>
        <w:spacing w:before="240" w:after="240"/>
        <w:outlineLvl w:val="1"/>
        <w:rPr>
          <w:b/>
          <w:i/>
        </w:rPr>
      </w:pPr>
      <w:r w:rsidRPr="00E6190C">
        <w:tab/>
        <w:t>C19.2</w:t>
      </w:r>
      <w:r w:rsidRPr="00E6190C">
        <w:rPr>
          <w:b/>
        </w:rPr>
        <w:t>5</w:t>
      </w:r>
      <w:r w:rsidRPr="00E6190C">
        <w:rPr>
          <w:b/>
          <w:i/>
        </w:rPr>
        <w:t>.2</w:t>
      </w:r>
      <w:r w:rsidRPr="00E6190C">
        <w:t xml:space="preserve">.  </w:t>
      </w:r>
      <w:r w:rsidRPr="00E6190C">
        <w:rPr>
          <w:u w:val="single"/>
        </w:rPr>
        <w:t>Navy Depot Level Reparable Program</w:t>
      </w:r>
      <w:r w:rsidRPr="00E6190C">
        <w:t xml:space="preserve">.  The Navy Depot Level Reparable  program is the recognized inter-DoD Component UIT program for </w:t>
      </w:r>
      <w:r w:rsidRPr="00E6190C">
        <w:rPr>
          <w:b/>
          <w:i/>
        </w:rPr>
        <w:t>select</w:t>
      </w:r>
      <w:r w:rsidRPr="00E6190C">
        <w:t xml:space="preserve"> Navy-managed DLRs. </w:t>
      </w:r>
      <w:r w:rsidRPr="00E6190C">
        <w:rPr>
          <w:b/>
          <w:i/>
        </w:rPr>
        <w:t>The Navy Depot Level Reparable</w:t>
      </w:r>
      <w:r w:rsidRPr="00E6190C">
        <w:t xml:space="preserve"> </w:t>
      </w:r>
      <w:r w:rsidRPr="00E6190C">
        <w:rPr>
          <w:b/>
          <w:i/>
        </w:rPr>
        <w:t xml:space="preserve">UIT program, UIT Designator AAD, uses the following DLMS transactions for UIT.    </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774"/>
      </w:tblGrid>
      <w:tr w:rsidR="00E6190C" w:rsidRPr="00E6190C" w14:paraId="32AD8CB7" w14:textId="77777777" w:rsidTr="00E6190C">
        <w:trPr>
          <w:cantSplit/>
          <w:trHeight w:val="432"/>
          <w:tblHeader/>
          <w:jc w:val="center"/>
        </w:trPr>
        <w:tc>
          <w:tcPr>
            <w:tcW w:w="9327" w:type="dxa"/>
            <w:gridSpan w:val="2"/>
            <w:tcBorders>
              <w:top w:val="nil"/>
              <w:left w:val="nil"/>
              <w:bottom w:val="single" w:sz="4" w:space="0" w:color="auto"/>
              <w:right w:val="nil"/>
            </w:tcBorders>
            <w:shd w:val="clear" w:color="auto" w:fill="auto"/>
          </w:tcPr>
          <w:p w14:paraId="4FCE26A6" w14:textId="77777777" w:rsidR="00E6190C" w:rsidRPr="00E6190C" w:rsidRDefault="00E6190C" w:rsidP="00E6190C">
            <w:pPr>
              <w:tabs>
                <w:tab w:val="left" w:pos="540"/>
                <w:tab w:val="left" w:pos="1080"/>
              </w:tabs>
              <w:spacing w:after="240"/>
              <w:jc w:val="center"/>
              <w:outlineLvl w:val="1"/>
              <w:rPr>
                <w:b/>
                <w:i/>
              </w:rPr>
            </w:pPr>
            <w:r w:rsidRPr="00E6190C">
              <w:rPr>
                <w:b/>
                <w:i/>
              </w:rPr>
              <w:t>Table C19.T2.  Navy Depot Level Reparable Program UIT transactions</w:t>
            </w:r>
          </w:p>
        </w:tc>
      </w:tr>
      <w:tr w:rsidR="00E6190C" w:rsidRPr="00E6190C" w14:paraId="219BE8B2" w14:textId="77777777" w:rsidTr="00E6190C">
        <w:trPr>
          <w:cantSplit/>
          <w:trHeight w:val="432"/>
          <w:tblHeader/>
          <w:jc w:val="center"/>
        </w:trPr>
        <w:tc>
          <w:tcPr>
            <w:tcW w:w="1553" w:type="dxa"/>
            <w:tcBorders>
              <w:top w:val="single" w:sz="4" w:space="0" w:color="auto"/>
            </w:tcBorders>
            <w:shd w:val="clear" w:color="auto" w:fill="auto"/>
          </w:tcPr>
          <w:p w14:paraId="46FC1D39" w14:textId="77777777" w:rsidR="00E6190C" w:rsidRPr="00E6190C" w:rsidRDefault="00E6190C" w:rsidP="00E6190C">
            <w:pPr>
              <w:tabs>
                <w:tab w:val="left" w:pos="540"/>
                <w:tab w:val="left" w:pos="1080"/>
              </w:tabs>
              <w:spacing w:after="240"/>
              <w:outlineLvl w:val="1"/>
              <w:rPr>
                <w:b/>
                <w:bCs/>
                <w:i/>
              </w:rPr>
            </w:pPr>
            <w:r w:rsidRPr="00E6190C">
              <w:rPr>
                <w:b/>
                <w:bCs/>
                <w:i/>
              </w:rPr>
              <w:t>Transaction</w:t>
            </w:r>
          </w:p>
        </w:tc>
        <w:tc>
          <w:tcPr>
            <w:tcW w:w="7774" w:type="dxa"/>
            <w:tcBorders>
              <w:top w:val="single" w:sz="4" w:space="0" w:color="auto"/>
            </w:tcBorders>
            <w:shd w:val="clear" w:color="auto" w:fill="auto"/>
          </w:tcPr>
          <w:p w14:paraId="50F9FE41" w14:textId="77777777" w:rsidR="00E6190C" w:rsidRPr="00E6190C" w:rsidRDefault="00E6190C" w:rsidP="00E6190C">
            <w:pPr>
              <w:tabs>
                <w:tab w:val="left" w:pos="540"/>
                <w:tab w:val="left" w:pos="1080"/>
              </w:tabs>
              <w:spacing w:after="240"/>
              <w:outlineLvl w:val="1"/>
              <w:rPr>
                <w:b/>
                <w:i/>
              </w:rPr>
            </w:pPr>
            <w:r w:rsidRPr="00E6190C">
              <w:rPr>
                <w:b/>
                <w:i/>
              </w:rPr>
              <w:t>Title</w:t>
            </w:r>
          </w:p>
        </w:tc>
      </w:tr>
      <w:tr w:rsidR="00E6190C" w:rsidRPr="00E6190C" w14:paraId="288E2D5B" w14:textId="77777777" w:rsidTr="00E6190C">
        <w:trPr>
          <w:cantSplit/>
          <w:trHeight w:val="432"/>
          <w:jc w:val="center"/>
        </w:trPr>
        <w:tc>
          <w:tcPr>
            <w:tcW w:w="1553" w:type="dxa"/>
            <w:shd w:val="clear" w:color="auto" w:fill="auto"/>
            <w:vAlign w:val="center"/>
          </w:tcPr>
          <w:p w14:paraId="753AA969" w14:textId="77777777" w:rsidR="00E6190C" w:rsidRPr="00E6190C" w:rsidRDefault="00E6190C" w:rsidP="00E6190C">
            <w:pPr>
              <w:tabs>
                <w:tab w:val="left" w:pos="540"/>
                <w:tab w:val="left" w:pos="1080"/>
              </w:tabs>
              <w:spacing w:after="240"/>
              <w:outlineLvl w:val="1"/>
              <w:rPr>
                <w:b/>
                <w:bCs/>
                <w:i/>
              </w:rPr>
            </w:pPr>
            <w:r w:rsidRPr="00E6190C">
              <w:rPr>
                <w:b/>
                <w:bCs/>
                <w:i/>
              </w:rPr>
              <w:lastRenderedPageBreak/>
              <w:t>140B</w:t>
            </w:r>
          </w:p>
        </w:tc>
        <w:tc>
          <w:tcPr>
            <w:tcW w:w="7774" w:type="dxa"/>
            <w:shd w:val="clear" w:color="auto" w:fill="auto"/>
            <w:vAlign w:val="center"/>
          </w:tcPr>
          <w:p w14:paraId="66821C8D" w14:textId="77777777" w:rsidR="00E6190C" w:rsidRPr="00E6190C" w:rsidRDefault="00E6190C" w:rsidP="00E6190C">
            <w:pPr>
              <w:tabs>
                <w:tab w:val="left" w:pos="540"/>
                <w:tab w:val="left" w:pos="1080"/>
              </w:tabs>
              <w:spacing w:after="240"/>
              <w:outlineLvl w:val="1"/>
              <w:rPr>
                <w:b/>
                <w:bCs/>
                <w:i/>
              </w:rPr>
            </w:pPr>
            <w:r w:rsidRPr="00E6190C">
              <w:rPr>
                <w:b/>
                <w:i/>
              </w:rPr>
              <w:t>RESERVED</w:t>
            </w:r>
            <w:r w:rsidRPr="00E6190C">
              <w:rPr>
                <w:b/>
                <w:i/>
                <w:vertAlign w:val="superscript"/>
              </w:rPr>
              <w:footnoteReference w:id="3"/>
            </w:r>
            <w:r w:rsidRPr="00E6190C">
              <w:rPr>
                <w:b/>
                <w:i/>
              </w:rPr>
              <w:t xml:space="preserve">  </w:t>
            </w:r>
          </w:p>
        </w:tc>
      </w:tr>
      <w:tr w:rsidR="00E6190C" w:rsidRPr="00E6190C" w14:paraId="36B2D005" w14:textId="77777777" w:rsidTr="00E6190C">
        <w:trPr>
          <w:cantSplit/>
          <w:trHeight w:val="432"/>
          <w:jc w:val="center"/>
        </w:trPr>
        <w:tc>
          <w:tcPr>
            <w:tcW w:w="1553" w:type="dxa"/>
            <w:shd w:val="clear" w:color="auto" w:fill="auto"/>
            <w:vAlign w:val="center"/>
          </w:tcPr>
          <w:p w14:paraId="716ED79E" w14:textId="77777777" w:rsidR="00E6190C" w:rsidRPr="00E6190C" w:rsidRDefault="00E6190C" w:rsidP="00E6190C">
            <w:pPr>
              <w:tabs>
                <w:tab w:val="left" w:pos="540"/>
                <w:tab w:val="left" w:pos="1080"/>
              </w:tabs>
              <w:spacing w:after="240"/>
              <w:outlineLvl w:val="1"/>
              <w:rPr>
                <w:b/>
                <w:bCs/>
                <w:i/>
              </w:rPr>
            </w:pPr>
            <w:r w:rsidRPr="00E6190C">
              <w:rPr>
                <w:b/>
                <w:bCs/>
                <w:i/>
              </w:rPr>
              <w:t xml:space="preserve">527R </w:t>
            </w:r>
          </w:p>
        </w:tc>
        <w:tc>
          <w:tcPr>
            <w:tcW w:w="7774" w:type="dxa"/>
            <w:shd w:val="clear" w:color="auto" w:fill="auto"/>
            <w:vAlign w:val="center"/>
          </w:tcPr>
          <w:p w14:paraId="4452C741" w14:textId="77777777" w:rsidR="00E6190C" w:rsidRPr="00E6190C" w:rsidRDefault="00E6190C" w:rsidP="00E6190C">
            <w:pPr>
              <w:tabs>
                <w:tab w:val="left" w:pos="540"/>
                <w:tab w:val="left" w:pos="1080"/>
              </w:tabs>
              <w:spacing w:after="240"/>
              <w:outlineLvl w:val="1"/>
              <w:rPr>
                <w:b/>
                <w:i/>
              </w:rPr>
            </w:pPr>
            <w:r w:rsidRPr="00E6190C">
              <w:rPr>
                <w:b/>
                <w:i/>
              </w:rPr>
              <w:t>Receipt</w:t>
            </w:r>
          </w:p>
        </w:tc>
      </w:tr>
      <w:tr w:rsidR="00E6190C" w:rsidRPr="00E6190C" w14:paraId="12DD35FD" w14:textId="77777777" w:rsidTr="00E6190C">
        <w:trPr>
          <w:cantSplit/>
          <w:trHeight w:val="432"/>
          <w:jc w:val="center"/>
        </w:trPr>
        <w:tc>
          <w:tcPr>
            <w:tcW w:w="1553" w:type="dxa"/>
            <w:shd w:val="clear" w:color="auto" w:fill="auto"/>
            <w:vAlign w:val="center"/>
          </w:tcPr>
          <w:p w14:paraId="04E32DA1" w14:textId="77777777" w:rsidR="00E6190C" w:rsidRPr="00E6190C" w:rsidRDefault="00E6190C" w:rsidP="00E6190C">
            <w:pPr>
              <w:tabs>
                <w:tab w:val="left" w:pos="540"/>
                <w:tab w:val="left" w:pos="1080"/>
              </w:tabs>
              <w:spacing w:after="240"/>
              <w:outlineLvl w:val="1"/>
              <w:rPr>
                <w:b/>
                <w:bCs/>
                <w:i/>
              </w:rPr>
            </w:pPr>
            <w:r w:rsidRPr="00E6190C">
              <w:rPr>
                <w:b/>
                <w:bCs/>
                <w:i/>
              </w:rPr>
              <w:t>856S</w:t>
            </w:r>
          </w:p>
        </w:tc>
        <w:tc>
          <w:tcPr>
            <w:tcW w:w="7774" w:type="dxa"/>
            <w:shd w:val="clear" w:color="auto" w:fill="auto"/>
            <w:vAlign w:val="center"/>
          </w:tcPr>
          <w:p w14:paraId="1A5A3CDA" w14:textId="77777777" w:rsidR="00E6190C" w:rsidRPr="00E6190C" w:rsidRDefault="00E6190C" w:rsidP="00E6190C">
            <w:pPr>
              <w:tabs>
                <w:tab w:val="left" w:pos="540"/>
                <w:tab w:val="left" w:pos="1080"/>
              </w:tabs>
              <w:spacing w:after="240"/>
              <w:outlineLvl w:val="1"/>
              <w:rPr>
                <w:b/>
                <w:bCs/>
                <w:i/>
              </w:rPr>
            </w:pPr>
            <w:r w:rsidRPr="00E6190C">
              <w:rPr>
                <w:b/>
                <w:bCs/>
                <w:i/>
              </w:rPr>
              <w:t>Shipment Status</w:t>
            </w:r>
          </w:p>
        </w:tc>
      </w:tr>
      <w:tr w:rsidR="00E6190C" w:rsidRPr="00E6190C" w14:paraId="2B9CBF94" w14:textId="77777777" w:rsidTr="00E6190C">
        <w:trPr>
          <w:cantSplit/>
          <w:trHeight w:val="432"/>
          <w:jc w:val="center"/>
        </w:trPr>
        <w:tc>
          <w:tcPr>
            <w:tcW w:w="1553" w:type="dxa"/>
            <w:shd w:val="clear" w:color="auto" w:fill="auto"/>
            <w:vAlign w:val="center"/>
          </w:tcPr>
          <w:p w14:paraId="4B6CE6A1" w14:textId="77777777" w:rsidR="00E6190C" w:rsidRPr="00E6190C" w:rsidRDefault="00E6190C" w:rsidP="00E6190C">
            <w:pPr>
              <w:tabs>
                <w:tab w:val="left" w:pos="540"/>
                <w:tab w:val="left" w:pos="1080"/>
              </w:tabs>
              <w:spacing w:after="240"/>
              <w:outlineLvl w:val="1"/>
              <w:rPr>
                <w:b/>
                <w:i/>
              </w:rPr>
            </w:pPr>
            <w:r w:rsidRPr="00E6190C">
              <w:rPr>
                <w:b/>
                <w:i/>
              </w:rPr>
              <w:t>888B</w:t>
            </w:r>
          </w:p>
        </w:tc>
        <w:tc>
          <w:tcPr>
            <w:tcW w:w="7774" w:type="dxa"/>
            <w:shd w:val="clear" w:color="auto" w:fill="auto"/>
            <w:vAlign w:val="center"/>
          </w:tcPr>
          <w:p w14:paraId="2BD87F6A" w14:textId="77777777" w:rsidR="00E6190C" w:rsidRPr="00E6190C" w:rsidRDefault="00E6190C" w:rsidP="00E6190C">
            <w:pPr>
              <w:tabs>
                <w:tab w:val="left" w:pos="540"/>
                <w:tab w:val="left" w:pos="1080"/>
              </w:tabs>
              <w:spacing w:after="240"/>
              <w:outlineLvl w:val="1"/>
              <w:rPr>
                <w:b/>
                <w:i/>
              </w:rPr>
            </w:pPr>
            <w:r w:rsidRPr="00E6190C">
              <w:rPr>
                <w:b/>
                <w:i/>
              </w:rPr>
              <w:t>RESERVED</w:t>
            </w:r>
            <w:r w:rsidRPr="00E6190C">
              <w:rPr>
                <w:b/>
                <w:i/>
                <w:vertAlign w:val="superscript"/>
              </w:rPr>
              <w:footnoteReference w:id="4"/>
            </w:r>
            <w:r w:rsidRPr="00E6190C">
              <w:rPr>
                <w:b/>
                <w:i/>
              </w:rPr>
              <w:t xml:space="preserve">  </w:t>
            </w:r>
          </w:p>
        </w:tc>
      </w:tr>
      <w:tr w:rsidR="00E6190C" w:rsidRPr="00E6190C" w14:paraId="0AB14A5E" w14:textId="77777777" w:rsidTr="00E6190C">
        <w:trPr>
          <w:cantSplit/>
          <w:trHeight w:val="432"/>
          <w:jc w:val="center"/>
        </w:trPr>
        <w:tc>
          <w:tcPr>
            <w:tcW w:w="1553" w:type="dxa"/>
            <w:shd w:val="clear" w:color="auto" w:fill="auto"/>
            <w:vAlign w:val="center"/>
          </w:tcPr>
          <w:p w14:paraId="376E61D7" w14:textId="77777777" w:rsidR="00E6190C" w:rsidRPr="00E6190C" w:rsidRDefault="00E6190C" w:rsidP="00E6190C">
            <w:pPr>
              <w:tabs>
                <w:tab w:val="left" w:pos="540"/>
                <w:tab w:val="left" w:pos="1080"/>
              </w:tabs>
              <w:spacing w:after="240"/>
              <w:outlineLvl w:val="1"/>
              <w:rPr>
                <w:b/>
                <w:i/>
              </w:rPr>
            </w:pPr>
            <w:r w:rsidRPr="00E6190C">
              <w:rPr>
                <w:b/>
                <w:i/>
              </w:rPr>
              <w:t>945A</w:t>
            </w:r>
          </w:p>
        </w:tc>
        <w:tc>
          <w:tcPr>
            <w:tcW w:w="7774" w:type="dxa"/>
            <w:shd w:val="clear" w:color="auto" w:fill="auto"/>
            <w:vAlign w:val="center"/>
          </w:tcPr>
          <w:p w14:paraId="20AC3D1D" w14:textId="77777777" w:rsidR="00E6190C" w:rsidRPr="00E6190C" w:rsidRDefault="00E6190C" w:rsidP="00E6190C">
            <w:pPr>
              <w:tabs>
                <w:tab w:val="left" w:pos="540"/>
                <w:tab w:val="left" w:pos="1080"/>
              </w:tabs>
              <w:spacing w:after="240"/>
              <w:outlineLvl w:val="1"/>
              <w:rPr>
                <w:b/>
                <w:i/>
              </w:rPr>
            </w:pPr>
            <w:r w:rsidRPr="00E6190C">
              <w:rPr>
                <w:b/>
                <w:i/>
              </w:rPr>
              <w:t>Materiel Release Confirmation/Disposal Release Confirmation</w:t>
            </w:r>
          </w:p>
        </w:tc>
      </w:tr>
    </w:tbl>
    <w:p w14:paraId="6FBB4611" w14:textId="77777777" w:rsidR="00E6190C" w:rsidRPr="00E6190C" w:rsidRDefault="00E6190C" w:rsidP="00B846A8">
      <w:pPr>
        <w:tabs>
          <w:tab w:val="left" w:pos="540"/>
          <w:tab w:val="left" w:pos="1080"/>
        </w:tabs>
        <w:spacing w:before="240" w:after="240"/>
        <w:outlineLvl w:val="1"/>
        <w:rPr>
          <w:b/>
        </w:rPr>
      </w:pPr>
      <w:r w:rsidRPr="00E6190C">
        <w:t>C19.2</w:t>
      </w:r>
      <w:r w:rsidRPr="00E6190C">
        <w:rPr>
          <w:b/>
          <w:i/>
        </w:rPr>
        <w:t>5.3.</w:t>
      </w:r>
      <w:r w:rsidRPr="00E6190C">
        <w:t xml:space="preserve">  </w:t>
      </w:r>
      <w:r w:rsidRPr="00E6190C">
        <w:rPr>
          <w:u w:val="single"/>
        </w:rPr>
        <w:t>Positive Inventory Control of Nuclear Weapons Related Materiel</w:t>
      </w:r>
      <w:r w:rsidRPr="00E6190C">
        <w:t xml:space="preserve">.  Air Force program for providing positive inventory control for nuclear weapons related materiel (NWRM). </w:t>
      </w:r>
      <w:r w:rsidRPr="00E6190C">
        <w:rPr>
          <w:b/>
          <w:i/>
        </w:rPr>
        <w:t>The Positive Inventory Control NWRM UIT program, UIT Designator AAJ, uses the following DLMS transactions for UIT.</w:t>
      </w:r>
    </w:p>
    <w:tbl>
      <w:tblPr>
        <w:tblW w:w="0" w:type="auto"/>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830"/>
      </w:tblGrid>
      <w:tr w:rsidR="00E6190C" w:rsidRPr="00E6190C" w14:paraId="72448F62" w14:textId="77777777" w:rsidTr="00E6190C">
        <w:trPr>
          <w:cantSplit/>
          <w:trHeight w:val="432"/>
          <w:tblHeader/>
          <w:jc w:val="center"/>
        </w:trPr>
        <w:tc>
          <w:tcPr>
            <w:tcW w:w="9416" w:type="dxa"/>
            <w:gridSpan w:val="2"/>
            <w:tcBorders>
              <w:top w:val="nil"/>
              <w:left w:val="nil"/>
              <w:bottom w:val="single" w:sz="4" w:space="0" w:color="auto"/>
              <w:right w:val="nil"/>
            </w:tcBorders>
            <w:shd w:val="clear" w:color="auto" w:fill="auto"/>
          </w:tcPr>
          <w:p w14:paraId="7E7BE672" w14:textId="77777777" w:rsidR="00E6190C" w:rsidRPr="00E6190C" w:rsidRDefault="00E6190C" w:rsidP="00E6190C">
            <w:pPr>
              <w:tabs>
                <w:tab w:val="left" w:pos="540"/>
                <w:tab w:val="left" w:pos="1080"/>
              </w:tabs>
              <w:spacing w:after="240"/>
              <w:jc w:val="center"/>
              <w:outlineLvl w:val="1"/>
              <w:rPr>
                <w:b/>
                <w:i/>
              </w:rPr>
            </w:pPr>
            <w:r w:rsidRPr="00E6190C">
              <w:rPr>
                <w:b/>
                <w:i/>
              </w:rPr>
              <w:t>Table C19.T3.  Positive Inventory Control for NWRM UIT transactions</w:t>
            </w:r>
          </w:p>
        </w:tc>
      </w:tr>
      <w:tr w:rsidR="00E6190C" w:rsidRPr="00E6190C" w14:paraId="685E90B3" w14:textId="77777777" w:rsidTr="00E6190C">
        <w:trPr>
          <w:cantSplit/>
          <w:trHeight w:val="432"/>
          <w:tblHeader/>
          <w:jc w:val="center"/>
        </w:trPr>
        <w:tc>
          <w:tcPr>
            <w:tcW w:w="1586" w:type="dxa"/>
            <w:tcBorders>
              <w:top w:val="single" w:sz="4" w:space="0" w:color="auto"/>
            </w:tcBorders>
            <w:shd w:val="clear" w:color="auto" w:fill="auto"/>
          </w:tcPr>
          <w:p w14:paraId="4B3D9910" w14:textId="77777777" w:rsidR="00E6190C" w:rsidRPr="00E6190C" w:rsidRDefault="00E6190C" w:rsidP="00E6190C">
            <w:pPr>
              <w:tabs>
                <w:tab w:val="left" w:pos="540"/>
                <w:tab w:val="left" w:pos="1080"/>
              </w:tabs>
              <w:spacing w:after="240"/>
              <w:outlineLvl w:val="1"/>
              <w:rPr>
                <w:b/>
                <w:bCs/>
                <w:i/>
              </w:rPr>
            </w:pPr>
            <w:r w:rsidRPr="00E6190C">
              <w:rPr>
                <w:b/>
                <w:bCs/>
                <w:i/>
              </w:rPr>
              <w:t>Transaction</w:t>
            </w:r>
          </w:p>
        </w:tc>
        <w:tc>
          <w:tcPr>
            <w:tcW w:w="7830" w:type="dxa"/>
            <w:tcBorders>
              <w:top w:val="single" w:sz="4" w:space="0" w:color="auto"/>
            </w:tcBorders>
            <w:shd w:val="clear" w:color="auto" w:fill="auto"/>
          </w:tcPr>
          <w:p w14:paraId="1525DB66" w14:textId="77777777" w:rsidR="00E6190C" w:rsidRPr="00E6190C" w:rsidRDefault="00E6190C" w:rsidP="00E6190C">
            <w:pPr>
              <w:tabs>
                <w:tab w:val="left" w:pos="540"/>
                <w:tab w:val="left" w:pos="1080"/>
              </w:tabs>
              <w:spacing w:after="240"/>
              <w:outlineLvl w:val="1"/>
              <w:rPr>
                <w:b/>
                <w:i/>
              </w:rPr>
            </w:pPr>
            <w:r w:rsidRPr="00E6190C">
              <w:rPr>
                <w:b/>
                <w:i/>
              </w:rPr>
              <w:t>TITLE</w:t>
            </w:r>
          </w:p>
        </w:tc>
      </w:tr>
      <w:tr w:rsidR="00E6190C" w:rsidRPr="00E6190C" w14:paraId="01B1D340" w14:textId="77777777" w:rsidTr="00E6190C">
        <w:trPr>
          <w:cantSplit/>
          <w:trHeight w:val="432"/>
          <w:jc w:val="center"/>
        </w:trPr>
        <w:tc>
          <w:tcPr>
            <w:tcW w:w="1586" w:type="dxa"/>
            <w:shd w:val="clear" w:color="auto" w:fill="auto"/>
            <w:vAlign w:val="center"/>
          </w:tcPr>
          <w:p w14:paraId="0EE20928" w14:textId="77777777" w:rsidR="00E6190C" w:rsidRPr="00E6190C" w:rsidRDefault="00E6190C" w:rsidP="00E6190C">
            <w:pPr>
              <w:tabs>
                <w:tab w:val="left" w:pos="540"/>
                <w:tab w:val="left" w:pos="1080"/>
              </w:tabs>
              <w:spacing w:after="240"/>
              <w:outlineLvl w:val="1"/>
              <w:rPr>
                <w:b/>
                <w:bCs/>
                <w:i/>
              </w:rPr>
            </w:pPr>
            <w:r w:rsidRPr="00E6190C">
              <w:rPr>
                <w:b/>
                <w:bCs/>
                <w:i/>
              </w:rPr>
              <w:t xml:space="preserve">527R </w:t>
            </w:r>
            <w:r w:rsidRPr="00E6190C">
              <w:rPr>
                <w:b/>
                <w:bCs/>
                <w:i/>
                <w:vertAlign w:val="superscript"/>
              </w:rPr>
              <w:footnoteReference w:id="5"/>
            </w:r>
            <w:r w:rsidRPr="00E6190C">
              <w:rPr>
                <w:b/>
                <w:bCs/>
                <w:i/>
              </w:rPr>
              <w:t xml:space="preserve"> </w:t>
            </w:r>
          </w:p>
        </w:tc>
        <w:tc>
          <w:tcPr>
            <w:tcW w:w="7830" w:type="dxa"/>
            <w:shd w:val="clear" w:color="auto" w:fill="auto"/>
            <w:vAlign w:val="center"/>
          </w:tcPr>
          <w:p w14:paraId="10860D1D" w14:textId="77777777" w:rsidR="00E6190C" w:rsidRPr="00E6190C" w:rsidRDefault="00E6190C" w:rsidP="00E6190C">
            <w:pPr>
              <w:tabs>
                <w:tab w:val="left" w:pos="540"/>
                <w:tab w:val="left" w:pos="1080"/>
              </w:tabs>
              <w:spacing w:after="240"/>
              <w:outlineLvl w:val="1"/>
              <w:rPr>
                <w:b/>
                <w:i/>
              </w:rPr>
            </w:pPr>
            <w:r w:rsidRPr="00E6190C">
              <w:rPr>
                <w:b/>
                <w:i/>
              </w:rPr>
              <w:t>Receipt</w:t>
            </w:r>
          </w:p>
        </w:tc>
      </w:tr>
      <w:tr w:rsidR="00E6190C" w:rsidRPr="00E6190C" w14:paraId="38AD0A30" w14:textId="77777777" w:rsidTr="00E6190C">
        <w:trPr>
          <w:cantSplit/>
          <w:trHeight w:val="432"/>
          <w:jc w:val="center"/>
        </w:trPr>
        <w:tc>
          <w:tcPr>
            <w:tcW w:w="1586" w:type="dxa"/>
            <w:shd w:val="clear" w:color="auto" w:fill="auto"/>
            <w:vAlign w:val="center"/>
          </w:tcPr>
          <w:p w14:paraId="1E01FD31" w14:textId="77777777" w:rsidR="00E6190C" w:rsidRPr="00E6190C" w:rsidRDefault="00E6190C" w:rsidP="00E6190C">
            <w:pPr>
              <w:tabs>
                <w:tab w:val="left" w:pos="540"/>
                <w:tab w:val="left" w:pos="1080"/>
              </w:tabs>
              <w:spacing w:after="240"/>
              <w:outlineLvl w:val="1"/>
              <w:rPr>
                <w:b/>
                <w:bCs/>
                <w:i/>
              </w:rPr>
            </w:pPr>
            <w:r w:rsidRPr="00E6190C">
              <w:rPr>
                <w:b/>
                <w:bCs/>
                <w:i/>
              </w:rPr>
              <w:t>856S</w:t>
            </w:r>
          </w:p>
        </w:tc>
        <w:tc>
          <w:tcPr>
            <w:tcW w:w="7830" w:type="dxa"/>
            <w:shd w:val="clear" w:color="auto" w:fill="auto"/>
            <w:vAlign w:val="center"/>
          </w:tcPr>
          <w:p w14:paraId="4D5B0A75" w14:textId="77777777" w:rsidR="00E6190C" w:rsidRPr="00E6190C" w:rsidRDefault="00E6190C" w:rsidP="00E6190C">
            <w:pPr>
              <w:tabs>
                <w:tab w:val="left" w:pos="540"/>
                <w:tab w:val="left" w:pos="1080"/>
              </w:tabs>
              <w:spacing w:after="240"/>
              <w:outlineLvl w:val="1"/>
              <w:rPr>
                <w:b/>
                <w:i/>
              </w:rPr>
            </w:pPr>
            <w:r w:rsidRPr="00E6190C">
              <w:rPr>
                <w:b/>
                <w:i/>
              </w:rPr>
              <w:t>Shipment Status</w:t>
            </w:r>
          </w:p>
        </w:tc>
      </w:tr>
      <w:tr w:rsidR="00E6190C" w:rsidRPr="00E6190C" w14:paraId="52BB8122" w14:textId="77777777" w:rsidTr="00E6190C">
        <w:trPr>
          <w:cantSplit/>
          <w:trHeight w:val="432"/>
          <w:jc w:val="center"/>
        </w:trPr>
        <w:tc>
          <w:tcPr>
            <w:tcW w:w="1586" w:type="dxa"/>
            <w:shd w:val="clear" w:color="auto" w:fill="auto"/>
            <w:vAlign w:val="center"/>
          </w:tcPr>
          <w:p w14:paraId="616CAB8D" w14:textId="77777777" w:rsidR="00E6190C" w:rsidRPr="00E6190C" w:rsidRDefault="00E6190C" w:rsidP="00E6190C">
            <w:pPr>
              <w:tabs>
                <w:tab w:val="left" w:pos="540"/>
                <w:tab w:val="left" w:pos="1080"/>
              </w:tabs>
              <w:spacing w:after="240"/>
              <w:outlineLvl w:val="1"/>
              <w:rPr>
                <w:b/>
                <w:i/>
              </w:rPr>
            </w:pPr>
            <w:r w:rsidRPr="00E6190C">
              <w:rPr>
                <w:b/>
                <w:i/>
              </w:rPr>
              <w:t xml:space="preserve">867I </w:t>
            </w:r>
            <w:r w:rsidRPr="00E6190C">
              <w:rPr>
                <w:b/>
                <w:i/>
                <w:vertAlign w:val="superscript"/>
              </w:rPr>
              <w:footnoteReference w:id="6"/>
            </w:r>
          </w:p>
        </w:tc>
        <w:tc>
          <w:tcPr>
            <w:tcW w:w="7830" w:type="dxa"/>
            <w:shd w:val="clear" w:color="auto" w:fill="auto"/>
            <w:vAlign w:val="center"/>
          </w:tcPr>
          <w:p w14:paraId="20FE3171" w14:textId="77777777" w:rsidR="00E6190C" w:rsidRPr="00E6190C" w:rsidRDefault="00E6190C" w:rsidP="00E6190C">
            <w:pPr>
              <w:tabs>
                <w:tab w:val="left" w:pos="540"/>
                <w:tab w:val="left" w:pos="1080"/>
              </w:tabs>
              <w:spacing w:after="240"/>
              <w:outlineLvl w:val="1"/>
              <w:rPr>
                <w:b/>
                <w:i/>
              </w:rPr>
            </w:pPr>
            <w:r w:rsidRPr="00E6190C">
              <w:rPr>
                <w:b/>
                <w:i/>
              </w:rPr>
              <w:t xml:space="preserve">Issue </w:t>
            </w:r>
          </w:p>
        </w:tc>
      </w:tr>
      <w:tr w:rsidR="00E6190C" w:rsidRPr="00E6190C" w14:paraId="2A4A80E3" w14:textId="77777777" w:rsidTr="00E6190C">
        <w:trPr>
          <w:cantSplit/>
          <w:trHeight w:val="432"/>
          <w:jc w:val="center"/>
        </w:trPr>
        <w:tc>
          <w:tcPr>
            <w:tcW w:w="1586" w:type="dxa"/>
            <w:shd w:val="clear" w:color="auto" w:fill="auto"/>
            <w:vAlign w:val="center"/>
          </w:tcPr>
          <w:p w14:paraId="7E55E152" w14:textId="77777777" w:rsidR="00E6190C" w:rsidRPr="00E6190C" w:rsidRDefault="00E6190C" w:rsidP="00E6190C">
            <w:pPr>
              <w:tabs>
                <w:tab w:val="left" w:pos="540"/>
                <w:tab w:val="left" w:pos="1080"/>
              </w:tabs>
              <w:spacing w:after="240"/>
              <w:outlineLvl w:val="1"/>
              <w:rPr>
                <w:b/>
                <w:i/>
              </w:rPr>
            </w:pPr>
            <w:r w:rsidRPr="00E6190C">
              <w:rPr>
                <w:b/>
                <w:i/>
              </w:rPr>
              <w:t>940R</w:t>
            </w:r>
            <w:r w:rsidRPr="00E6190C">
              <w:rPr>
                <w:b/>
                <w:i/>
                <w:vertAlign w:val="superscript"/>
              </w:rPr>
              <w:footnoteReference w:id="7"/>
            </w:r>
          </w:p>
        </w:tc>
        <w:tc>
          <w:tcPr>
            <w:tcW w:w="7830" w:type="dxa"/>
            <w:shd w:val="clear" w:color="auto" w:fill="auto"/>
            <w:vAlign w:val="center"/>
          </w:tcPr>
          <w:p w14:paraId="3FB1FD2D" w14:textId="77777777" w:rsidR="00E6190C" w:rsidRPr="00E6190C" w:rsidRDefault="00E6190C" w:rsidP="00E6190C">
            <w:pPr>
              <w:tabs>
                <w:tab w:val="left" w:pos="540"/>
                <w:tab w:val="left" w:pos="1080"/>
              </w:tabs>
              <w:spacing w:after="240"/>
              <w:outlineLvl w:val="1"/>
              <w:rPr>
                <w:b/>
                <w:i/>
              </w:rPr>
            </w:pPr>
            <w:r w:rsidRPr="00E6190C">
              <w:rPr>
                <w:b/>
                <w:i/>
              </w:rPr>
              <w:t>Materiel Release (Distribution Code 111) (approved for limited use)</w:t>
            </w:r>
          </w:p>
        </w:tc>
      </w:tr>
      <w:tr w:rsidR="00E6190C" w:rsidRPr="00E6190C" w14:paraId="449EB969" w14:textId="77777777" w:rsidTr="00E6190C">
        <w:trPr>
          <w:cantSplit/>
          <w:trHeight w:val="432"/>
          <w:jc w:val="center"/>
        </w:trPr>
        <w:tc>
          <w:tcPr>
            <w:tcW w:w="1586" w:type="dxa"/>
            <w:shd w:val="clear" w:color="auto" w:fill="auto"/>
            <w:vAlign w:val="center"/>
          </w:tcPr>
          <w:p w14:paraId="073F60A1" w14:textId="77777777" w:rsidR="00E6190C" w:rsidRPr="00E6190C" w:rsidRDefault="00E6190C" w:rsidP="00E6190C">
            <w:pPr>
              <w:tabs>
                <w:tab w:val="left" w:pos="540"/>
                <w:tab w:val="left" w:pos="1080"/>
              </w:tabs>
              <w:spacing w:after="240"/>
              <w:outlineLvl w:val="1"/>
              <w:rPr>
                <w:b/>
                <w:i/>
              </w:rPr>
            </w:pPr>
            <w:r w:rsidRPr="00E6190C">
              <w:rPr>
                <w:b/>
                <w:i/>
              </w:rPr>
              <w:t>945A</w:t>
            </w:r>
          </w:p>
        </w:tc>
        <w:tc>
          <w:tcPr>
            <w:tcW w:w="7830" w:type="dxa"/>
            <w:shd w:val="clear" w:color="auto" w:fill="auto"/>
            <w:vAlign w:val="center"/>
          </w:tcPr>
          <w:p w14:paraId="256AC400" w14:textId="77777777" w:rsidR="00E6190C" w:rsidRPr="00E6190C" w:rsidRDefault="00E6190C" w:rsidP="00E6190C">
            <w:pPr>
              <w:tabs>
                <w:tab w:val="left" w:pos="540"/>
                <w:tab w:val="left" w:pos="1080"/>
              </w:tabs>
              <w:spacing w:after="240"/>
              <w:outlineLvl w:val="1"/>
              <w:rPr>
                <w:b/>
                <w:i/>
              </w:rPr>
            </w:pPr>
            <w:r w:rsidRPr="00E6190C">
              <w:rPr>
                <w:b/>
                <w:i/>
              </w:rPr>
              <w:t>Materiel Release Advice (Distribution Code 111),</w:t>
            </w:r>
            <w:r w:rsidRPr="00E6190C">
              <w:rPr>
                <w:b/>
                <w:i/>
                <w:vertAlign w:val="superscript"/>
              </w:rPr>
              <w:footnoteReference w:id="8"/>
            </w:r>
          </w:p>
          <w:p w14:paraId="0BEE00BB" w14:textId="77777777" w:rsidR="00E6190C" w:rsidRPr="00E6190C" w:rsidRDefault="00E6190C" w:rsidP="00E6190C">
            <w:pPr>
              <w:tabs>
                <w:tab w:val="left" w:pos="540"/>
                <w:tab w:val="left" w:pos="1080"/>
              </w:tabs>
              <w:spacing w:after="240"/>
              <w:outlineLvl w:val="1"/>
              <w:rPr>
                <w:b/>
                <w:i/>
              </w:rPr>
            </w:pPr>
            <w:r w:rsidRPr="00E6190C">
              <w:rPr>
                <w:b/>
                <w:i/>
              </w:rPr>
              <w:t>Materiel Release Confirmation, Disposal Release Confirmation, and MRO Denials</w:t>
            </w:r>
            <w:r w:rsidRPr="00E6190C">
              <w:rPr>
                <w:b/>
                <w:i/>
                <w:vertAlign w:val="superscript"/>
              </w:rPr>
              <w:footnoteReference w:id="9"/>
            </w:r>
          </w:p>
        </w:tc>
      </w:tr>
      <w:tr w:rsidR="00E6190C" w:rsidRPr="00E6190C" w14:paraId="3C22EC6C" w14:textId="77777777" w:rsidTr="00E6190C">
        <w:trPr>
          <w:cantSplit/>
          <w:trHeight w:val="432"/>
          <w:jc w:val="center"/>
        </w:trPr>
        <w:tc>
          <w:tcPr>
            <w:tcW w:w="1586" w:type="dxa"/>
            <w:shd w:val="clear" w:color="auto" w:fill="auto"/>
            <w:vAlign w:val="center"/>
          </w:tcPr>
          <w:p w14:paraId="183BC2D2" w14:textId="77777777" w:rsidR="00E6190C" w:rsidRPr="00E6190C" w:rsidRDefault="00E6190C" w:rsidP="00E6190C">
            <w:pPr>
              <w:tabs>
                <w:tab w:val="left" w:pos="540"/>
                <w:tab w:val="left" w:pos="1080"/>
              </w:tabs>
              <w:spacing w:after="240"/>
              <w:outlineLvl w:val="1"/>
              <w:rPr>
                <w:b/>
                <w:i/>
              </w:rPr>
            </w:pPr>
            <w:r w:rsidRPr="00E6190C">
              <w:rPr>
                <w:b/>
                <w:i/>
              </w:rPr>
              <w:lastRenderedPageBreak/>
              <w:t xml:space="preserve">947I </w:t>
            </w:r>
            <w:r w:rsidRPr="00E6190C">
              <w:rPr>
                <w:b/>
                <w:i/>
                <w:vertAlign w:val="superscript"/>
              </w:rPr>
              <w:footnoteReference w:id="10"/>
            </w:r>
          </w:p>
        </w:tc>
        <w:tc>
          <w:tcPr>
            <w:tcW w:w="7830" w:type="dxa"/>
            <w:shd w:val="clear" w:color="auto" w:fill="auto"/>
            <w:vAlign w:val="center"/>
          </w:tcPr>
          <w:p w14:paraId="47ADA551" w14:textId="77777777" w:rsidR="00E6190C" w:rsidRPr="00E6190C" w:rsidRDefault="00E6190C" w:rsidP="00E6190C">
            <w:pPr>
              <w:tabs>
                <w:tab w:val="left" w:pos="540"/>
                <w:tab w:val="left" w:pos="1080"/>
              </w:tabs>
              <w:spacing w:after="240"/>
              <w:outlineLvl w:val="1"/>
              <w:rPr>
                <w:b/>
                <w:i/>
              </w:rPr>
            </w:pPr>
            <w:r w:rsidRPr="00E6190C">
              <w:rPr>
                <w:b/>
                <w:i/>
              </w:rPr>
              <w:t>Inventory Adjustment (only version 4030 can provide the UII)</w:t>
            </w:r>
          </w:p>
          <w:p w14:paraId="6BABE2A6" w14:textId="77777777" w:rsidR="00E6190C" w:rsidRPr="00E6190C" w:rsidRDefault="00E6190C" w:rsidP="00E6190C">
            <w:pPr>
              <w:tabs>
                <w:tab w:val="left" w:pos="540"/>
                <w:tab w:val="left" w:pos="1080"/>
              </w:tabs>
              <w:spacing w:after="240"/>
              <w:outlineLvl w:val="1"/>
              <w:rPr>
                <w:b/>
                <w:i/>
              </w:rPr>
            </w:pPr>
            <w:r w:rsidRPr="00E6190C">
              <w:rPr>
                <w:b/>
                <w:i/>
              </w:rPr>
              <w:t>If using 947I version 4010, must migrate to version 947I version 4030 no later than year 2019.</w:t>
            </w:r>
          </w:p>
        </w:tc>
      </w:tr>
    </w:tbl>
    <w:p w14:paraId="5588535F" w14:textId="1F805990" w:rsidR="00E6190C" w:rsidRPr="00E6190C" w:rsidRDefault="00E6190C" w:rsidP="00B846A8">
      <w:pPr>
        <w:tabs>
          <w:tab w:val="left" w:pos="540"/>
          <w:tab w:val="left" w:pos="1080"/>
        </w:tabs>
        <w:spacing w:before="240" w:after="240"/>
        <w:outlineLvl w:val="1"/>
        <w:rPr>
          <w:b/>
          <w:i/>
        </w:rPr>
      </w:pPr>
      <w:r w:rsidRPr="00E6190C">
        <w:rPr>
          <w:b/>
          <w:i/>
        </w:rPr>
        <w:tab/>
        <w:t xml:space="preserve">C19.25.4. </w:t>
      </w:r>
      <w:r w:rsidRPr="00E6190C">
        <w:rPr>
          <w:b/>
          <w:i/>
          <w:u w:val="single"/>
        </w:rPr>
        <w:t>IUID Transactions</w:t>
      </w:r>
      <w:r w:rsidRPr="00E6190C">
        <w:rPr>
          <w:b/>
          <w:i/>
        </w:rPr>
        <w:t>.  In addition to the UIT transaction requirements identified by specific UIT programs, the following are associated with IUID requirements.  All UIT items fall under DoD IUID requirements.</w:t>
      </w:r>
    </w:p>
    <w:tbl>
      <w:tblPr>
        <w:tblW w:w="0" w:type="auto"/>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64"/>
      </w:tblGrid>
      <w:tr w:rsidR="00E6190C" w:rsidRPr="00E6190C" w14:paraId="321B47AA" w14:textId="77777777" w:rsidTr="004E1047">
        <w:trPr>
          <w:cantSplit/>
          <w:trHeight w:val="432"/>
          <w:tblHeader/>
          <w:jc w:val="center"/>
        </w:trPr>
        <w:tc>
          <w:tcPr>
            <w:tcW w:w="9327" w:type="dxa"/>
            <w:gridSpan w:val="2"/>
            <w:tcBorders>
              <w:top w:val="nil"/>
              <w:left w:val="nil"/>
              <w:bottom w:val="single" w:sz="4" w:space="0" w:color="auto"/>
              <w:right w:val="nil"/>
            </w:tcBorders>
            <w:shd w:val="clear" w:color="auto" w:fill="auto"/>
          </w:tcPr>
          <w:p w14:paraId="69F333E8" w14:textId="77777777" w:rsidR="00E6190C" w:rsidRPr="00E6190C" w:rsidRDefault="00E6190C" w:rsidP="00E6190C">
            <w:pPr>
              <w:keepNext/>
              <w:tabs>
                <w:tab w:val="left" w:pos="540"/>
                <w:tab w:val="left" w:pos="1080"/>
              </w:tabs>
              <w:spacing w:after="240"/>
              <w:jc w:val="center"/>
              <w:outlineLvl w:val="1"/>
              <w:rPr>
                <w:b/>
                <w:i/>
              </w:rPr>
            </w:pPr>
            <w:r w:rsidRPr="00E6190C">
              <w:rPr>
                <w:b/>
                <w:i/>
              </w:rPr>
              <w:t>Table C19.T4.  IUID Transaction Requirements</w:t>
            </w:r>
          </w:p>
        </w:tc>
      </w:tr>
      <w:tr w:rsidR="00E6190C" w:rsidRPr="00E6190C" w14:paraId="02AE9AAF" w14:textId="77777777" w:rsidTr="004E1047">
        <w:trPr>
          <w:cantSplit/>
          <w:trHeight w:val="432"/>
          <w:tblHeader/>
          <w:jc w:val="center"/>
        </w:trPr>
        <w:tc>
          <w:tcPr>
            <w:tcW w:w="1463" w:type="dxa"/>
            <w:tcBorders>
              <w:top w:val="single" w:sz="4" w:space="0" w:color="auto"/>
            </w:tcBorders>
            <w:shd w:val="clear" w:color="auto" w:fill="auto"/>
          </w:tcPr>
          <w:p w14:paraId="5B990C50" w14:textId="77777777" w:rsidR="00E6190C" w:rsidRPr="00E6190C" w:rsidRDefault="00E6190C" w:rsidP="00E6190C">
            <w:pPr>
              <w:keepNext/>
              <w:tabs>
                <w:tab w:val="left" w:pos="540"/>
                <w:tab w:val="left" w:pos="1080"/>
              </w:tabs>
              <w:spacing w:after="240"/>
              <w:outlineLvl w:val="1"/>
              <w:rPr>
                <w:b/>
                <w:bCs/>
                <w:i/>
              </w:rPr>
            </w:pPr>
            <w:r w:rsidRPr="00E6190C">
              <w:rPr>
                <w:b/>
                <w:bCs/>
                <w:i/>
              </w:rPr>
              <w:t>Transaction</w:t>
            </w:r>
          </w:p>
        </w:tc>
        <w:tc>
          <w:tcPr>
            <w:tcW w:w="7864" w:type="dxa"/>
            <w:tcBorders>
              <w:top w:val="single" w:sz="4" w:space="0" w:color="auto"/>
            </w:tcBorders>
            <w:shd w:val="clear" w:color="auto" w:fill="auto"/>
          </w:tcPr>
          <w:p w14:paraId="197A44D0" w14:textId="77777777" w:rsidR="00E6190C" w:rsidRPr="00E6190C" w:rsidRDefault="00E6190C" w:rsidP="00E6190C">
            <w:pPr>
              <w:keepNext/>
              <w:tabs>
                <w:tab w:val="left" w:pos="540"/>
                <w:tab w:val="left" w:pos="1080"/>
              </w:tabs>
              <w:spacing w:after="240"/>
              <w:outlineLvl w:val="1"/>
              <w:rPr>
                <w:b/>
                <w:i/>
              </w:rPr>
            </w:pPr>
            <w:r w:rsidRPr="00E6190C">
              <w:rPr>
                <w:b/>
                <w:i/>
              </w:rPr>
              <w:t>TITLE</w:t>
            </w:r>
          </w:p>
        </w:tc>
      </w:tr>
      <w:tr w:rsidR="00E6190C" w:rsidRPr="00E6190C" w14:paraId="401BF67B" w14:textId="77777777" w:rsidTr="004E1047">
        <w:trPr>
          <w:cantSplit/>
          <w:trHeight w:val="432"/>
          <w:jc w:val="center"/>
        </w:trPr>
        <w:tc>
          <w:tcPr>
            <w:tcW w:w="1463" w:type="dxa"/>
            <w:vAlign w:val="center"/>
          </w:tcPr>
          <w:p w14:paraId="7F70EB1C" w14:textId="77777777" w:rsidR="00E6190C" w:rsidRPr="00E6190C" w:rsidRDefault="00E6190C" w:rsidP="00E6190C">
            <w:pPr>
              <w:tabs>
                <w:tab w:val="left" w:pos="540"/>
                <w:tab w:val="left" w:pos="1080"/>
              </w:tabs>
              <w:spacing w:after="240"/>
              <w:outlineLvl w:val="1"/>
              <w:rPr>
                <w:b/>
                <w:i/>
              </w:rPr>
            </w:pPr>
            <w:r w:rsidRPr="00E6190C">
              <w:rPr>
                <w:b/>
                <w:i/>
              </w:rPr>
              <w:t>527R</w:t>
            </w:r>
            <w:r w:rsidRPr="00E6190C">
              <w:rPr>
                <w:b/>
                <w:i/>
                <w:vertAlign w:val="superscript"/>
              </w:rPr>
              <w:footnoteReference w:id="11"/>
            </w:r>
          </w:p>
        </w:tc>
        <w:tc>
          <w:tcPr>
            <w:tcW w:w="7864" w:type="dxa"/>
            <w:vAlign w:val="center"/>
          </w:tcPr>
          <w:p w14:paraId="29F89294" w14:textId="77777777" w:rsidR="00E6190C" w:rsidRPr="00E6190C" w:rsidRDefault="00E6190C" w:rsidP="00E6190C">
            <w:pPr>
              <w:tabs>
                <w:tab w:val="left" w:pos="540"/>
                <w:tab w:val="left" w:pos="1080"/>
              </w:tabs>
              <w:spacing w:after="240"/>
              <w:outlineLvl w:val="1"/>
              <w:rPr>
                <w:b/>
                <w:i/>
              </w:rPr>
            </w:pPr>
            <w:r w:rsidRPr="00E6190C">
              <w:rPr>
                <w:b/>
                <w:i/>
              </w:rPr>
              <w:t>Receipt.  Approved for limited IUID scope applicable only to the return to inventory items previously issued to a commercial activity for repair (DLMS 527R with 2/LIN01/010 Code E)</w:t>
            </w:r>
          </w:p>
        </w:tc>
      </w:tr>
      <w:tr w:rsidR="00E6190C" w:rsidRPr="00E6190C" w14:paraId="2152423A" w14:textId="77777777" w:rsidTr="004E1047">
        <w:trPr>
          <w:cantSplit/>
          <w:trHeight w:val="432"/>
          <w:jc w:val="center"/>
        </w:trPr>
        <w:tc>
          <w:tcPr>
            <w:tcW w:w="1463" w:type="dxa"/>
            <w:vAlign w:val="center"/>
          </w:tcPr>
          <w:p w14:paraId="0BCBA7CD" w14:textId="77777777" w:rsidR="00E6190C" w:rsidRPr="00E6190C" w:rsidRDefault="00E6190C" w:rsidP="00E6190C">
            <w:pPr>
              <w:tabs>
                <w:tab w:val="left" w:pos="540"/>
                <w:tab w:val="left" w:pos="1080"/>
              </w:tabs>
              <w:spacing w:after="240"/>
              <w:outlineLvl w:val="1"/>
              <w:rPr>
                <w:b/>
                <w:i/>
              </w:rPr>
            </w:pPr>
            <w:r w:rsidRPr="00E6190C">
              <w:rPr>
                <w:b/>
                <w:i/>
              </w:rPr>
              <w:t>842A/W</w:t>
            </w:r>
            <w:r w:rsidRPr="00E6190C">
              <w:rPr>
                <w:b/>
                <w:i/>
                <w:vertAlign w:val="superscript"/>
              </w:rPr>
              <w:footnoteReference w:id="12"/>
            </w:r>
            <w:r w:rsidRPr="00E6190C">
              <w:rPr>
                <w:b/>
                <w:i/>
                <w:vertAlign w:val="superscript"/>
              </w:rPr>
              <w:t>,</w:t>
            </w:r>
            <w:r w:rsidRPr="00E6190C">
              <w:rPr>
                <w:b/>
                <w:i/>
                <w:vertAlign w:val="superscript"/>
              </w:rPr>
              <w:footnoteReference w:id="13"/>
            </w:r>
          </w:p>
        </w:tc>
        <w:tc>
          <w:tcPr>
            <w:tcW w:w="7864" w:type="dxa"/>
            <w:vAlign w:val="center"/>
          </w:tcPr>
          <w:p w14:paraId="1EF11228" w14:textId="77777777" w:rsidR="00E6190C" w:rsidRPr="00E6190C" w:rsidRDefault="00E6190C" w:rsidP="00E6190C">
            <w:pPr>
              <w:tabs>
                <w:tab w:val="left" w:pos="540"/>
                <w:tab w:val="left" w:pos="1080"/>
              </w:tabs>
              <w:spacing w:after="240"/>
              <w:outlineLvl w:val="1"/>
              <w:rPr>
                <w:b/>
                <w:i/>
              </w:rPr>
            </w:pPr>
            <w:r w:rsidRPr="00E6190C">
              <w:rPr>
                <w:b/>
                <w:i/>
              </w:rPr>
              <w:t>Supply Discrepancy Report (SDR) Follow-up, Correction, Cancellation, &amp; Reconsideration Request</w:t>
            </w:r>
          </w:p>
        </w:tc>
      </w:tr>
      <w:tr w:rsidR="00E6190C" w:rsidRPr="00E6190C" w14:paraId="5B0DF878" w14:textId="77777777" w:rsidTr="004E1047">
        <w:trPr>
          <w:cantSplit/>
          <w:trHeight w:val="432"/>
          <w:jc w:val="center"/>
        </w:trPr>
        <w:tc>
          <w:tcPr>
            <w:tcW w:w="1463" w:type="dxa"/>
            <w:vAlign w:val="center"/>
          </w:tcPr>
          <w:p w14:paraId="6BC37FA9" w14:textId="77777777" w:rsidR="00E6190C" w:rsidRPr="00E6190C" w:rsidRDefault="00E6190C" w:rsidP="00E6190C">
            <w:pPr>
              <w:tabs>
                <w:tab w:val="left" w:pos="540"/>
                <w:tab w:val="left" w:pos="1080"/>
              </w:tabs>
              <w:spacing w:after="240"/>
              <w:outlineLvl w:val="1"/>
              <w:rPr>
                <w:b/>
                <w:bCs/>
                <w:i/>
              </w:rPr>
            </w:pPr>
            <w:r w:rsidRPr="00E6190C">
              <w:rPr>
                <w:b/>
                <w:bCs/>
                <w:i/>
              </w:rPr>
              <w:t>842S/Q</w:t>
            </w:r>
            <w:r w:rsidRPr="00E6190C">
              <w:rPr>
                <w:b/>
                <w:bCs/>
                <w:i/>
                <w:vertAlign w:val="superscript"/>
              </w:rPr>
              <w:footnoteReference w:id="14"/>
            </w:r>
          </w:p>
        </w:tc>
        <w:tc>
          <w:tcPr>
            <w:tcW w:w="7864" w:type="dxa"/>
            <w:vAlign w:val="center"/>
          </w:tcPr>
          <w:p w14:paraId="4605795E" w14:textId="77777777" w:rsidR="00E6190C" w:rsidRPr="00E6190C" w:rsidRDefault="00E6190C" w:rsidP="00E6190C">
            <w:pPr>
              <w:tabs>
                <w:tab w:val="left" w:pos="540"/>
                <w:tab w:val="left" w:pos="1080"/>
              </w:tabs>
              <w:spacing w:after="240"/>
              <w:outlineLvl w:val="1"/>
              <w:rPr>
                <w:b/>
                <w:bCs/>
                <w:i/>
              </w:rPr>
            </w:pPr>
            <w:r w:rsidRPr="00E6190C">
              <w:rPr>
                <w:b/>
                <w:i/>
              </w:rPr>
              <w:t>Storage Quality Control Report</w:t>
            </w:r>
          </w:p>
        </w:tc>
      </w:tr>
      <w:tr w:rsidR="00E6190C" w:rsidRPr="00E6190C" w14:paraId="6A60D142" w14:textId="77777777" w:rsidTr="004E1047">
        <w:trPr>
          <w:cantSplit/>
          <w:trHeight w:val="432"/>
          <w:jc w:val="center"/>
        </w:trPr>
        <w:tc>
          <w:tcPr>
            <w:tcW w:w="1463" w:type="dxa"/>
            <w:vAlign w:val="center"/>
          </w:tcPr>
          <w:p w14:paraId="4201EDF5" w14:textId="77777777" w:rsidR="00E6190C" w:rsidRPr="00E6190C" w:rsidRDefault="00E6190C" w:rsidP="00E6190C">
            <w:pPr>
              <w:tabs>
                <w:tab w:val="left" w:pos="540"/>
                <w:tab w:val="left" w:pos="1080"/>
              </w:tabs>
              <w:spacing w:after="240"/>
              <w:outlineLvl w:val="1"/>
              <w:rPr>
                <w:b/>
                <w:bCs/>
                <w:i/>
              </w:rPr>
            </w:pPr>
            <w:r w:rsidRPr="00E6190C">
              <w:rPr>
                <w:b/>
                <w:bCs/>
                <w:i/>
              </w:rPr>
              <w:t>842S/R</w:t>
            </w:r>
            <w:r w:rsidRPr="00E6190C">
              <w:rPr>
                <w:b/>
                <w:bCs/>
                <w:i/>
                <w:vertAlign w:val="superscript"/>
              </w:rPr>
              <w:footnoteReference w:id="15"/>
            </w:r>
          </w:p>
        </w:tc>
        <w:tc>
          <w:tcPr>
            <w:tcW w:w="7864" w:type="dxa"/>
            <w:vAlign w:val="center"/>
          </w:tcPr>
          <w:p w14:paraId="5F12AC17" w14:textId="77777777" w:rsidR="00E6190C" w:rsidRPr="00E6190C" w:rsidRDefault="00E6190C" w:rsidP="00E6190C">
            <w:pPr>
              <w:tabs>
                <w:tab w:val="left" w:pos="540"/>
                <w:tab w:val="left" w:pos="1080"/>
              </w:tabs>
              <w:spacing w:after="240"/>
              <w:outlineLvl w:val="1"/>
              <w:rPr>
                <w:b/>
                <w:bCs/>
                <w:i/>
              </w:rPr>
            </w:pPr>
            <w:r w:rsidRPr="00E6190C">
              <w:rPr>
                <w:b/>
                <w:i/>
              </w:rPr>
              <w:t>Storage Quality Control Report Reply</w:t>
            </w:r>
          </w:p>
        </w:tc>
      </w:tr>
      <w:tr w:rsidR="00E6190C" w:rsidRPr="00E6190C" w14:paraId="6EC01D1C" w14:textId="77777777" w:rsidTr="004E1047">
        <w:trPr>
          <w:cantSplit/>
          <w:trHeight w:val="432"/>
          <w:jc w:val="center"/>
        </w:trPr>
        <w:tc>
          <w:tcPr>
            <w:tcW w:w="1463" w:type="dxa"/>
            <w:vAlign w:val="center"/>
          </w:tcPr>
          <w:p w14:paraId="1F48C831" w14:textId="77777777" w:rsidR="00E6190C" w:rsidRPr="00E6190C" w:rsidRDefault="00E6190C" w:rsidP="00E6190C">
            <w:pPr>
              <w:tabs>
                <w:tab w:val="left" w:pos="540"/>
                <w:tab w:val="left" w:pos="1080"/>
              </w:tabs>
              <w:spacing w:after="240"/>
              <w:outlineLvl w:val="1"/>
              <w:rPr>
                <w:b/>
                <w:bCs/>
                <w:i/>
              </w:rPr>
            </w:pPr>
            <w:r w:rsidRPr="00E6190C">
              <w:rPr>
                <w:b/>
                <w:bCs/>
                <w:i/>
              </w:rPr>
              <w:t>842P</w:t>
            </w:r>
            <w:r w:rsidRPr="00E6190C">
              <w:rPr>
                <w:b/>
                <w:bCs/>
                <w:i/>
                <w:vertAlign w:val="superscript"/>
              </w:rPr>
              <w:footnoteReference w:id="16"/>
            </w:r>
          </w:p>
        </w:tc>
        <w:tc>
          <w:tcPr>
            <w:tcW w:w="7864" w:type="dxa"/>
            <w:vAlign w:val="center"/>
          </w:tcPr>
          <w:p w14:paraId="4634B2E7" w14:textId="77777777" w:rsidR="00E6190C" w:rsidRPr="00E6190C" w:rsidRDefault="00E6190C" w:rsidP="00E6190C">
            <w:pPr>
              <w:tabs>
                <w:tab w:val="left" w:pos="540"/>
                <w:tab w:val="left" w:pos="1080"/>
              </w:tabs>
              <w:spacing w:after="240"/>
              <w:outlineLvl w:val="1"/>
              <w:rPr>
                <w:b/>
                <w:i/>
              </w:rPr>
            </w:pPr>
            <w:r w:rsidRPr="00E6190C">
              <w:rPr>
                <w:b/>
                <w:i/>
              </w:rPr>
              <w:t>Product Quality Deficiency Report Data Exchange</w:t>
            </w:r>
          </w:p>
        </w:tc>
      </w:tr>
      <w:tr w:rsidR="00E6190C" w:rsidRPr="00E6190C" w14:paraId="38B807D2" w14:textId="77777777" w:rsidTr="004E1047">
        <w:trPr>
          <w:cantSplit/>
          <w:trHeight w:val="432"/>
          <w:jc w:val="center"/>
        </w:trPr>
        <w:tc>
          <w:tcPr>
            <w:tcW w:w="1463" w:type="dxa"/>
            <w:vAlign w:val="center"/>
          </w:tcPr>
          <w:p w14:paraId="5B29A92A" w14:textId="77777777" w:rsidR="00E6190C" w:rsidRPr="00E6190C" w:rsidRDefault="00E6190C" w:rsidP="00E6190C">
            <w:pPr>
              <w:tabs>
                <w:tab w:val="left" w:pos="540"/>
                <w:tab w:val="left" w:pos="1080"/>
              </w:tabs>
              <w:spacing w:after="240"/>
              <w:outlineLvl w:val="1"/>
              <w:rPr>
                <w:b/>
                <w:bCs/>
                <w:i/>
              </w:rPr>
            </w:pPr>
            <w:r w:rsidRPr="00E6190C">
              <w:rPr>
                <w:b/>
                <w:bCs/>
                <w:i/>
              </w:rPr>
              <w:t>856</w:t>
            </w:r>
            <w:r w:rsidRPr="00E6190C">
              <w:rPr>
                <w:b/>
                <w:bCs/>
                <w:i/>
                <w:vertAlign w:val="superscript"/>
              </w:rPr>
              <w:footnoteReference w:id="17"/>
            </w:r>
          </w:p>
        </w:tc>
        <w:tc>
          <w:tcPr>
            <w:tcW w:w="7864" w:type="dxa"/>
            <w:vAlign w:val="center"/>
          </w:tcPr>
          <w:p w14:paraId="684BA2F9" w14:textId="77777777" w:rsidR="00E6190C" w:rsidRPr="00E6190C" w:rsidRDefault="00E6190C" w:rsidP="00E6190C">
            <w:pPr>
              <w:tabs>
                <w:tab w:val="left" w:pos="540"/>
                <w:tab w:val="left" w:pos="1080"/>
              </w:tabs>
              <w:spacing w:after="240"/>
              <w:outlineLvl w:val="1"/>
              <w:rPr>
                <w:b/>
                <w:i/>
              </w:rPr>
            </w:pPr>
            <w:r w:rsidRPr="00E6190C">
              <w:rPr>
                <w:b/>
                <w:i/>
              </w:rPr>
              <w:t>Advance Shipment Notice</w:t>
            </w:r>
          </w:p>
        </w:tc>
      </w:tr>
      <w:tr w:rsidR="00E6190C" w:rsidRPr="00E6190C" w14:paraId="6AC76A9D" w14:textId="77777777" w:rsidTr="004E1047">
        <w:trPr>
          <w:cantSplit/>
          <w:trHeight w:val="432"/>
          <w:jc w:val="center"/>
        </w:trPr>
        <w:tc>
          <w:tcPr>
            <w:tcW w:w="1463" w:type="dxa"/>
            <w:vAlign w:val="center"/>
          </w:tcPr>
          <w:p w14:paraId="0710C335" w14:textId="77777777" w:rsidR="00E6190C" w:rsidRPr="00E6190C" w:rsidRDefault="00E6190C" w:rsidP="00E6190C">
            <w:pPr>
              <w:tabs>
                <w:tab w:val="left" w:pos="540"/>
                <w:tab w:val="left" w:pos="1080"/>
              </w:tabs>
              <w:spacing w:after="240"/>
              <w:outlineLvl w:val="1"/>
              <w:rPr>
                <w:b/>
                <w:bCs/>
                <w:i/>
              </w:rPr>
            </w:pPr>
            <w:r w:rsidRPr="00E6190C">
              <w:rPr>
                <w:b/>
                <w:bCs/>
                <w:i/>
              </w:rPr>
              <w:lastRenderedPageBreak/>
              <w:t>856R</w:t>
            </w:r>
            <w:r w:rsidRPr="00E6190C">
              <w:rPr>
                <w:b/>
                <w:bCs/>
                <w:i/>
                <w:vertAlign w:val="superscript"/>
              </w:rPr>
              <w:footnoteReference w:id="18"/>
            </w:r>
          </w:p>
        </w:tc>
        <w:tc>
          <w:tcPr>
            <w:tcW w:w="7864" w:type="dxa"/>
            <w:vAlign w:val="center"/>
          </w:tcPr>
          <w:p w14:paraId="291D7969" w14:textId="77777777" w:rsidR="00E6190C" w:rsidRPr="00E6190C" w:rsidRDefault="00E6190C" w:rsidP="00E6190C">
            <w:pPr>
              <w:tabs>
                <w:tab w:val="left" w:pos="540"/>
                <w:tab w:val="left" w:pos="1080"/>
              </w:tabs>
              <w:spacing w:after="240"/>
              <w:outlineLvl w:val="1"/>
              <w:rPr>
                <w:b/>
                <w:i/>
              </w:rPr>
            </w:pPr>
            <w:r w:rsidRPr="00E6190C">
              <w:rPr>
                <w:b/>
                <w:i/>
              </w:rPr>
              <w:t>Shipment Status Materiel Returns</w:t>
            </w:r>
          </w:p>
        </w:tc>
      </w:tr>
      <w:tr w:rsidR="00E6190C" w:rsidRPr="00E6190C" w14:paraId="1D9A3ABF" w14:textId="77777777" w:rsidTr="004E1047">
        <w:trPr>
          <w:cantSplit/>
          <w:trHeight w:val="432"/>
          <w:jc w:val="center"/>
        </w:trPr>
        <w:tc>
          <w:tcPr>
            <w:tcW w:w="1463" w:type="dxa"/>
            <w:vAlign w:val="center"/>
          </w:tcPr>
          <w:p w14:paraId="7F51EF15" w14:textId="77777777" w:rsidR="00E6190C" w:rsidRPr="00E6190C" w:rsidRDefault="00E6190C" w:rsidP="00E6190C">
            <w:pPr>
              <w:tabs>
                <w:tab w:val="left" w:pos="540"/>
                <w:tab w:val="left" w:pos="1080"/>
              </w:tabs>
              <w:spacing w:after="240"/>
              <w:outlineLvl w:val="1"/>
              <w:rPr>
                <w:b/>
                <w:bCs/>
                <w:i/>
              </w:rPr>
            </w:pPr>
            <w:r w:rsidRPr="00E6190C">
              <w:rPr>
                <w:b/>
                <w:bCs/>
                <w:i/>
              </w:rPr>
              <w:t>856S</w:t>
            </w:r>
            <w:r w:rsidRPr="00E6190C">
              <w:rPr>
                <w:b/>
                <w:bCs/>
                <w:i/>
                <w:vertAlign w:val="superscript"/>
              </w:rPr>
              <w:footnoteReference w:id="19"/>
            </w:r>
          </w:p>
        </w:tc>
        <w:tc>
          <w:tcPr>
            <w:tcW w:w="7864" w:type="dxa"/>
            <w:vAlign w:val="center"/>
          </w:tcPr>
          <w:p w14:paraId="054E081F" w14:textId="77777777" w:rsidR="00E6190C" w:rsidRPr="00E6190C" w:rsidRDefault="00E6190C" w:rsidP="00E6190C">
            <w:pPr>
              <w:tabs>
                <w:tab w:val="left" w:pos="540"/>
                <w:tab w:val="left" w:pos="1080"/>
              </w:tabs>
              <w:spacing w:after="240"/>
              <w:outlineLvl w:val="1"/>
              <w:rPr>
                <w:b/>
                <w:i/>
              </w:rPr>
            </w:pPr>
            <w:r w:rsidRPr="00E6190C">
              <w:rPr>
                <w:b/>
                <w:i/>
              </w:rPr>
              <w:t>Shipment Status</w:t>
            </w:r>
          </w:p>
        </w:tc>
      </w:tr>
      <w:tr w:rsidR="00E6190C" w:rsidRPr="00E6190C" w14:paraId="1CB21713" w14:textId="77777777" w:rsidTr="004E1047">
        <w:trPr>
          <w:cantSplit/>
          <w:trHeight w:val="432"/>
          <w:jc w:val="center"/>
        </w:trPr>
        <w:tc>
          <w:tcPr>
            <w:tcW w:w="1463" w:type="dxa"/>
            <w:vAlign w:val="center"/>
          </w:tcPr>
          <w:p w14:paraId="40CC6EAE" w14:textId="77777777" w:rsidR="00E6190C" w:rsidRPr="00E6190C" w:rsidRDefault="00E6190C" w:rsidP="00E6190C">
            <w:pPr>
              <w:tabs>
                <w:tab w:val="left" w:pos="540"/>
                <w:tab w:val="left" w:pos="1080"/>
              </w:tabs>
              <w:spacing w:after="240"/>
              <w:outlineLvl w:val="1"/>
              <w:rPr>
                <w:b/>
                <w:bCs/>
                <w:i/>
              </w:rPr>
            </w:pPr>
            <w:r w:rsidRPr="00E6190C">
              <w:rPr>
                <w:b/>
                <w:bCs/>
                <w:i/>
              </w:rPr>
              <w:t>861</w:t>
            </w:r>
            <w:r w:rsidRPr="00E6190C">
              <w:rPr>
                <w:b/>
                <w:bCs/>
                <w:i/>
                <w:vertAlign w:val="superscript"/>
              </w:rPr>
              <w:footnoteReference w:id="20"/>
            </w:r>
          </w:p>
        </w:tc>
        <w:tc>
          <w:tcPr>
            <w:tcW w:w="7864" w:type="dxa"/>
            <w:vAlign w:val="center"/>
          </w:tcPr>
          <w:p w14:paraId="7DBED303" w14:textId="77777777" w:rsidR="00E6190C" w:rsidRPr="00E6190C" w:rsidRDefault="00E6190C" w:rsidP="00E6190C">
            <w:pPr>
              <w:tabs>
                <w:tab w:val="left" w:pos="540"/>
                <w:tab w:val="left" w:pos="1080"/>
              </w:tabs>
              <w:spacing w:after="240"/>
              <w:outlineLvl w:val="1"/>
              <w:rPr>
                <w:b/>
                <w:i/>
              </w:rPr>
            </w:pPr>
            <w:r w:rsidRPr="00E6190C">
              <w:rPr>
                <w:b/>
                <w:i/>
              </w:rPr>
              <w:t>Acceptance Report</w:t>
            </w:r>
          </w:p>
        </w:tc>
      </w:tr>
      <w:tr w:rsidR="00E6190C" w:rsidRPr="00E6190C" w14:paraId="2C31DE7F" w14:textId="77777777" w:rsidTr="004E1047">
        <w:trPr>
          <w:cantSplit/>
          <w:trHeight w:val="432"/>
          <w:jc w:val="center"/>
        </w:trPr>
        <w:tc>
          <w:tcPr>
            <w:tcW w:w="1463" w:type="dxa"/>
            <w:vAlign w:val="center"/>
          </w:tcPr>
          <w:p w14:paraId="772BE67A" w14:textId="77777777" w:rsidR="00E6190C" w:rsidRPr="00E6190C" w:rsidRDefault="00E6190C" w:rsidP="00E6190C">
            <w:pPr>
              <w:tabs>
                <w:tab w:val="left" w:pos="540"/>
                <w:tab w:val="left" w:pos="1080"/>
              </w:tabs>
              <w:spacing w:after="240"/>
              <w:outlineLvl w:val="1"/>
              <w:rPr>
                <w:b/>
                <w:bCs/>
                <w:i/>
              </w:rPr>
            </w:pPr>
            <w:r w:rsidRPr="00E6190C">
              <w:rPr>
                <w:b/>
                <w:bCs/>
                <w:i/>
              </w:rPr>
              <w:t>940R</w:t>
            </w:r>
            <w:r w:rsidRPr="00E6190C">
              <w:rPr>
                <w:b/>
                <w:bCs/>
                <w:i/>
                <w:vertAlign w:val="superscript"/>
              </w:rPr>
              <w:footnoteReference w:id="21"/>
            </w:r>
          </w:p>
        </w:tc>
        <w:tc>
          <w:tcPr>
            <w:tcW w:w="7864" w:type="dxa"/>
            <w:vAlign w:val="center"/>
          </w:tcPr>
          <w:p w14:paraId="6A35C776" w14:textId="77777777" w:rsidR="00E6190C" w:rsidRPr="00E6190C" w:rsidRDefault="00E6190C" w:rsidP="00E6190C">
            <w:pPr>
              <w:tabs>
                <w:tab w:val="left" w:pos="540"/>
                <w:tab w:val="left" w:pos="1080"/>
              </w:tabs>
              <w:spacing w:after="240"/>
              <w:outlineLvl w:val="1"/>
              <w:rPr>
                <w:b/>
                <w:bCs/>
                <w:i/>
              </w:rPr>
            </w:pPr>
            <w:r w:rsidRPr="00E6190C">
              <w:rPr>
                <w:b/>
                <w:bCs/>
                <w:i/>
              </w:rPr>
              <w:t>Materiel Release for retail transportation and supply receipt and acknowledgement interchange (approved for limited IUID use)</w:t>
            </w:r>
          </w:p>
        </w:tc>
      </w:tr>
      <w:tr w:rsidR="00E6190C" w:rsidRPr="00E6190C" w14:paraId="75A7E355" w14:textId="77777777" w:rsidTr="004E1047">
        <w:trPr>
          <w:cantSplit/>
          <w:trHeight w:val="432"/>
          <w:jc w:val="center"/>
        </w:trPr>
        <w:tc>
          <w:tcPr>
            <w:tcW w:w="1463" w:type="dxa"/>
            <w:vAlign w:val="center"/>
          </w:tcPr>
          <w:p w14:paraId="103185CE" w14:textId="77777777" w:rsidR="00E6190C" w:rsidRPr="00E6190C" w:rsidRDefault="00E6190C" w:rsidP="00E6190C">
            <w:pPr>
              <w:tabs>
                <w:tab w:val="left" w:pos="540"/>
                <w:tab w:val="left" w:pos="1080"/>
              </w:tabs>
              <w:spacing w:after="240"/>
              <w:outlineLvl w:val="1"/>
              <w:rPr>
                <w:b/>
                <w:bCs/>
                <w:i/>
              </w:rPr>
            </w:pPr>
            <w:r w:rsidRPr="00E6190C">
              <w:rPr>
                <w:b/>
                <w:bCs/>
                <w:i/>
              </w:rPr>
              <w:t>945A</w:t>
            </w:r>
            <w:r w:rsidRPr="00E6190C">
              <w:rPr>
                <w:b/>
                <w:bCs/>
                <w:i/>
                <w:vertAlign w:val="superscript"/>
              </w:rPr>
              <w:footnoteReference w:id="22"/>
            </w:r>
          </w:p>
        </w:tc>
        <w:tc>
          <w:tcPr>
            <w:tcW w:w="7864" w:type="dxa"/>
            <w:vAlign w:val="center"/>
          </w:tcPr>
          <w:p w14:paraId="56E6F73E" w14:textId="77777777" w:rsidR="00E6190C" w:rsidRPr="00E6190C" w:rsidRDefault="00E6190C" w:rsidP="00E6190C">
            <w:pPr>
              <w:tabs>
                <w:tab w:val="left" w:pos="540"/>
                <w:tab w:val="left" w:pos="1080"/>
              </w:tabs>
              <w:spacing w:after="240"/>
              <w:outlineLvl w:val="1"/>
              <w:rPr>
                <w:b/>
                <w:bCs/>
                <w:i/>
              </w:rPr>
            </w:pPr>
            <w:r w:rsidRPr="00E6190C">
              <w:rPr>
                <w:b/>
                <w:bCs/>
                <w:i/>
              </w:rPr>
              <w:t>Materiel Release Advice (approved for limited IUID use)</w:t>
            </w:r>
          </w:p>
        </w:tc>
      </w:tr>
    </w:tbl>
    <w:p w14:paraId="44C91D9A" w14:textId="77777777" w:rsidR="00E6190C" w:rsidRPr="00E6190C" w:rsidRDefault="00E6190C" w:rsidP="00B846A8">
      <w:pPr>
        <w:tabs>
          <w:tab w:val="left" w:pos="540"/>
          <w:tab w:val="left" w:pos="1080"/>
        </w:tabs>
        <w:spacing w:before="240" w:after="240"/>
        <w:outlineLvl w:val="1"/>
        <w:rPr>
          <w:i/>
          <w:u w:val="single"/>
        </w:rPr>
      </w:pPr>
      <w:r w:rsidRPr="00E6190C">
        <w:rPr>
          <w:b/>
          <w:i/>
        </w:rPr>
        <w:t>C19.26.</w:t>
      </w:r>
      <w:r w:rsidRPr="00E6190C">
        <w:t xml:space="preserve">  </w:t>
      </w:r>
      <w:r w:rsidRPr="00E6190C">
        <w:rPr>
          <w:b/>
          <w:i/>
          <w:u w:val="single"/>
        </w:rPr>
        <w:t>INACTIVE</w:t>
      </w:r>
      <w:r w:rsidRPr="00E6190C">
        <w:rPr>
          <w:u w:val="single"/>
        </w:rPr>
        <w:t xml:space="preserve"> DOD-LEVEL UNIQUE ITEM TRACKING PROGRAMS</w:t>
      </w:r>
      <w:r w:rsidRPr="00E6190C">
        <w:t xml:space="preserve">.  </w:t>
      </w:r>
      <w:r w:rsidRPr="00E6190C">
        <w:rPr>
          <w:b/>
          <w:i/>
        </w:rPr>
        <w:t>The following UIT programs were never activated as inter-DOD Component UIT programs using DLMS transaction exchange of UII and/or serial number.  To activate these programs at the DOD-level, a proposed DLMS change (PDC) is required to document the procedures and associated DLMS transaction exchange requirements for inter-DoD Component use.</w:t>
      </w:r>
    </w:p>
    <w:p w14:paraId="7281822C" w14:textId="2B2A4846" w:rsidR="00E6190C" w:rsidRPr="00E6190C" w:rsidRDefault="00E6190C" w:rsidP="00B846A8">
      <w:pPr>
        <w:tabs>
          <w:tab w:val="left" w:pos="540"/>
          <w:tab w:val="left" w:pos="1080"/>
        </w:tabs>
        <w:spacing w:after="240"/>
        <w:outlineLvl w:val="1"/>
      </w:pPr>
      <w:r w:rsidRPr="00E6190C">
        <w:rPr>
          <w:b/>
          <w:i/>
        </w:rPr>
        <w:tab/>
        <w:t>C19.26.1.</w:t>
      </w:r>
      <w:r w:rsidRPr="00E6190C">
        <w:rPr>
          <w:i/>
        </w:rPr>
        <w:t xml:space="preserve">  </w:t>
      </w:r>
      <w:r w:rsidRPr="00E6190C">
        <w:rPr>
          <w:u w:val="single"/>
        </w:rPr>
        <w:t>Radiation Testing and Tracking System Program</w:t>
      </w:r>
      <w:r w:rsidRPr="00E6190C">
        <w:rPr>
          <w:i/>
        </w:rPr>
        <w:t xml:space="preserve"> </w:t>
      </w:r>
      <w:r w:rsidRPr="00E6190C">
        <w:rPr>
          <w:b/>
          <w:i/>
        </w:rPr>
        <w:t xml:space="preserve"> </w:t>
      </w:r>
    </w:p>
    <w:p w14:paraId="6D6BBB08" w14:textId="77777777" w:rsidR="00E6190C" w:rsidRPr="00E6190C" w:rsidRDefault="00E6190C" w:rsidP="00B846A8">
      <w:pPr>
        <w:tabs>
          <w:tab w:val="left" w:pos="540"/>
          <w:tab w:val="left" w:pos="1080"/>
        </w:tabs>
        <w:spacing w:after="240"/>
        <w:outlineLvl w:val="1"/>
      </w:pPr>
      <w:r w:rsidRPr="00E6190C">
        <w:tab/>
      </w:r>
      <w:r w:rsidRPr="00E6190C">
        <w:tab/>
      </w:r>
      <w:r w:rsidRPr="00E6190C">
        <w:rPr>
          <w:b/>
          <w:i/>
        </w:rPr>
        <w:t>C19.26.1.1.</w:t>
      </w:r>
      <w:r w:rsidRPr="00E6190C">
        <w:t xml:space="preserve">  The Radiation Testing and Tracking System (RATTS) is a program established to provide regulatory and statutory compliance with Federal, state, and local regulations for the use of radioactive materiel in fielded chemical defense equipment and in industrial applications.  It maintains visibility of radioactive source UIIs </w:t>
      </w:r>
      <w:r w:rsidRPr="00E6190C">
        <w:rPr>
          <w:b/>
          <w:i/>
        </w:rPr>
        <w:t>and/or serial numbers</w:t>
      </w:r>
      <w:r w:rsidRPr="00E6190C">
        <w:t xml:space="preserve"> and wipe test results.  It is designed to provide strict control and </w:t>
      </w:r>
      <w:r w:rsidRPr="00E6190C">
        <w:lastRenderedPageBreak/>
        <w:t>identification of all radioactive sources to comply with Nuclear Regulatory Commission (NRC) license requirements.</w:t>
      </w:r>
    </w:p>
    <w:p w14:paraId="58F31538" w14:textId="77777777" w:rsidR="00E6190C" w:rsidRPr="00E6190C" w:rsidRDefault="00E6190C" w:rsidP="00B846A8">
      <w:pPr>
        <w:tabs>
          <w:tab w:val="left" w:pos="540"/>
          <w:tab w:val="left" w:pos="1080"/>
        </w:tabs>
        <w:spacing w:after="240"/>
        <w:outlineLvl w:val="1"/>
      </w:pPr>
      <w:r w:rsidRPr="00E6190C">
        <w:tab/>
      </w:r>
      <w:r w:rsidRPr="00E6190C">
        <w:tab/>
      </w:r>
      <w:r w:rsidRPr="00E6190C">
        <w:rPr>
          <w:b/>
          <w:i/>
        </w:rPr>
        <w:t>C19.26.1.2.</w:t>
      </w:r>
      <w:r w:rsidRPr="00E6190C">
        <w:t xml:space="preserve">  The cell, detector chemical (a component of the M43A1 detector), and drift tube module (a component of the chemical agent monitor (CAM)) are reportable.  In turn, the M43A1 detector and M43 alarm are components of the M8A1 chemical agent alarm.  The drift tube module in the CAM is the key component of the end item.  Hereafter the cell, detector chemical, and CAM drift tube module are identified as radioactive “sources.”  The requirements for these reporting standards are as set forth in NRC License 12-00722-13 and 12-00722-14.</w:t>
      </w:r>
    </w:p>
    <w:p w14:paraId="0081F42B" w14:textId="77777777" w:rsidR="00E6190C" w:rsidRPr="00E6190C" w:rsidRDefault="00E6190C" w:rsidP="00B846A8">
      <w:pPr>
        <w:tabs>
          <w:tab w:val="left" w:pos="540"/>
          <w:tab w:val="left" w:pos="1080"/>
        </w:tabs>
        <w:spacing w:after="240"/>
        <w:outlineLvl w:val="1"/>
      </w:pPr>
      <w:r w:rsidRPr="00E6190C">
        <w:rPr>
          <w:b/>
        </w:rPr>
        <w:tab/>
      </w:r>
      <w:r w:rsidRPr="00E6190C">
        <w:rPr>
          <w:b/>
        </w:rPr>
        <w:tab/>
      </w:r>
      <w:r w:rsidRPr="00E6190C">
        <w:rPr>
          <w:b/>
          <w:i/>
        </w:rPr>
        <w:t>C19.26.1.3</w:t>
      </w:r>
      <w:r w:rsidRPr="00E6190C">
        <w:t xml:space="preserve">.  NRC licenses require UII </w:t>
      </w:r>
      <w:r w:rsidRPr="00E6190C">
        <w:rPr>
          <w:b/>
          <w:i/>
        </w:rPr>
        <w:t>and/or serial numbers</w:t>
      </w:r>
      <w:r w:rsidRPr="00E6190C">
        <w:t xml:space="preserve"> control of the radioactive source throughout its life cycle.  NRC requires a wipe test on an annual basis for the M43A1 detector radioactive source and CAM radioactive source.  In addition, the M43A1 detector radioactive source and the CAM radioactive source must be wipe tested within six months of transfer to another activity.</w:t>
      </w:r>
    </w:p>
    <w:p w14:paraId="1480BB8A" w14:textId="03BBE71B" w:rsidR="00E6190C" w:rsidRPr="00E6190C" w:rsidRDefault="00E6190C" w:rsidP="00B846A8">
      <w:pPr>
        <w:tabs>
          <w:tab w:val="left" w:pos="540"/>
          <w:tab w:val="left" w:pos="1080"/>
        </w:tabs>
        <w:spacing w:after="240"/>
        <w:outlineLvl w:val="1"/>
        <w:rPr>
          <w:b/>
          <w:i/>
        </w:rPr>
      </w:pPr>
      <w:r w:rsidRPr="00E6190C">
        <w:rPr>
          <w:b/>
          <w:i/>
        </w:rPr>
        <w:tab/>
        <w:t>C19.26.2.</w:t>
      </w:r>
      <w:r w:rsidRPr="00E6190C">
        <w:t xml:space="preserve">  </w:t>
      </w:r>
      <w:r w:rsidRPr="00E6190C">
        <w:rPr>
          <w:u w:val="single"/>
        </w:rPr>
        <w:t>Army Maintenance Management System Equipment Data Base</w:t>
      </w:r>
      <w:r w:rsidRPr="00E6190C">
        <w:t xml:space="preserve">  </w:t>
      </w:r>
    </w:p>
    <w:p w14:paraId="29A74D2A" w14:textId="77777777" w:rsidR="00E6190C" w:rsidRPr="00E6190C" w:rsidRDefault="00E6190C" w:rsidP="00B846A8">
      <w:pPr>
        <w:tabs>
          <w:tab w:val="left" w:pos="540"/>
          <w:tab w:val="left" w:pos="1080"/>
        </w:tabs>
        <w:spacing w:after="240"/>
        <w:outlineLvl w:val="1"/>
      </w:pPr>
      <w:r w:rsidRPr="00E6190C">
        <w:rPr>
          <w:b/>
          <w:i/>
        </w:rPr>
        <w:tab/>
      </w:r>
      <w:r w:rsidRPr="00E6190C">
        <w:rPr>
          <w:b/>
          <w:i/>
        </w:rPr>
        <w:tab/>
        <w:t>C19.26.2.1.</w:t>
      </w:r>
      <w:r w:rsidRPr="00E6190C">
        <w:t xml:space="preserve">  The Army Maintenance Management System (TAMMS) Equipment Data Base (TEDB) identifies major end items for all ground, rail, and some construction equipment and watercraft.  The information is maintained on vehicles accepted into the Army inventory and includes their age, location, NSN re-designations, overhaul/rebuild/recapitalization and Operating Tempo (OPTEMPO)/usage data.  Information is also provided on OPTEMPO (usage) and vehicle age (miles and years).  It is used for procurement planning, budgetary justifications, asset redistribution, identity of candidates for safety recalls or overhaul; and for one-time logistics reports and summaries to field units.  Additionally, units use the data to reconstruct lost or destroyed equipment logbooks and missing or illegible serial/registration numbers.  TEDB is the repository for the Army Vehicle Registration Number Program.  The U.S. Army Logistics Support Activity is responsible for recording and maintaining a cross-reference file for all Army vehicle registration numbers on all Army vehicles during their life span.  Information from this program meets several management needs such as satisfying state and foreign country registration requirements and assisting law enforcement agencies.  The registration number remains unique to a specific equipment item during its life span.</w:t>
      </w:r>
    </w:p>
    <w:p w14:paraId="124813CC" w14:textId="77777777" w:rsidR="00E6190C" w:rsidRPr="00E6190C" w:rsidRDefault="00E6190C" w:rsidP="00B846A8">
      <w:pPr>
        <w:tabs>
          <w:tab w:val="left" w:pos="540"/>
          <w:tab w:val="left" w:pos="1080"/>
        </w:tabs>
        <w:spacing w:after="240"/>
        <w:outlineLvl w:val="1"/>
      </w:pPr>
      <w:r w:rsidRPr="00E6190C">
        <w:rPr>
          <w:b/>
          <w:i/>
        </w:rPr>
        <w:tab/>
      </w:r>
      <w:r w:rsidRPr="00E6190C">
        <w:rPr>
          <w:b/>
          <w:i/>
        </w:rPr>
        <w:tab/>
        <w:t xml:space="preserve">C19.26.2.2. </w:t>
      </w:r>
      <w:r w:rsidRPr="00E6190C">
        <w:t xml:space="preserve"> TEDB benefits the warfighter because it is a single source for selected vehicle information.  Organizations requiring vehicle location, OPTEMPO/usage, or age information can obtain this information from the TEDB for units throughout the Active Army and Reserve components regardless of the equipment manager.  TEDB contributes to improved budgetary, logistics acquisition, and depot program management at all levels of the Army.</w:t>
      </w:r>
    </w:p>
    <w:p w14:paraId="722C3889" w14:textId="77777777" w:rsidR="00E6190C" w:rsidRPr="00E6190C" w:rsidRDefault="00E6190C" w:rsidP="00B846A8">
      <w:pPr>
        <w:tabs>
          <w:tab w:val="left" w:pos="540"/>
          <w:tab w:val="left" w:pos="1080"/>
        </w:tabs>
        <w:spacing w:after="240"/>
        <w:outlineLvl w:val="1"/>
        <w:rPr>
          <w:b/>
          <w:i/>
        </w:rPr>
      </w:pPr>
      <w:r w:rsidRPr="00E6190C">
        <w:rPr>
          <w:b/>
          <w:i/>
        </w:rPr>
        <w:tab/>
        <w:t>C19.26.3.</w:t>
      </w:r>
      <w:r w:rsidRPr="00E6190C">
        <w:t xml:space="preserve">  </w:t>
      </w:r>
      <w:r w:rsidRPr="00E6190C">
        <w:rPr>
          <w:u w:val="single"/>
        </w:rPr>
        <w:t>Aviation Component Tracking Program</w:t>
      </w:r>
      <w:r w:rsidRPr="00E6190C">
        <w:t xml:space="preserve">.  The Aviation Component Tracking Program is comprised of a set of procedures and databases designed to ensure unique part identification for flight safety parts and for life managed or special </w:t>
      </w:r>
      <w:r w:rsidRPr="00E6190C">
        <w:lastRenderedPageBreak/>
        <w:t xml:space="preserve">interest items.  It provides for control, improved accountability, and visibility of U.S. Army Aviation equipment.  The maintenance consolidated database contains the life cycle installation/removal/repair data for all life managed and special interest items.  By maintaining the central repository for historical component data, the </w:t>
      </w:r>
      <w:r w:rsidRPr="00E6190C">
        <w:rPr>
          <w:b/>
          <w:i/>
        </w:rPr>
        <w:t>Army</w:t>
      </w:r>
      <w:r w:rsidRPr="00E6190C">
        <w:t xml:space="preserve"> maintenance consolidated database allows for the recovery of critical data and continued use of parts with missing or erroneous data that would otherwise have to be scrapped.  </w:t>
      </w:r>
    </w:p>
    <w:p w14:paraId="2581C38A" w14:textId="77777777" w:rsidR="00E6190C" w:rsidRPr="00E6190C" w:rsidRDefault="00E6190C" w:rsidP="00B846A8">
      <w:pPr>
        <w:tabs>
          <w:tab w:val="left" w:pos="540"/>
          <w:tab w:val="left" w:pos="1080"/>
        </w:tabs>
        <w:spacing w:after="240"/>
        <w:outlineLvl w:val="1"/>
      </w:pPr>
      <w:r w:rsidRPr="00E6190C">
        <w:tab/>
      </w:r>
      <w:r w:rsidRPr="00E6190C">
        <w:rPr>
          <w:b/>
          <w:i/>
        </w:rPr>
        <w:t>C19.26.4.</w:t>
      </w:r>
      <w:r w:rsidRPr="00E6190C">
        <w:t xml:space="preserve">  </w:t>
      </w:r>
      <w:r w:rsidRPr="00E6190C">
        <w:rPr>
          <w:u w:val="single"/>
        </w:rPr>
        <w:t>Tritium UIT Program</w:t>
      </w:r>
      <w:r w:rsidRPr="00E6190C">
        <w:t>.  This program identifies all primary and secondary items comprised of tritium throughout the Army, Army Reserve, National Guard, and Marines.  This program is necessary to meet a requirement for location visibility of all tritium sources at all times.</w:t>
      </w:r>
    </w:p>
    <w:p w14:paraId="7E37463E" w14:textId="56984AE2" w:rsidR="00E6190C" w:rsidRPr="00E6190C" w:rsidRDefault="00E6190C" w:rsidP="00B846A8">
      <w:pPr>
        <w:tabs>
          <w:tab w:val="left" w:pos="547"/>
          <w:tab w:val="left" w:pos="1080"/>
          <w:tab w:val="left" w:pos="1627"/>
          <w:tab w:val="left" w:pos="2232"/>
          <w:tab w:val="left" w:pos="2707"/>
          <w:tab w:val="left" w:pos="3240"/>
        </w:tabs>
        <w:spacing w:after="240"/>
        <w:outlineLvl w:val="2"/>
        <w:rPr>
          <w:rFonts w:cs="Arial"/>
          <w:szCs w:val="24"/>
        </w:rPr>
      </w:pPr>
      <w:r w:rsidRPr="00E6190C">
        <w:tab/>
      </w:r>
      <w:r w:rsidRPr="00E6190C">
        <w:rPr>
          <w:rFonts w:cs="Arial"/>
          <w:b/>
          <w:i/>
          <w:szCs w:val="24"/>
        </w:rPr>
        <w:t>C19.26.5.</w:t>
      </w:r>
      <w:r w:rsidRPr="00E6190C">
        <w:rPr>
          <w:rFonts w:cs="Arial"/>
          <w:szCs w:val="24"/>
        </w:rPr>
        <w:t xml:space="preserve">  </w:t>
      </w:r>
      <w:r w:rsidRPr="00E6190C">
        <w:rPr>
          <w:rFonts w:cs="Arial"/>
          <w:szCs w:val="24"/>
          <w:u w:val="single"/>
        </w:rPr>
        <w:t>Controlled Cryptographic Items Program</w:t>
      </w:r>
      <w:r w:rsidRPr="00E6190C">
        <w:rPr>
          <w:rFonts w:cs="Arial"/>
          <w:szCs w:val="24"/>
        </w:rPr>
        <w:t>.  The controlled cryptographic items (CCI) program was established to meet National Security Agency requirements to maintain visibility of controlled cryptographic end items, standalone CCI, and embedded CCI.  The CCI program will perform a complete physical inventory at periodic intervals not to exceed 12 months between successive inventories in accordance with National Security Telecommunications and Information Systems Security Instruction (NSTISSI) 4001, Controlled Cryptographic Items, July 1996.  This inventory must include all CCI equipment and uninstalled CCI components.  This is necessary to guard against preventable losses of un-keyed CCI to an actual or potential adversary.</w:t>
      </w:r>
    </w:p>
    <w:p w14:paraId="298EB2CF" w14:textId="0E872D35" w:rsidR="00E6190C" w:rsidRPr="00E6190C" w:rsidRDefault="00E6190C" w:rsidP="00B846A8">
      <w:pPr>
        <w:tabs>
          <w:tab w:val="left" w:pos="547"/>
          <w:tab w:val="left" w:pos="1080"/>
          <w:tab w:val="left" w:pos="1627"/>
          <w:tab w:val="left" w:pos="2232"/>
          <w:tab w:val="left" w:pos="2707"/>
          <w:tab w:val="left" w:pos="3240"/>
        </w:tabs>
        <w:spacing w:after="240"/>
        <w:rPr>
          <w:rFonts w:cs="Arial"/>
          <w:szCs w:val="24"/>
        </w:rPr>
      </w:pPr>
      <w:r w:rsidRPr="00E6190C">
        <w:rPr>
          <w:rFonts w:cs="Arial"/>
          <w:szCs w:val="24"/>
        </w:rPr>
        <w:t>C19.</w:t>
      </w:r>
      <w:r w:rsidRPr="00E6190C">
        <w:rPr>
          <w:rFonts w:cs="Arial"/>
          <w:b/>
          <w:i/>
          <w:szCs w:val="24"/>
        </w:rPr>
        <w:t>27.</w:t>
      </w:r>
      <w:r w:rsidRPr="00E6190C">
        <w:rPr>
          <w:rFonts w:cs="Arial"/>
          <w:szCs w:val="24"/>
        </w:rPr>
        <w:t xml:space="preserve">  </w:t>
      </w:r>
      <w:r w:rsidRPr="00E6190C">
        <w:rPr>
          <w:rFonts w:cs="Arial"/>
          <w:szCs w:val="24"/>
          <w:u w:val="single"/>
        </w:rPr>
        <w:t>UNIQUE ITEM TRACKING DESIGNATOR CODES</w:t>
      </w:r>
      <w:r w:rsidRPr="00E6190C">
        <w:rPr>
          <w:rFonts w:cs="Arial"/>
          <w:szCs w:val="24"/>
        </w:rPr>
        <w:t xml:space="preserve">.  The </w:t>
      </w:r>
      <w:r w:rsidRPr="00E6190C">
        <w:rPr>
          <w:rFonts w:cs="Arial"/>
          <w:b/>
          <w:i/>
          <w:szCs w:val="24"/>
        </w:rPr>
        <w:t>FLIS</w:t>
      </w:r>
      <w:r w:rsidRPr="00E6190C">
        <w:rPr>
          <w:rFonts w:cs="Arial"/>
          <w:szCs w:val="24"/>
        </w:rPr>
        <w:t xml:space="preserve"> is the authoritative source for UIT designator codes. The UIT designator code indicates that </w:t>
      </w:r>
      <w:r w:rsidRPr="00E6190C">
        <w:rPr>
          <w:rFonts w:cs="Arial"/>
          <w:b/>
          <w:i/>
          <w:szCs w:val="24"/>
        </w:rPr>
        <w:t xml:space="preserve">an item is part of an established UIT program.  In accordance with DODM 4140.01 policy, no new UIT programs </w:t>
      </w:r>
      <w:r w:rsidRPr="00E6190C">
        <w:rPr>
          <w:rFonts w:cs="Arial"/>
          <w:szCs w:val="24"/>
        </w:rPr>
        <w:t>will</w:t>
      </w:r>
      <w:r w:rsidRPr="00E6190C">
        <w:rPr>
          <w:rFonts w:cs="Arial"/>
          <w:b/>
          <w:i/>
          <w:szCs w:val="24"/>
        </w:rPr>
        <w:t xml:space="preserve"> be established.</w:t>
      </w:r>
      <w:r w:rsidRPr="00E6190C">
        <w:rPr>
          <w:rFonts w:cs="Arial"/>
          <w:b/>
          <w:szCs w:val="24"/>
        </w:rPr>
        <w:t xml:space="preserve">  </w:t>
      </w:r>
      <w:r w:rsidRPr="00E6190C">
        <w:rPr>
          <w:rFonts w:cs="Arial"/>
          <w:szCs w:val="24"/>
        </w:rPr>
        <w:t>Table C19.</w:t>
      </w:r>
      <w:r w:rsidRPr="00E6190C">
        <w:rPr>
          <w:rFonts w:cs="Arial"/>
          <w:b/>
          <w:i/>
          <w:szCs w:val="24"/>
        </w:rPr>
        <w:t>T5.</w:t>
      </w:r>
      <w:r w:rsidRPr="00E6190C">
        <w:rPr>
          <w:rFonts w:cs="Arial"/>
          <w:szCs w:val="24"/>
        </w:rPr>
        <w:t xml:space="preserve"> shows the UIT Designator Codes.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8280"/>
      </w:tblGrid>
      <w:tr w:rsidR="00E6190C" w:rsidRPr="00E6190C" w14:paraId="1B096738" w14:textId="77777777" w:rsidTr="004E1047">
        <w:trPr>
          <w:cantSplit/>
          <w:tblHeader/>
          <w:jc w:val="center"/>
        </w:trPr>
        <w:tc>
          <w:tcPr>
            <w:tcW w:w="927" w:type="dxa"/>
            <w:tcBorders>
              <w:top w:val="nil"/>
              <w:left w:val="nil"/>
              <w:bottom w:val="single" w:sz="4" w:space="0" w:color="auto"/>
              <w:right w:val="nil"/>
            </w:tcBorders>
            <w:shd w:val="clear" w:color="auto" w:fill="auto"/>
          </w:tcPr>
          <w:p w14:paraId="626E7375" w14:textId="77777777" w:rsidR="00E6190C" w:rsidRPr="00E6190C" w:rsidRDefault="00E6190C" w:rsidP="00E6190C">
            <w:pPr>
              <w:spacing w:after="120"/>
              <w:ind w:left="-108"/>
              <w:jc w:val="center"/>
              <w:rPr>
                <w:rFonts w:cs="Arial"/>
                <w:color w:val="000000"/>
                <w:sz w:val="22"/>
                <w:szCs w:val="22"/>
              </w:rPr>
            </w:pPr>
          </w:p>
        </w:tc>
        <w:tc>
          <w:tcPr>
            <w:tcW w:w="8280" w:type="dxa"/>
            <w:tcBorders>
              <w:top w:val="nil"/>
              <w:left w:val="nil"/>
              <w:bottom w:val="single" w:sz="4" w:space="0" w:color="auto"/>
              <w:right w:val="nil"/>
            </w:tcBorders>
            <w:shd w:val="clear" w:color="auto" w:fill="auto"/>
          </w:tcPr>
          <w:p w14:paraId="42503B8D" w14:textId="77777777" w:rsidR="00E6190C" w:rsidRPr="00E6190C" w:rsidRDefault="00E6190C" w:rsidP="00E6190C">
            <w:pPr>
              <w:spacing w:after="120"/>
              <w:jc w:val="center"/>
              <w:rPr>
                <w:rFonts w:cs="Arial"/>
                <w:color w:val="000000"/>
                <w:sz w:val="22"/>
                <w:szCs w:val="22"/>
              </w:rPr>
            </w:pPr>
            <w:r w:rsidRPr="00E6190C">
              <w:rPr>
                <w:rFonts w:cs="Arial"/>
                <w:szCs w:val="24"/>
                <w:lang w:val="fr-FR"/>
              </w:rPr>
              <w:t>Table C19.T</w:t>
            </w:r>
            <w:r w:rsidRPr="00E6190C">
              <w:rPr>
                <w:rFonts w:cs="Arial"/>
                <w:b/>
                <w:i/>
                <w:szCs w:val="24"/>
                <w:lang w:val="fr-FR"/>
              </w:rPr>
              <w:t>5</w:t>
            </w:r>
            <w:r w:rsidRPr="00E6190C">
              <w:rPr>
                <w:rFonts w:cs="Arial"/>
                <w:szCs w:val="24"/>
                <w:lang w:val="fr-FR"/>
              </w:rPr>
              <w:t xml:space="preserve">.  </w:t>
            </w:r>
            <w:r w:rsidRPr="00E6190C">
              <w:rPr>
                <w:szCs w:val="24"/>
                <w:u w:val="single"/>
              </w:rPr>
              <w:t>Unique Item Tracking</w:t>
            </w:r>
            <w:r w:rsidRPr="00E6190C">
              <w:rPr>
                <w:rFonts w:cs="Arial"/>
                <w:szCs w:val="24"/>
                <w:u w:val="single"/>
                <w:lang w:val="fr-FR"/>
              </w:rPr>
              <w:t xml:space="preserve"> </w:t>
            </w:r>
            <w:r w:rsidRPr="00E6190C">
              <w:rPr>
                <w:rFonts w:cs="Arial"/>
                <w:szCs w:val="24"/>
                <w:u w:val="single"/>
              </w:rPr>
              <w:t>Designator</w:t>
            </w:r>
            <w:r w:rsidRPr="00E6190C">
              <w:rPr>
                <w:rFonts w:cs="Arial"/>
                <w:szCs w:val="24"/>
                <w:u w:val="single"/>
                <w:lang w:val="fr-FR"/>
              </w:rPr>
              <w:t xml:space="preserve"> Codes</w:t>
            </w:r>
          </w:p>
        </w:tc>
      </w:tr>
      <w:tr w:rsidR="00E6190C" w:rsidRPr="00E6190C" w14:paraId="6614E635" w14:textId="77777777" w:rsidTr="004E1047">
        <w:trPr>
          <w:cantSplit/>
          <w:tblHeader/>
          <w:jc w:val="center"/>
        </w:trPr>
        <w:tc>
          <w:tcPr>
            <w:tcW w:w="927" w:type="dxa"/>
            <w:tcBorders>
              <w:top w:val="single" w:sz="4" w:space="0" w:color="auto"/>
            </w:tcBorders>
            <w:shd w:val="clear" w:color="auto" w:fill="auto"/>
          </w:tcPr>
          <w:p w14:paraId="52C97E66" w14:textId="77777777" w:rsidR="00E6190C" w:rsidRPr="00E6190C" w:rsidRDefault="00E6190C" w:rsidP="00E6190C">
            <w:pPr>
              <w:spacing w:before="60" w:after="60"/>
              <w:ind w:left="-108"/>
              <w:jc w:val="center"/>
              <w:rPr>
                <w:rFonts w:cs="Arial"/>
                <w:color w:val="000000"/>
                <w:sz w:val="22"/>
                <w:szCs w:val="22"/>
              </w:rPr>
            </w:pPr>
            <w:r w:rsidRPr="00E6190C">
              <w:rPr>
                <w:rFonts w:cs="Arial"/>
                <w:color w:val="000000"/>
                <w:sz w:val="22"/>
                <w:szCs w:val="22"/>
              </w:rPr>
              <w:t>Code</w:t>
            </w:r>
          </w:p>
        </w:tc>
        <w:tc>
          <w:tcPr>
            <w:tcW w:w="8280" w:type="dxa"/>
            <w:tcBorders>
              <w:top w:val="single" w:sz="4" w:space="0" w:color="auto"/>
            </w:tcBorders>
            <w:shd w:val="clear" w:color="auto" w:fill="auto"/>
          </w:tcPr>
          <w:p w14:paraId="1702EB98"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 xml:space="preserve">Explanation </w:t>
            </w:r>
          </w:p>
        </w:tc>
      </w:tr>
      <w:tr w:rsidR="00E6190C" w:rsidRPr="00E6190C" w14:paraId="0B26DDF1" w14:textId="77777777" w:rsidTr="004E1047">
        <w:trPr>
          <w:jc w:val="center"/>
        </w:trPr>
        <w:tc>
          <w:tcPr>
            <w:tcW w:w="927" w:type="dxa"/>
          </w:tcPr>
          <w:p w14:paraId="4AD05DBD"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AAA</w:t>
            </w:r>
          </w:p>
        </w:tc>
        <w:tc>
          <w:tcPr>
            <w:tcW w:w="8280" w:type="dxa"/>
          </w:tcPr>
          <w:p w14:paraId="36A8F760" w14:textId="77777777" w:rsidR="00E6190C" w:rsidRPr="00E6190C" w:rsidRDefault="00E6190C" w:rsidP="00E6190C">
            <w:pPr>
              <w:spacing w:before="60" w:after="60"/>
              <w:rPr>
                <w:rFonts w:cs="Arial"/>
                <w:color w:val="000000"/>
                <w:sz w:val="22"/>
                <w:szCs w:val="22"/>
              </w:rPr>
            </w:pPr>
            <w:r w:rsidRPr="00E6190C">
              <w:rPr>
                <w:rFonts w:cs="Arial"/>
                <w:color w:val="000000"/>
                <w:sz w:val="22"/>
                <w:szCs w:val="22"/>
              </w:rPr>
              <w:t>DoD Small Arms and Light Weapons Serialization Program (</w:t>
            </w:r>
            <w:proofErr w:type="spellStart"/>
            <w:r w:rsidRPr="00E6190C">
              <w:rPr>
                <w:rFonts w:cs="Arial"/>
                <w:color w:val="000000"/>
                <w:sz w:val="22"/>
                <w:szCs w:val="22"/>
              </w:rPr>
              <w:t>DoDSALWSP</w:t>
            </w:r>
            <w:proofErr w:type="spellEnd"/>
            <w:r w:rsidRPr="00E6190C">
              <w:rPr>
                <w:rFonts w:cs="Arial"/>
                <w:color w:val="000000"/>
                <w:sz w:val="22"/>
                <w:szCs w:val="22"/>
              </w:rPr>
              <w:t>)</w:t>
            </w:r>
          </w:p>
        </w:tc>
      </w:tr>
      <w:tr w:rsidR="00E6190C" w:rsidRPr="00E6190C" w14:paraId="50C0447F" w14:textId="77777777" w:rsidTr="004E1047">
        <w:trPr>
          <w:jc w:val="center"/>
        </w:trPr>
        <w:tc>
          <w:tcPr>
            <w:tcW w:w="927" w:type="dxa"/>
          </w:tcPr>
          <w:p w14:paraId="6D1D25A3"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AAB</w:t>
            </w:r>
          </w:p>
        </w:tc>
        <w:tc>
          <w:tcPr>
            <w:tcW w:w="8280" w:type="dxa"/>
          </w:tcPr>
          <w:p w14:paraId="1239DC2C"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 xml:space="preserve">Security Risk Category I Non-Nuclear missiles and Rockets </w:t>
            </w:r>
          </w:p>
        </w:tc>
      </w:tr>
      <w:tr w:rsidR="00E6190C" w:rsidRPr="00E6190C" w14:paraId="11630444" w14:textId="77777777" w:rsidTr="004E1047">
        <w:trPr>
          <w:jc w:val="center"/>
        </w:trPr>
        <w:tc>
          <w:tcPr>
            <w:tcW w:w="927" w:type="dxa"/>
          </w:tcPr>
          <w:p w14:paraId="7B10A508"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 xml:space="preserve">AAC </w:t>
            </w:r>
          </w:p>
        </w:tc>
        <w:tc>
          <w:tcPr>
            <w:tcW w:w="8280" w:type="dxa"/>
          </w:tcPr>
          <w:p w14:paraId="48982F7F"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Radiation Testing and Tracking System (RATTS) Program</w:t>
            </w:r>
          </w:p>
        </w:tc>
      </w:tr>
      <w:tr w:rsidR="00E6190C" w:rsidRPr="00E6190C" w14:paraId="3F5D3DD9" w14:textId="77777777" w:rsidTr="004E1047">
        <w:trPr>
          <w:jc w:val="center"/>
        </w:trPr>
        <w:tc>
          <w:tcPr>
            <w:tcW w:w="927" w:type="dxa"/>
          </w:tcPr>
          <w:p w14:paraId="1EA7521D"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AAD</w:t>
            </w:r>
          </w:p>
        </w:tc>
        <w:tc>
          <w:tcPr>
            <w:tcW w:w="8280" w:type="dxa"/>
          </w:tcPr>
          <w:p w14:paraId="1405D8DC"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 xml:space="preserve">Navy Depot Level </w:t>
            </w:r>
            <w:proofErr w:type="spellStart"/>
            <w:r w:rsidRPr="00E6190C">
              <w:rPr>
                <w:rFonts w:cs="Arial"/>
                <w:color w:val="000000"/>
                <w:sz w:val="22"/>
                <w:szCs w:val="22"/>
              </w:rPr>
              <w:t>Reparables</w:t>
            </w:r>
            <w:proofErr w:type="spellEnd"/>
            <w:r w:rsidRPr="00E6190C">
              <w:rPr>
                <w:rFonts w:cs="Arial"/>
                <w:color w:val="000000"/>
                <w:sz w:val="22"/>
                <w:szCs w:val="22"/>
              </w:rPr>
              <w:t xml:space="preserve"> (NDLR) Program</w:t>
            </w:r>
          </w:p>
        </w:tc>
      </w:tr>
      <w:tr w:rsidR="00E6190C" w:rsidRPr="00E6190C" w14:paraId="57F33451" w14:textId="77777777" w:rsidTr="004E1047">
        <w:trPr>
          <w:jc w:val="center"/>
        </w:trPr>
        <w:tc>
          <w:tcPr>
            <w:tcW w:w="927" w:type="dxa"/>
          </w:tcPr>
          <w:p w14:paraId="771A8412"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AAE</w:t>
            </w:r>
          </w:p>
        </w:tc>
        <w:tc>
          <w:tcPr>
            <w:tcW w:w="8280" w:type="dxa"/>
          </w:tcPr>
          <w:p w14:paraId="4F49A95D"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Army Maintenance Management System (TAMMS) Equipment Data Base (TEDB)</w:t>
            </w:r>
          </w:p>
        </w:tc>
      </w:tr>
      <w:tr w:rsidR="00E6190C" w:rsidRPr="00E6190C" w14:paraId="72E1F422" w14:textId="77777777" w:rsidTr="004E1047">
        <w:trPr>
          <w:jc w:val="center"/>
        </w:trPr>
        <w:tc>
          <w:tcPr>
            <w:tcW w:w="927" w:type="dxa"/>
          </w:tcPr>
          <w:p w14:paraId="282AF7F8"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AAF</w:t>
            </w:r>
          </w:p>
        </w:tc>
        <w:tc>
          <w:tcPr>
            <w:tcW w:w="8280" w:type="dxa"/>
          </w:tcPr>
          <w:p w14:paraId="1377B831"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Aviation Component Tracking Program</w:t>
            </w:r>
          </w:p>
        </w:tc>
      </w:tr>
      <w:tr w:rsidR="00E6190C" w:rsidRPr="00E6190C" w14:paraId="1BC0817C" w14:textId="77777777" w:rsidTr="004E1047">
        <w:trPr>
          <w:jc w:val="center"/>
        </w:trPr>
        <w:tc>
          <w:tcPr>
            <w:tcW w:w="927" w:type="dxa"/>
          </w:tcPr>
          <w:p w14:paraId="615FAF5D" w14:textId="77777777" w:rsidR="00E6190C" w:rsidRPr="00E6190C" w:rsidRDefault="00E6190C" w:rsidP="00E6190C">
            <w:pPr>
              <w:spacing w:before="60" w:after="60"/>
              <w:jc w:val="center"/>
              <w:rPr>
                <w:rFonts w:cs="Arial"/>
                <w:color w:val="000000"/>
                <w:sz w:val="22"/>
                <w:szCs w:val="22"/>
              </w:rPr>
            </w:pPr>
            <w:r w:rsidRPr="00E6190C">
              <w:rPr>
                <w:rFonts w:cs="Arial"/>
                <w:color w:val="000000"/>
                <w:sz w:val="22"/>
                <w:szCs w:val="22"/>
              </w:rPr>
              <w:t>AAG</w:t>
            </w:r>
          </w:p>
        </w:tc>
        <w:tc>
          <w:tcPr>
            <w:tcW w:w="8280" w:type="dxa"/>
          </w:tcPr>
          <w:p w14:paraId="2ED77C18"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Tritium Unique Item Tracking Program</w:t>
            </w:r>
          </w:p>
        </w:tc>
      </w:tr>
      <w:tr w:rsidR="00E6190C" w:rsidRPr="00E6190C" w14:paraId="484CA44D" w14:textId="77777777" w:rsidTr="004E1047">
        <w:trPr>
          <w:jc w:val="center"/>
        </w:trPr>
        <w:tc>
          <w:tcPr>
            <w:tcW w:w="927" w:type="dxa"/>
          </w:tcPr>
          <w:p w14:paraId="43342094" w14:textId="77777777" w:rsidR="00E6190C" w:rsidRPr="00E6190C" w:rsidRDefault="00E6190C" w:rsidP="00E6190C">
            <w:pPr>
              <w:keepNext/>
              <w:keepLines/>
              <w:spacing w:before="60" w:after="60"/>
              <w:jc w:val="center"/>
              <w:rPr>
                <w:rFonts w:cs="Arial"/>
                <w:color w:val="000000"/>
                <w:sz w:val="22"/>
                <w:szCs w:val="22"/>
              </w:rPr>
            </w:pPr>
            <w:r w:rsidRPr="00E6190C">
              <w:rPr>
                <w:rFonts w:cs="Arial"/>
                <w:color w:val="000000"/>
                <w:sz w:val="22"/>
                <w:szCs w:val="22"/>
              </w:rPr>
              <w:t>AAH</w:t>
            </w:r>
          </w:p>
        </w:tc>
        <w:tc>
          <w:tcPr>
            <w:tcW w:w="8280" w:type="dxa"/>
          </w:tcPr>
          <w:p w14:paraId="41D29FE3"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 xml:space="preserve">Controlled Cryptographic Items (CCI) </w:t>
            </w:r>
          </w:p>
        </w:tc>
      </w:tr>
      <w:tr w:rsidR="00E6190C" w:rsidRPr="00E6190C" w14:paraId="3CE7DA3C" w14:textId="77777777" w:rsidTr="004E1047">
        <w:trPr>
          <w:jc w:val="center"/>
        </w:trPr>
        <w:tc>
          <w:tcPr>
            <w:tcW w:w="927" w:type="dxa"/>
          </w:tcPr>
          <w:p w14:paraId="3F47F9D6" w14:textId="77777777" w:rsidR="00E6190C" w:rsidRPr="00E6190C" w:rsidRDefault="00E6190C" w:rsidP="00E6190C">
            <w:pPr>
              <w:keepNext/>
              <w:keepLines/>
              <w:spacing w:before="60" w:after="60"/>
              <w:jc w:val="center"/>
              <w:rPr>
                <w:rFonts w:cs="Arial"/>
                <w:color w:val="000000"/>
                <w:sz w:val="22"/>
                <w:szCs w:val="22"/>
              </w:rPr>
            </w:pPr>
            <w:r w:rsidRPr="00E6190C">
              <w:rPr>
                <w:rFonts w:cs="Arial"/>
                <w:color w:val="000000"/>
                <w:sz w:val="22"/>
                <w:szCs w:val="22"/>
              </w:rPr>
              <w:t>AAJ</w:t>
            </w:r>
          </w:p>
        </w:tc>
        <w:tc>
          <w:tcPr>
            <w:tcW w:w="8280" w:type="dxa"/>
          </w:tcPr>
          <w:p w14:paraId="474854BE" w14:textId="77777777" w:rsidR="00E6190C" w:rsidRPr="00E6190C" w:rsidRDefault="00E6190C" w:rsidP="00E6190C">
            <w:pPr>
              <w:keepNext/>
              <w:keepLines/>
              <w:spacing w:before="60" w:after="60"/>
              <w:rPr>
                <w:rFonts w:cs="Arial"/>
                <w:color w:val="000000"/>
                <w:sz w:val="22"/>
                <w:szCs w:val="22"/>
              </w:rPr>
            </w:pPr>
            <w:r w:rsidRPr="00E6190C">
              <w:rPr>
                <w:rFonts w:cs="Arial"/>
                <w:color w:val="000000"/>
                <w:sz w:val="22"/>
                <w:szCs w:val="22"/>
              </w:rPr>
              <w:t>Positive Inventory Control (PIC) Nuclear Weapon Related Materiel (NWRM)</w:t>
            </w:r>
          </w:p>
        </w:tc>
      </w:tr>
    </w:tbl>
    <w:p w14:paraId="25AC0824" w14:textId="77777777" w:rsidR="00E6190C" w:rsidRPr="00E6190C" w:rsidRDefault="00E6190C" w:rsidP="00E6190C"/>
    <w:p w14:paraId="26486F47" w14:textId="77777777" w:rsidR="00675D63" w:rsidRDefault="00675D63" w:rsidP="00E6190C"/>
    <w:sectPr w:rsidR="00675D63" w:rsidSect="00AA265D">
      <w:headerReference w:type="default" r:id="rId19"/>
      <w:footerReference w:type="even"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6F77" w14:textId="77777777" w:rsidR="00365F78" w:rsidRDefault="00365F78" w:rsidP="007C2105">
      <w:r>
        <w:separator/>
      </w:r>
    </w:p>
  </w:endnote>
  <w:endnote w:type="continuationSeparator" w:id="0">
    <w:p w14:paraId="26486F78" w14:textId="77777777" w:rsidR="00365F78" w:rsidRDefault="00365F78" w:rsidP="007C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86F7A" w14:textId="77777777" w:rsidR="00365F78" w:rsidRDefault="00365F78" w:rsidP="00AE73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86F7B" w14:textId="77777777" w:rsidR="00365F78" w:rsidRDefault="00365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86F7C" w14:textId="77777777" w:rsidR="00365F78" w:rsidRPr="00DA3AF6" w:rsidRDefault="00365F78" w:rsidP="00AE734E">
    <w:pPr>
      <w:pStyle w:val="Footer"/>
      <w:framePr w:wrap="around" w:vAnchor="text" w:hAnchor="margin" w:xAlign="center" w:y="1"/>
      <w:rPr>
        <w:rStyle w:val="PageNumber"/>
        <w:b w:val="0"/>
      </w:rPr>
    </w:pPr>
    <w:r w:rsidRPr="00DA3AF6">
      <w:rPr>
        <w:rStyle w:val="PageNumber"/>
        <w:b w:val="0"/>
      </w:rPr>
      <w:t>C19-</w:t>
    </w:r>
    <w:r w:rsidRPr="00DA3AF6">
      <w:rPr>
        <w:rStyle w:val="PageNumber"/>
        <w:b w:val="0"/>
      </w:rPr>
      <w:fldChar w:fldCharType="begin"/>
    </w:r>
    <w:r w:rsidRPr="00DA3AF6">
      <w:rPr>
        <w:rStyle w:val="PageNumber"/>
        <w:b w:val="0"/>
      </w:rPr>
      <w:instrText xml:space="preserve">PAGE  </w:instrText>
    </w:r>
    <w:r w:rsidRPr="00DA3AF6">
      <w:rPr>
        <w:rStyle w:val="PageNumber"/>
        <w:b w:val="0"/>
      </w:rPr>
      <w:fldChar w:fldCharType="separate"/>
    </w:r>
    <w:r w:rsidR="00A160FE">
      <w:rPr>
        <w:rStyle w:val="PageNumber"/>
        <w:b w:val="0"/>
        <w:noProof/>
      </w:rPr>
      <w:t>12</w:t>
    </w:r>
    <w:r w:rsidRPr="00DA3AF6">
      <w:rPr>
        <w:rStyle w:val="PageNumber"/>
        <w:b w:val="0"/>
      </w:rPr>
      <w:fldChar w:fldCharType="end"/>
    </w:r>
  </w:p>
  <w:p w14:paraId="26486F7D" w14:textId="77777777" w:rsidR="00365F78" w:rsidRDefault="00365F78" w:rsidP="00AE734E">
    <w:pPr>
      <w:pStyle w:val="Footer"/>
      <w:jc w:val="right"/>
    </w:pPr>
    <w:r>
      <w:t>CHAPTER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86F75" w14:textId="77777777" w:rsidR="00365F78" w:rsidRDefault="00365F78" w:rsidP="007C2105">
      <w:r>
        <w:separator/>
      </w:r>
    </w:p>
  </w:footnote>
  <w:footnote w:type="continuationSeparator" w:id="0">
    <w:p w14:paraId="26486F76" w14:textId="77777777" w:rsidR="00365F78" w:rsidRDefault="00365F78" w:rsidP="007C2105">
      <w:r>
        <w:continuationSeparator/>
      </w:r>
    </w:p>
  </w:footnote>
  <w:footnote w:id="1">
    <w:p w14:paraId="53C10679" w14:textId="593ADD30" w:rsidR="00E6190C" w:rsidRPr="00E6190C" w:rsidRDefault="00E6190C" w:rsidP="00E6190C">
      <w:pPr>
        <w:pStyle w:val="FootnoteText"/>
      </w:pPr>
      <w:r w:rsidRPr="00E6190C">
        <w:rPr>
          <w:rStyle w:val="FootnoteReference"/>
        </w:rPr>
        <w:footnoteRef/>
      </w:r>
      <w:r w:rsidRPr="00E6190C">
        <w:t xml:space="preserve"> </w:t>
      </w:r>
      <w:r w:rsidRPr="00E6190C">
        <w:rPr>
          <w:rFonts w:cs="Arial"/>
          <w:color w:val="000000"/>
        </w:rPr>
        <w:t xml:space="preserve">The UII is an identifier used to uniquely identity an individual item used within the DoD.  The UII may be a DoD Recognized IUID equivalent [e.g., Vehicle identification number (VIN)] or a composite structure defined by the Department of Defense [refer to UII Construct 1 and UII construct 2].  Refer to DoD policy and supporting documentation for specific IUID guidance at </w:t>
      </w:r>
      <w:hyperlink r:id="rId1" w:history="1">
        <w:r w:rsidRPr="00E6190C">
          <w:rPr>
            <w:rStyle w:val="Hyperlink"/>
            <w:rFonts w:cs="Arial"/>
          </w:rPr>
          <w:t>www.acq.osd.mil/dpap/pdi/uid/index.html</w:t>
        </w:r>
      </w:hyperlink>
      <w:r w:rsidRPr="00E6190C">
        <w:rPr>
          <w:rFonts w:cs="Arial"/>
        </w:rPr>
        <w:t>.</w:t>
      </w:r>
      <w:r w:rsidRPr="00E6190C">
        <w:rPr>
          <w:rFonts w:cs="Arial"/>
          <w:color w:val="000000"/>
        </w:rPr>
        <w:t xml:space="preserve">  Refer to the most current version of </w:t>
      </w:r>
      <w:hyperlink r:id="rId2" w:history="1">
        <w:r w:rsidRPr="00E6190C">
          <w:rPr>
            <w:rStyle w:val="Hyperlink"/>
            <w:rFonts w:cs="Arial"/>
          </w:rPr>
          <w:t>MIL-STD-130</w:t>
        </w:r>
      </w:hyperlink>
      <w:r w:rsidRPr="00E6190C">
        <w:rPr>
          <w:rFonts w:cs="Arial"/>
          <w:bCs/>
          <w:iCs/>
          <w:color w:val="000000"/>
        </w:rPr>
        <w:t xml:space="preserve"> </w:t>
      </w:r>
      <w:r w:rsidRPr="00E6190C">
        <w:rPr>
          <w:rFonts w:cs="Arial"/>
          <w:color w:val="000000"/>
        </w:rPr>
        <w:t>for specific guidance marking of U.S. Military property.</w:t>
      </w:r>
    </w:p>
  </w:footnote>
  <w:footnote w:id="2">
    <w:p w14:paraId="2F222F0B" w14:textId="77777777" w:rsidR="00E6190C" w:rsidRPr="00E6190C" w:rsidRDefault="00E6190C" w:rsidP="00E6190C">
      <w:pPr>
        <w:pStyle w:val="FootnoteText"/>
        <w:rPr>
          <w:rFonts w:cs="Arial"/>
        </w:rPr>
      </w:pPr>
      <w:r w:rsidRPr="00E6190C">
        <w:rPr>
          <w:rStyle w:val="FootnoteReference"/>
          <w:rFonts w:cs="Arial"/>
        </w:rPr>
        <w:footnoteRef/>
      </w:r>
      <w:r w:rsidRPr="00E6190C">
        <w:rPr>
          <w:rFonts w:cs="Arial"/>
        </w:rPr>
        <w:t xml:space="preserve"> See </w:t>
      </w:r>
      <w:hyperlink r:id="rId3" w:history="1">
        <w:r w:rsidRPr="00E6190C">
          <w:rPr>
            <w:rStyle w:val="Hyperlink"/>
            <w:rFonts w:cs="Arial"/>
          </w:rPr>
          <w:t>www.acq.osd.mil/dpap/pdi/uid</w:t>
        </w:r>
      </w:hyperlink>
      <w:r w:rsidRPr="00E6190C">
        <w:rPr>
          <w:rFonts w:cs="Arial"/>
        </w:rPr>
        <w:t xml:space="preserve"> for specific UID DFARS clause information to include in the contract.</w:t>
      </w:r>
    </w:p>
  </w:footnote>
  <w:footnote w:id="3">
    <w:p w14:paraId="4D737FBA" w14:textId="77777777" w:rsidR="00E6190C" w:rsidRPr="00E6190C" w:rsidRDefault="00E6190C" w:rsidP="00E6190C">
      <w:pPr>
        <w:pStyle w:val="FootnoteText"/>
      </w:pPr>
      <w:r w:rsidRPr="00E6190C">
        <w:rPr>
          <w:rStyle w:val="FootnoteReference"/>
          <w:b/>
          <w:i/>
        </w:rPr>
        <w:footnoteRef/>
      </w:r>
      <w:r w:rsidRPr="00E6190C">
        <w:t xml:space="preserve"> </w:t>
      </w:r>
      <w:r w:rsidRPr="00E6190C">
        <w:rPr>
          <w:rFonts w:cs="Arial"/>
          <w:b/>
          <w:i/>
        </w:rPr>
        <w:t>No documented procedures for 140B UIT Report.  DLA  to submit PDC documenting UIT use to include Chapter 19 procedures.</w:t>
      </w:r>
    </w:p>
  </w:footnote>
  <w:footnote w:id="4">
    <w:p w14:paraId="62F7EE64" w14:textId="77777777" w:rsidR="00E6190C" w:rsidRPr="00E6190C" w:rsidRDefault="00E6190C" w:rsidP="00E6190C">
      <w:pPr>
        <w:pStyle w:val="FootnoteText"/>
        <w:rPr>
          <w:b/>
          <w:i/>
        </w:rPr>
      </w:pPr>
      <w:r w:rsidRPr="00E6190C">
        <w:rPr>
          <w:rStyle w:val="FootnoteReference"/>
          <w:b/>
          <w:i/>
        </w:rPr>
        <w:footnoteRef/>
      </w:r>
      <w:r w:rsidRPr="00E6190C">
        <w:rPr>
          <w:b/>
          <w:i/>
        </w:rPr>
        <w:t xml:space="preserve"> Ibid.</w:t>
      </w:r>
    </w:p>
  </w:footnote>
  <w:footnote w:id="5">
    <w:p w14:paraId="5C815AC7" w14:textId="4F6FDA77" w:rsidR="00E6190C" w:rsidRPr="00E6190C" w:rsidRDefault="00E6190C" w:rsidP="00E6190C">
      <w:pPr>
        <w:pStyle w:val="FootnoteText"/>
        <w:rPr>
          <w:rFonts w:cs="Arial"/>
        </w:rPr>
      </w:pPr>
      <w:r w:rsidRPr="00E6190C">
        <w:rPr>
          <w:rStyle w:val="FootnoteReference"/>
          <w:b/>
          <w:i/>
        </w:rPr>
        <w:footnoteRef/>
      </w:r>
      <w:r w:rsidRPr="00E6190C">
        <w:t xml:space="preserve"> </w:t>
      </w:r>
      <w:r w:rsidRPr="00E6190C">
        <w:rPr>
          <w:rFonts w:cs="Arial"/>
          <w:b/>
          <w:i/>
        </w:rPr>
        <w:t xml:space="preserve">Refer to ADC 347, Revise DLMS 527R Receipt, 867I Issue, 945A Materiel Release Advice, and 947I Inventory Adjustment to Support Unique Item Tracking (UIT) for Air Force Positive Inventory Control.  DLA DSS has </w:t>
      </w:r>
      <w:r w:rsidR="00DA5512" w:rsidRPr="00E6190C">
        <w:rPr>
          <w:rFonts w:cs="Arial"/>
          <w:b/>
          <w:i/>
        </w:rPr>
        <w:t>implemented</w:t>
      </w:r>
      <w:r w:rsidRPr="00E6190C">
        <w:rPr>
          <w:rFonts w:cs="Arial"/>
          <w:b/>
          <w:i/>
        </w:rPr>
        <w:t xml:space="preserve"> ADC 347.</w:t>
      </w:r>
    </w:p>
  </w:footnote>
  <w:footnote w:id="6">
    <w:p w14:paraId="69846612" w14:textId="77777777" w:rsidR="00E6190C" w:rsidRPr="00E6190C" w:rsidRDefault="00E6190C" w:rsidP="00E6190C">
      <w:pPr>
        <w:pStyle w:val="FootnoteText"/>
        <w:rPr>
          <w:rFonts w:cs="Arial"/>
          <w:b/>
          <w:i/>
        </w:rPr>
      </w:pPr>
      <w:r w:rsidRPr="00E6190C">
        <w:rPr>
          <w:rStyle w:val="FootnoteReference"/>
          <w:rFonts w:cs="Arial"/>
          <w:b/>
          <w:i/>
        </w:rPr>
        <w:footnoteRef/>
      </w:r>
      <w:r w:rsidRPr="00E6190C">
        <w:rPr>
          <w:rFonts w:cs="Arial"/>
          <w:b/>
          <w:i/>
        </w:rPr>
        <w:t xml:space="preserve"> Ibid.</w:t>
      </w:r>
    </w:p>
  </w:footnote>
  <w:footnote w:id="7">
    <w:p w14:paraId="174CC251" w14:textId="77777777" w:rsidR="00E6190C" w:rsidRPr="00E6190C" w:rsidRDefault="00E6190C" w:rsidP="00E6190C">
      <w:pPr>
        <w:pStyle w:val="FootnoteText"/>
        <w:rPr>
          <w:rFonts w:cs="Arial"/>
        </w:rPr>
      </w:pPr>
      <w:r w:rsidRPr="00E6190C">
        <w:rPr>
          <w:rStyle w:val="FootnoteReference"/>
          <w:rFonts w:cs="Arial"/>
          <w:b/>
          <w:i/>
        </w:rPr>
        <w:footnoteRef/>
      </w:r>
      <w:r w:rsidRPr="00E6190C">
        <w:rPr>
          <w:rFonts w:cs="Arial"/>
        </w:rPr>
        <w:t xml:space="preserve"> </w:t>
      </w:r>
      <w:r w:rsidRPr="00E6190C">
        <w:rPr>
          <w:rFonts w:cs="Arial"/>
          <w:b/>
          <w:i/>
        </w:rPr>
        <w:t>Refer to ADC 316C, Revise DLMS Implementation Convention (IC) 940R Material Release and DLMS IC 945A Material Release Advice, to Support UIT for Air Force Positive Inventory Control (PIC) under the Retail Transportation and Supply Receipt and Acknowledgement Interchange</w:t>
      </w:r>
    </w:p>
  </w:footnote>
  <w:footnote w:id="8">
    <w:p w14:paraId="76C767FA" w14:textId="77777777" w:rsidR="00E6190C" w:rsidRPr="00E6190C" w:rsidRDefault="00E6190C" w:rsidP="00E6190C">
      <w:pPr>
        <w:pStyle w:val="FootnoteText"/>
        <w:rPr>
          <w:rFonts w:cs="Arial"/>
          <w:b/>
          <w:i/>
        </w:rPr>
      </w:pPr>
      <w:r w:rsidRPr="00E6190C">
        <w:rPr>
          <w:rStyle w:val="FootnoteReference"/>
          <w:rFonts w:cs="Arial"/>
          <w:b/>
          <w:i/>
        </w:rPr>
        <w:footnoteRef/>
      </w:r>
      <w:r w:rsidRPr="00E6190C">
        <w:rPr>
          <w:rFonts w:cs="Arial"/>
          <w:b/>
          <w:i/>
        </w:rPr>
        <w:t xml:space="preserve"> Ibid.</w:t>
      </w:r>
    </w:p>
  </w:footnote>
  <w:footnote w:id="9">
    <w:p w14:paraId="5AECD7C2" w14:textId="77777777" w:rsidR="00E6190C" w:rsidRPr="00E6190C" w:rsidRDefault="00E6190C" w:rsidP="00E6190C">
      <w:pPr>
        <w:pStyle w:val="FootnoteText"/>
        <w:rPr>
          <w:rFonts w:cs="Arial"/>
          <w:b/>
          <w:i/>
        </w:rPr>
      </w:pPr>
      <w:r w:rsidRPr="00E6190C">
        <w:rPr>
          <w:rStyle w:val="FootnoteReference"/>
          <w:rFonts w:cs="Arial"/>
          <w:b/>
          <w:i/>
        </w:rPr>
        <w:footnoteRef/>
      </w:r>
      <w:r w:rsidRPr="00E6190C">
        <w:rPr>
          <w:rFonts w:cs="Arial"/>
          <w:b/>
          <w:i/>
        </w:rPr>
        <w:t xml:space="preserve"> Refer to ADC 347.</w:t>
      </w:r>
    </w:p>
  </w:footnote>
  <w:footnote w:id="10">
    <w:p w14:paraId="4B1E03B8" w14:textId="77777777" w:rsidR="00E6190C" w:rsidRPr="00E6190C" w:rsidRDefault="00E6190C" w:rsidP="00E6190C">
      <w:pPr>
        <w:pStyle w:val="FootnoteText"/>
        <w:rPr>
          <w:rFonts w:cs="Arial"/>
        </w:rPr>
      </w:pPr>
      <w:r w:rsidRPr="00E6190C">
        <w:rPr>
          <w:rStyle w:val="FootnoteReference"/>
          <w:rFonts w:cs="Arial"/>
          <w:b/>
          <w:i/>
        </w:rPr>
        <w:footnoteRef/>
      </w:r>
      <w:r w:rsidRPr="00E6190C">
        <w:rPr>
          <w:rFonts w:cs="Arial"/>
          <w:b/>
          <w:i/>
        </w:rPr>
        <w:t xml:space="preserve"> Ibid.</w:t>
      </w:r>
    </w:p>
  </w:footnote>
  <w:footnote w:id="11">
    <w:p w14:paraId="5981864E" w14:textId="77777777" w:rsidR="00E6190C" w:rsidRPr="00E6190C" w:rsidRDefault="00E6190C" w:rsidP="00E6190C">
      <w:pPr>
        <w:autoSpaceDE w:val="0"/>
        <w:autoSpaceDN w:val="0"/>
        <w:adjustRightInd w:val="0"/>
        <w:rPr>
          <w:rFonts w:cs="Arial"/>
          <w:b/>
          <w:i/>
          <w:sz w:val="20"/>
        </w:rPr>
      </w:pPr>
      <w:r w:rsidRPr="00E6190C">
        <w:rPr>
          <w:rStyle w:val="FootnoteReference"/>
          <w:rFonts w:cs="Arial"/>
          <w:b/>
          <w:i/>
          <w:sz w:val="20"/>
        </w:rPr>
        <w:footnoteRef/>
      </w:r>
      <w:r w:rsidRPr="00E6190C">
        <w:rPr>
          <w:rFonts w:cs="Arial"/>
          <w:b/>
          <w:i/>
          <w:sz w:val="20"/>
        </w:rPr>
        <w:t xml:space="preserve"> Refer to ADC 1042, Revise WAWF Advance Shipment Notice (ASN) to Accommodate DLA Interface for Reparable Government Furnished Property (GFP).  Limited Receipt applicability; DLA Distribution Centers will include the UII in those DLMS 527R Receipt transactions with 2/LIN01/10 Code E (MILSTRAP legacy D4M functionality) when machine readable at time of receipt.</w:t>
      </w:r>
    </w:p>
  </w:footnote>
  <w:footnote w:id="12">
    <w:p w14:paraId="590A3DB8" w14:textId="77777777" w:rsidR="00E6190C" w:rsidRPr="00E6190C" w:rsidRDefault="00E6190C" w:rsidP="00E6190C">
      <w:pPr>
        <w:pStyle w:val="FootnoteText"/>
        <w:ind w:right="180"/>
        <w:rPr>
          <w:rFonts w:cs="Arial"/>
          <w:b/>
          <w:i/>
        </w:rPr>
      </w:pPr>
      <w:r w:rsidRPr="00E6190C">
        <w:rPr>
          <w:rStyle w:val="FootnoteReference"/>
          <w:rFonts w:cs="Arial"/>
          <w:b/>
          <w:i/>
        </w:rPr>
        <w:footnoteRef/>
      </w:r>
      <w:r w:rsidRPr="00E6190C">
        <w:rPr>
          <w:rFonts w:cs="Arial"/>
          <w:b/>
          <w:i/>
        </w:rPr>
        <w:t xml:space="preserve"> Refer to ADC 1030, Implementation of UID in the DLMS Shipment Status Supporting DOD IUID Supply Procedures and Associated SDR Procedures. Approved for staggered implementation no later than December 2015.</w:t>
      </w:r>
    </w:p>
  </w:footnote>
  <w:footnote w:id="13">
    <w:p w14:paraId="78EE9E72" w14:textId="77777777" w:rsidR="00E6190C" w:rsidRPr="00E6190C" w:rsidRDefault="00E6190C" w:rsidP="00E6190C">
      <w:pPr>
        <w:autoSpaceDE w:val="0"/>
        <w:autoSpaceDN w:val="0"/>
        <w:adjustRightInd w:val="0"/>
        <w:ind w:right="180"/>
        <w:rPr>
          <w:rFonts w:cs="Arial"/>
          <w:b/>
          <w:i/>
          <w:sz w:val="20"/>
        </w:rPr>
      </w:pPr>
      <w:r w:rsidRPr="00E6190C">
        <w:rPr>
          <w:rStyle w:val="FootnoteReference"/>
          <w:rFonts w:cs="Arial"/>
          <w:b/>
          <w:i/>
          <w:sz w:val="20"/>
        </w:rPr>
        <w:footnoteRef/>
      </w:r>
      <w:r w:rsidRPr="00E6190C">
        <w:rPr>
          <w:rFonts w:cs="Arial"/>
          <w:b/>
          <w:i/>
          <w:sz w:val="20"/>
        </w:rPr>
        <w:t xml:space="preserve"> Refer to ADC 1095, Enhanced Guidance for submitting SDRs for IUID Discrepancies. The target date for system edits to enforce appropriate discrepancy reporting based upon the FLIS IUID indicator is December 2015.</w:t>
      </w:r>
    </w:p>
  </w:footnote>
  <w:footnote w:id="14">
    <w:p w14:paraId="75417D1D" w14:textId="77777777" w:rsidR="00E6190C" w:rsidRPr="00E6190C" w:rsidRDefault="00E6190C" w:rsidP="00E6190C">
      <w:pPr>
        <w:pStyle w:val="FootnoteText"/>
        <w:ind w:right="-90"/>
        <w:rPr>
          <w:rFonts w:cs="Arial"/>
          <w:b/>
          <w:i/>
        </w:rPr>
      </w:pPr>
      <w:r w:rsidRPr="00E6190C">
        <w:rPr>
          <w:rStyle w:val="FootnoteReference"/>
          <w:rFonts w:cs="Arial"/>
          <w:b/>
          <w:i/>
        </w:rPr>
        <w:footnoteRef/>
      </w:r>
      <w:r w:rsidRPr="00E6190C">
        <w:rPr>
          <w:rFonts w:cs="Arial"/>
          <w:b/>
          <w:i/>
        </w:rPr>
        <w:t xml:space="preserve"> Draft PDC 1045 under development documenting IUID requirements for Storage Quality Control Report/Reply.</w:t>
      </w:r>
    </w:p>
  </w:footnote>
  <w:footnote w:id="15">
    <w:p w14:paraId="6C69AB8E" w14:textId="77777777" w:rsidR="00E6190C" w:rsidRPr="00E6190C" w:rsidRDefault="00E6190C" w:rsidP="00E6190C">
      <w:pPr>
        <w:pStyle w:val="FootnoteText"/>
        <w:rPr>
          <w:rFonts w:cs="Arial"/>
          <w:b/>
          <w:i/>
        </w:rPr>
      </w:pPr>
      <w:r w:rsidRPr="00E6190C">
        <w:rPr>
          <w:rStyle w:val="FootnoteReference"/>
          <w:rFonts w:cs="Arial"/>
          <w:b/>
          <w:i/>
        </w:rPr>
        <w:footnoteRef/>
      </w:r>
      <w:r w:rsidRPr="00E6190C">
        <w:rPr>
          <w:rFonts w:cs="Arial"/>
          <w:b/>
          <w:i/>
        </w:rPr>
        <w:t xml:space="preserve"> Ibid.</w:t>
      </w:r>
    </w:p>
  </w:footnote>
  <w:footnote w:id="16">
    <w:p w14:paraId="2CE767B0" w14:textId="77777777" w:rsidR="00E6190C" w:rsidRPr="00E6190C" w:rsidRDefault="00E6190C" w:rsidP="00E6190C">
      <w:pPr>
        <w:autoSpaceDE w:val="0"/>
        <w:autoSpaceDN w:val="0"/>
        <w:adjustRightInd w:val="0"/>
        <w:rPr>
          <w:rFonts w:cs="Arial"/>
          <w:b/>
          <w:bCs/>
          <w:i/>
          <w:sz w:val="20"/>
        </w:rPr>
      </w:pPr>
      <w:r w:rsidRPr="00E6190C">
        <w:rPr>
          <w:rStyle w:val="FootnoteReference"/>
          <w:rFonts w:cs="Arial"/>
          <w:b/>
          <w:i/>
          <w:sz w:val="20"/>
        </w:rPr>
        <w:footnoteRef/>
      </w:r>
      <w:r w:rsidRPr="00E6190C">
        <w:rPr>
          <w:rFonts w:cs="Arial"/>
          <w:b/>
          <w:i/>
          <w:sz w:val="20"/>
        </w:rPr>
        <w:t xml:space="preserve"> Refer to ADC 1007, </w:t>
      </w:r>
      <w:r w:rsidRPr="00E6190C">
        <w:rPr>
          <w:rFonts w:cs="Arial"/>
          <w:b/>
          <w:bCs/>
          <w:i/>
          <w:sz w:val="20"/>
        </w:rPr>
        <w:t>PQDR Data Exchange and Enhanced Exhibit Tracking via Standard Logistics Transactions</w:t>
      </w:r>
      <w:r w:rsidRPr="00E6190C">
        <w:rPr>
          <w:rFonts w:cs="Arial"/>
          <w:b/>
          <w:i/>
          <w:sz w:val="20"/>
        </w:rPr>
        <w:t>.  ADC 1007 established a DLMS transaction for the PQDR and supports IUID functionality.</w:t>
      </w:r>
    </w:p>
  </w:footnote>
  <w:footnote w:id="17">
    <w:p w14:paraId="4481A394" w14:textId="77777777" w:rsidR="00E6190C" w:rsidRPr="00E6190C" w:rsidRDefault="00E6190C" w:rsidP="00E6190C">
      <w:pPr>
        <w:pStyle w:val="FootnoteText"/>
      </w:pPr>
      <w:r w:rsidRPr="00E6190C">
        <w:rPr>
          <w:rStyle w:val="FootnoteReference"/>
          <w:b/>
          <w:i/>
        </w:rPr>
        <w:footnoteRef/>
      </w:r>
      <w:r w:rsidRPr="00E6190C">
        <w:t xml:space="preserve"> </w:t>
      </w:r>
      <w:r w:rsidRPr="00E6190C">
        <w:rPr>
          <w:rFonts w:cs="Arial"/>
          <w:b/>
          <w:i/>
        </w:rPr>
        <w:t>Refer to ADC 129, New DLMS Supplement for DLMS ASN Following Federal IC 856, Shipment Notice/Manifest</w:t>
      </w:r>
    </w:p>
  </w:footnote>
  <w:footnote w:id="18">
    <w:p w14:paraId="3C6D3A09" w14:textId="77777777" w:rsidR="00E6190C" w:rsidRPr="00E6190C" w:rsidRDefault="00E6190C" w:rsidP="00E6190C">
      <w:pPr>
        <w:pStyle w:val="FootnoteText"/>
        <w:rPr>
          <w:rFonts w:cs="Arial"/>
          <w:b/>
          <w:i/>
        </w:rPr>
      </w:pPr>
      <w:r w:rsidRPr="00E6190C">
        <w:rPr>
          <w:rStyle w:val="FootnoteReference"/>
          <w:rFonts w:cs="Arial"/>
          <w:b/>
          <w:i/>
        </w:rPr>
        <w:footnoteRef/>
      </w:r>
      <w:r w:rsidRPr="00E6190C">
        <w:rPr>
          <w:rFonts w:cs="Arial"/>
          <w:b/>
          <w:i/>
        </w:rPr>
        <w:t xml:space="preserve"> Refer to ADC 1071, Implementation of DOD IUID Supply Policy in Version 4030 DLMS 856R Shipment Status Materiel Returns. Approved for staggered implementation no later than December 2017.</w:t>
      </w:r>
    </w:p>
  </w:footnote>
  <w:footnote w:id="19">
    <w:p w14:paraId="455839DF" w14:textId="77777777" w:rsidR="00E6190C" w:rsidRPr="00E6190C" w:rsidRDefault="00E6190C" w:rsidP="00E6190C">
      <w:pPr>
        <w:pStyle w:val="FootnoteText"/>
        <w:ind w:right="180"/>
        <w:rPr>
          <w:rFonts w:cs="Arial"/>
          <w:b/>
          <w:i/>
        </w:rPr>
      </w:pPr>
      <w:r w:rsidRPr="00E6190C">
        <w:rPr>
          <w:rStyle w:val="FootnoteReference"/>
          <w:rFonts w:cs="Arial"/>
          <w:b/>
          <w:i/>
        </w:rPr>
        <w:footnoteRef/>
      </w:r>
      <w:r w:rsidRPr="00E6190C">
        <w:rPr>
          <w:rFonts w:cs="Arial"/>
          <w:b/>
          <w:i/>
        </w:rPr>
        <w:t xml:space="preserve"> Refer to ADC1030, Implementation of UID in the DLMS Shipment Status Supporting DOD IUID Supply Procedures and Associated SDR Procedures. Approved for staggered implementation no later than December 2015.</w:t>
      </w:r>
    </w:p>
  </w:footnote>
  <w:footnote w:id="20">
    <w:p w14:paraId="64B0E83E" w14:textId="77777777" w:rsidR="00E6190C" w:rsidRPr="00E6190C" w:rsidRDefault="00E6190C" w:rsidP="00E6190C">
      <w:pPr>
        <w:pStyle w:val="FootnoteText"/>
      </w:pPr>
      <w:r w:rsidRPr="00E6190C">
        <w:rPr>
          <w:rStyle w:val="FootnoteReference"/>
          <w:b/>
          <w:i/>
        </w:rPr>
        <w:footnoteRef/>
      </w:r>
      <w:r w:rsidRPr="00E6190C">
        <w:rPr>
          <w:b/>
          <w:i/>
        </w:rPr>
        <w:t xml:space="preserve"> </w:t>
      </w:r>
      <w:r w:rsidRPr="00E6190C">
        <w:rPr>
          <w:rFonts w:cs="Arial"/>
          <w:b/>
          <w:i/>
        </w:rPr>
        <w:t>Refer to ADC 132, DS for Acceptance Report for Unique Identification (UID) and New Shipment/ Acceptance Discrepancy</w:t>
      </w:r>
    </w:p>
  </w:footnote>
  <w:footnote w:id="21">
    <w:p w14:paraId="71CA7042" w14:textId="77777777" w:rsidR="00E6190C" w:rsidRPr="00E6190C" w:rsidRDefault="00E6190C" w:rsidP="00E6190C">
      <w:pPr>
        <w:pStyle w:val="PlainText"/>
        <w:rPr>
          <w:rFonts w:ascii="Arial" w:hAnsi="Arial" w:cs="Arial"/>
          <w:b/>
          <w:i/>
          <w:sz w:val="20"/>
          <w:szCs w:val="20"/>
        </w:rPr>
      </w:pPr>
      <w:r w:rsidRPr="00E6190C">
        <w:rPr>
          <w:rStyle w:val="FootnoteReference"/>
          <w:rFonts w:ascii="Arial" w:hAnsi="Arial" w:cs="Arial"/>
          <w:b/>
          <w:i/>
          <w:sz w:val="20"/>
          <w:szCs w:val="20"/>
        </w:rPr>
        <w:footnoteRef/>
      </w:r>
      <w:r w:rsidRPr="00E6190C">
        <w:rPr>
          <w:rFonts w:ascii="Arial" w:hAnsi="Arial" w:cs="Arial"/>
          <w:b/>
          <w:i/>
          <w:sz w:val="20"/>
          <w:szCs w:val="20"/>
        </w:rPr>
        <w:t xml:space="preserve"> Refer to ADC 1073, Implementation of IUID in the DLMS 940R/945A Supporting the Supply-Transportation Interface; Creation of New DLMS 945A Implementation Convention (IC) Version 4030; Administrative Update to the DLMS 945A IC Version 4010 (Supply/Transportation/IUID).  ADC 1073 addresses very limited implementation of UII in the 940R/945A, in response to a gap within Air Force retail supply-transportation interchange to exchange UII data in the 940R/ 945A so that USAF system can pass the UII on the 856S with the applicable TCN assigned by transportation.  This ADC targets Air Force so they can implement ADC 1030; staggered implementation for December 2017.  </w:t>
      </w:r>
    </w:p>
  </w:footnote>
  <w:footnote w:id="22">
    <w:p w14:paraId="7E4176BB" w14:textId="77777777" w:rsidR="00E6190C" w:rsidRPr="00E6190C" w:rsidRDefault="00E6190C" w:rsidP="00E6190C">
      <w:pPr>
        <w:pStyle w:val="FootnoteText"/>
        <w:rPr>
          <w:b/>
          <w:i/>
        </w:rPr>
      </w:pPr>
      <w:r w:rsidRPr="00E6190C">
        <w:rPr>
          <w:rStyle w:val="FootnoteReference"/>
          <w:rFonts w:cs="Arial"/>
          <w:b/>
          <w:i/>
        </w:rPr>
        <w:footnoteRef/>
      </w:r>
      <w:r w:rsidRPr="00E6190C">
        <w:rPr>
          <w:rFonts w:cs="Arial"/>
          <w:b/>
          <w:i/>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86F79" w14:textId="46794687" w:rsidR="00365F78" w:rsidRPr="005E2838" w:rsidRDefault="00365F78" w:rsidP="00AE734E">
    <w:pPr>
      <w:pStyle w:val="Header"/>
      <w:tabs>
        <w:tab w:val="clear" w:pos="4320"/>
        <w:tab w:val="clear" w:pos="8640"/>
      </w:tabs>
      <w:jc w:val="right"/>
      <w:rPr>
        <w:i/>
        <w:u w:val="none"/>
      </w:rPr>
    </w:pPr>
    <w:r w:rsidRPr="005E2838">
      <w:rPr>
        <w:i/>
        <w:u w:val="none"/>
      </w:rPr>
      <w:t>DLM 4000.25</w:t>
    </w:r>
    <w:r w:rsidR="00D462A3" w:rsidRPr="005E2838">
      <w:rPr>
        <w:i/>
        <w:u w:val="none"/>
      </w:rPr>
      <w:t>,</w:t>
    </w:r>
    <w:r w:rsidRPr="005E2838">
      <w:rPr>
        <w:i/>
        <w:u w:val="none"/>
      </w:rPr>
      <w:t xml:space="preserve"> Volume 2, </w:t>
    </w:r>
    <w:r w:rsidR="00CD17B7" w:rsidRPr="00CD17B7">
      <w:rPr>
        <w:i/>
        <w:u w:val="none"/>
      </w:rPr>
      <w:t>June 16, 2015</w:t>
    </w:r>
  </w:p>
  <w:p w14:paraId="3AEC42F9" w14:textId="5BB63591" w:rsidR="005E2838" w:rsidRPr="005E2838" w:rsidRDefault="005E2838" w:rsidP="00AE734E">
    <w:pPr>
      <w:pStyle w:val="Header"/>
      <w:tabs>
        <w:tab w:val="clear" w:pos="4320"/>
        <w:tab w:val="clear" w:pos="8640"/>
      </w:tabs>
      <w:jc w:val="right"/>
      <w:rPr>
        <w:i/>
        <w:u w:val="none"/>
      </w:rPr>
    </w:pPr>
    <w:r w:rsidRPr="005E2838">
      <w:rPr>
        <w:i/>
        <w:u w:val="none"/>
      </w:rPr>
      <w:t>Change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05"/>
    <w:rsid w:val="00015B7C"/>
    <w:rsid w:val="000352C2"/>
    <w:rsid w:val="00041030"/>
    <w:rsid w:val="00066903"/>
    <w:rsid w:val="0009713C"/>
    <w:rsid w:val="000A5699"/>
    <w:rsid w:val="000A6341"/>
    <w:rsid w:val="000F527A"/>
    <w:rsid w:val="001730F9"/>
    <w:rsid w:val="001F1A7C"/>
    <w:rsid w:val="001F6911"/>
    <w:rsid w:val="0026652C"/>
    <w:rsid w:val="0034033A"/>
    <w:rsid w:val="003459AD"/>
    <w:rsid w:val="00365F78"/>
    <w:rsid w:val="003E286F"/>
    <w:rsid w:val="00462243"/>
    <w:rsid w:val="00482875"/>
    <w:rsid w:val="004A53EF"/>
    <w:rsid w:val="004E51F3"/>
    <w:rsid w:val="005C5E4D"/>
    <w:rsid w:val="005E2838"/>
    <w:rsid w:val="00654474"/>
    <w:rsid w:val="00675D63"/>
    <w:rsid w:val="006B0095"/>
    <w:rsid w:val="006B253C"/>
    <w:rsid w:val="006C7A77"/>
    <w:rsid w:val="00716F20"/>
    <w:rsid w:val="00782548"/>
    <w:rsid w:val="007A1203"/>
    <w:rsid w:val="007C2105"/>
    <w:rsid w:val="007C2AEF"/>
    <w:rsid w:val="00877C62"/>
    <w:rsid w:val="009011F1"/>
    <w:rsid w:val="00903F71"/>
    <w:rsid w:val="009360D2"/>
    <w:rsid w:val="00953B98"/>
    <w:rsid w:val="009C0B4A"/>
    <w:rsid w:val="00A160FE"/>
    <w:rsid w:val="00A17230"/>
    <w:rsid w:val="00A72383"/>
    <w:rsid w:val="00AA265D"/>
    <w:rsid w:val="00AB535B"/>
    <w:rsid w:val="00AE734E"/>
    <w:rsid w:val="00B37426"/>
    <w:rsid w:val="00B846A8"/>
    <w:rsid w:val="00C050B0"/>
    <w:rsid w:val="00C17EBB"/>
    <w:rsid w:val="00C21DF4"/>
    <w:rsid w:val="00C37D17"/>
    <w:rsid w:val="00C63C52"/>
    <w:rsid w:val="00C67931"/>
    <w:rsid w:val="00CD17B7"/>
    <w:rsid w:val="00CF55A4"/>
    <w:rsid w:val="00D125A5"/>
    <w:rsid w:val="00D462A3"/>
    <w:rsid w:val="00D67DEC"/>
    <w:rsid w:val="00DA5512"/>
    <w:rsid w:val="00DB08AB"/>
    <w:rsid w:val="00DD24CA"/>
    <w:rsid w:val="00DF3CB4"/>
    <w:rsid w:val="00E6190C"/>
    <w:rsid w:val="00EC4EE2"/>
    <w:rsid w:val="00F10182"/>
    <w:rsid w:val="00FD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05"/>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7C2105"/>
    <w:pPr>
      <w:tabs>
        <w:tab w:val="left" w:pos="540"/>
        <w:tab w:val="left" w:pos="1080"/>
      </w:tabs>
      <w:spacing w:after="240"/>
      <w:outlineLvl w:val="1"/>
    </w:pPr>
  </w:style>
  <w:style w:type="paragraph" w:styleId="Heading3">
    <w:name w:val="heading 3"/>
    <w:basedOn w:val="Normal"/>
    <w:link w:val="Heading3Char"/>
    <w:autoRedefine/>
    <w:uiPriority w:val="9"/>
    <w:qFormat/>
    <w:rsid w:val="007C2105"/>
    <w:pPr>
      <w:tabs>
        <w:tab w:val="left" w:pos="540"/>
        <w:tab w:val="left" w:pos="1080"/>
      </w:tabs>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105"/>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7C2105"/>
    <w:rPr>
      <w:rFonts w:ascii="Arial" w:eastAsia="Times New Roman" w:hAnsi="Arial" w:cs="Times New Roman"/>
      <w:sz w:val="24"/>
      <w:szCs w:val="20"/>
    </w:rPr>
  </w:style>
  <w:style w:type="character" w:styleId="FootnoteReference">
    <w:name w:val="footnote reference"/>
    <w:uiPriority w:val="99"/>
    <w:semiHidden/>
    <w:rsid w:val="007C2105"/>
    <w:rPr>
      <w:rFonts w:cs="Times New Roman"/>
      <w:vertAlign w:val="superscript"/>
    </w:rPr>
  </w:style>
  <w:style w:type="character" w:styleId="PageNumber">
    <w:name w:val="page number"/>
    <w:uiPriority w:val="99"/>
    <w:rsid w:val="007C2105"/>
    <w:rPr>
      <w:rFonts w:ascii="Arial" w:hAnsi="Arial" w:cs="Times New Roman"/>
      <w:b/>
      <w:sz w:val="24"/>
    </w:rPr>
  </w:style>
  <w:style w:type="paragraph" w:styleId="Footer">
    <w:name w:val="footer"/>
    <w:basedOn w:val="Normal"/>
    <w:link w:val="FooterChar"/>
    <w:uiPriority w:val="99"/>
    <w:rsid w:val="007C2105"/>
    <w:pPr>
      <w:tabs>
        <w:tab w:val="center" w:pos="4320"/>
        <w:tab w:val="right" w:pos="8640"/>
      </w:tabs>
    </w:pPr>
  </w:style>
  <w:style w:type="character" w:customStyle="1" w:styleId="FooterChar">
    <w:name w:val="Footer Char"/>
    <w:basedOn w:val="DefaultParagraphFont"/>
    <w:link w:val="Footer"/>
    <w:uiPriority w:val="99"/>
    <w:rsid w:val="007C2105"/>
    <w:rPr>
      <w:rFonts w:ascii="Arial" w:eastAsia="Times New Roman" w:hAnsi="Arial" w:cs="Times New Roman"/>
      <w:sz w:val="24"/>
      <w:szCs w:val="20"/>
    </w:rPr>
  </w:style>
  <w:style w:type="paragraph" w:styleId="Header">
    <w:name w:val="header"/>
    <w:basedOn w:val="Normal"/>
    <w:link w:val="HeaderChar"/>
    <w:uiPriority w:val="99"/>
    <w:rsid w:val="007C2105"/>
    <w:pPr>
      <w:tabs>
        <w:tab w:val="center" w:pos="4320"/>
        <w:tab w:val="right" w:pos="8640"/>
      </w:tabs>
      <w:jc w:val="center"/>
    </w:pPr>
    <w:rPr>
      <w:u w:val="single"/>
    </w:rPr>
  </w:style>
  <w:style w:type="character" w:customStyle="1" w:styleId="HeaderChar">
    <w:name w:val="Header Char"/>
    <w:basedOn w:val="DefaultParagraphFont"/>
    <w:link w:val="Header"/>
    <w:uiPriority w:val="99"/>
    <w:rsid w:val="007C2105"/>
    <w:rPr>
      <w:rFonts w:ascii="Arial" w:eastAsia="Times New Roman" w:hAnsi="Arial" w:cs="Times New Roman"/>
      <w:sz w:val="24"/>
      <w:szCs w:val="20"/>
      <w:u w:val="single"/>
    </w:rPr>
  </w:style>
  <w:style w:type="paragraph" w:styleId="FootnoteText">
    <w:name w:val="footnote text"/>
    <w:basedOn w:val="Normal"/>
    <w:link w:val="FootnoteTextChar"/>
    <w:uiPriority w:val="99"/>
    <w:semiHidden/>
    <w:rsid w:val="007C2105"/>
    <w:rPr>
      <w:sz w:val="20"/>
    </w:rPr>
  </w:style>
  <w:style w:type="character" w:customStyle="1" w:styleId="FootnoteTextChar">
    <w:name w:val="Footnote Text Char"/>
    <w:basedOn w:val="DefaultParagraphFont"/>
    <w:link w:val="FootnoteText"/>
    <w:uiPriority w:val="99"/>
    <w:semiHidden/>
    <w:rsid w:val="007C2105"/>
    <w:rPr>
      <w:rFonts w:ascii="Arial" w:eastAsia="Times New Roman" w:hAnsi="Arial" w:cs="Times New Roman"/>
      <w:sz w:val="20"/>
      <w:szCs w:val="20"/>
    </w:rPr>
  </w:style>
  <w:style w:type="character" w:styleId="Hyperlink">
    <w:name w:val="Hyperlink"/>
    <w:uiPriority w:val="99"/>
    <w:rsid w:val="007C2105"/>
    <w:rPr>
      <w:rFonts w:cs="Times New Roman"/>
      <w:color w:val="0000FF"/>
      <w:u w:val="single"/>
    </w:rPr>
  </w:style>
  <w:style w:type="character" w:styleId="CommentReference">
    <w:name w:val="annotation reference"/>
    <w:uiPriority w:val="99"/>
    <w:rsid w:val="007C2105"/>
    <w:rPr>
      <w:rFonts w:cs="Times New Roman"/>
      <w:sz w:val="16"/>
      <w:szCs w:val="16"/>
    </w:rPr>
  </w:style>
  <w:style w:type="paragraph" w:styleId="CommentText">
    <w:name w:val="annotation text"/>
    <w:basedOn w:val="Normal"/>
    <w:link w:val="CommentTextChar"/>
    <w:uiPriority w:val="99"/>
    <w:rsid w:val="007C2105"/>
    <w:rPr>
      <w:sz w:val="20"/>
    </w:rPr>
  </w:style>
  <w:style w:type="character" w:customStyle="1" w:styleId="CommentTextChar">
    <w:name w:val="Comment Text Char"/>
    <w:basedOn w:val="DefaultParagraphFont"/>
    <w:link w:val="CommentText"/>
    <w:uiPriority w:val="99"/>
    <w:rsid w:val="007C2105"/>
    <w:rPr>
      <w:rFonts w:ascii="Arial" w:eastAsia="Times New Roman" w:hAnsi="Arial" w:cs="Times New Roman"/>
      <w:sz w:val="20"/>
      <w:szCs w:val="20"/>
    </w:rPr>
  </w:style>
  <w:style w:type="character" w:customStyle="1" w:styleId="st1">
    <w:name w:val="st1"/>
    <w:rsid w:val="007C2105"/>
  </w:style>
  <w:style w:type="paragraph" w:styleId="BalloonText">
    <w:name w:val="Balloon Text"/>
    <w:basedOn w:val="Normal"/>
    <w:link w:val="BalloonTextChar"/>
    <w:uiPriority w:val="99"/>
    <w:semiHidden/>
    <w:unhideWhenUsed/>
    <w:rsid w:val="007C2105"/>
    <w:rPr>
      <w:rFonts w:ascii="Tahoma" w:hAnsi="Tahoma" w:cs="Tahoma"/>
      <w:sz w:val="16"/>
      <w:szCs w:val="16"/>
    </w:rPr>
  </w:style>
  <w:style w:type="character" w:customStyle="1" w:styleId="BalloonTextChar">
    <w:name w:val="Balloon Text Char"/>
    <w:basedOn w:val="DefaultParagraphFont"/>
    <w:link w:val="BalloonText"/>
    <w:uiPriority w:val="99"/>
    <w:semiHidden/>
    <w:rsid w:val="007C210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E734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2243"/>
    <w:rPr>
      <w:b/>
      <w:bCs/>
    </w:rPr>
  </w:style>
  <w:style w:type="character" w:customStyle="1" w:styleId="CommentSubjectChar">
    <w:name w:val="Comment Subject Char"/>
    <w:basedOn w:val="CommentTextChar"/>
    <w:link w:val="CommentSubject"/>
    <w:uiPriority w:val="99"/>
    <w:semiHidden/>
    <w:rsid w:val="00462243"/>
    <w:rPr>
      <w:rFonts w:ascii="Arial" w:eastAsia="Times New Roman" w:hAnsi="Arial" w:cs="Times New Roman"/>
      <w:b/>
      <w:bCs/>
      <w:sz w:val="20"/>
      <w:szCs w:val="20"/>
    </w:rPr>
  </w:style>
  <w:style w:type="paragraph" w:styleId="Revision">
    <w:name w:val="Revision"/>
    <w:hidden/>
    <w:uiPriority w:val="99"/>
    <w:semiHidden/>
    <w:rsid w:val="00462243"/>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E6190C"/>
    <w:rPr>
      <w:rFonts w:ascii="Consolas" w:hAnsi="Consolas" w:cs="Consolas"/>
      <w:sz w:val="21"/>
      <w:szCs w:val="21"/>
    </w:rPr>
  </w:style>
  <w:style w:type="character" w:customStyle="1" w:styleId="PlainTextChar">
    <w:name w:val="Plain Text Char"/>
    <w:basedOn w:val="DefaultParagraphFont"/>
    <w:link w:val="PlainText"/>
    <w:uiPriority w:val="99"/>
    <w:semiHidden/>
    <w:rsid w:val="00E6190C"/>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05"/>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7C2105"/>
    <w:pPr>
      <w:tabs>
        <w:tab w:val="left" w:pos="540"/>
        <w:tab w:val="left" w:pos="1080"/>
      </w:tabs>
      <w:spacing w:after="240"/>
      <w:outlineLvl w:val="1"/>
    </w:pPr>
  </w:style>
  <w:style w:type="paragraph" w:styleId="Heading3">
    <w:name w:val="heading 3"/>
    <w:basedOn w:val="Normal"/>
    <w:link w:val="Heading3Char"/>
    <w:autoRedefine/>
    <w:uiPriority w:val="9"/>
    <w:qFormat/>
    <w:rsid w:val="007C2105"/>
    <w:pPr>
      <w:tabs>
        <w:tab w:val="left" w:pos="540"/>
        <w:tab w:val="left" w:pos="1080"/>
      </w:tabs>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105"/>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7C2105"/>
    <w:rPr>
      <w:rFonts w:ascii="Arial" w:eastAsia="Times New Roman" w:hAnsi="Arial" w:cs="Times New Roman"/>
      <w:sz w:val="24"/>
      <w:szCs w:val="20"/>
    </w:rPr>
  </w:style>
  <w:style w:type="character" w:styleId="FootnoteReference">
    <w:name w:val="footnote reference"/>
    <w:uiPriority w:val="99"/>
    <w:semiHidden/>
    <w:rsid w:val="007C2105"/>
    <w:rPr>
      <w:rFonts w:cs="Times New Roman"/>
      <w:vertAlign w:val="superscript"/>
    </w:rPr>
  </w:style>
  <w:style w:type="character" w:styleId="PageNumber">
    <w:name w:val="page number"/>
    <w:uiPriority w:val="99"/>
    <w:rsid w:val="007C2105"/>
    <w:rPr>
      <w:rFonts w:ascii="Arial" w:hAnsi="Arial" w:cs="Times New Roman"/>
      <w:b/>
      <w:sz w:val="24"/>
    </w:rPr>
  </w:style>
  <w:style w:type="paragraph" w:styleId="Footer">
    <w:name w:val="footer"/>
    <w:basedOn w:val="Normal"/>
    <w:link w:val="FooterChar"/>
    <w:uiPriority w:val="99"/>
    <w:rsid w:val="007C2105"/>
    <w:pPr>
      <w:tabs>
        <w:tab w:val="center" w:pos="4320"/>
        <w:tab w:val="right" w:pos="8640"/>
      </w:tabs>
    </w:pPr>
  </w:style>
  <w:style w:type="character" w:customStyle="1" w:styleId="FooterChar">
    <w:name w:val="Footer Char"/>
    <w:basedOn w:val="DefaultParagraphFont"/>
    <w:link w:val="Footer"/>
    <w:uiPriority w:val="99"/>
    <w:rsid w:val="007C2105"/>
    <w:rPr>
      <w:rFonts w:ascii="Arial" w:eastAsia="Times New Roman" w:hAnsi="Arial" w:cs="Times New Roman"/>
      <w:sz w:val="24"/>
      <w:szCs w:val="20"/>
    </w:rPr>
  </w:style>
  <w:style w:type="paragraph" w:styleId="Header">
    <w:name w:val="header"/>
    <w:basedOn w:val="Normal"/>
    <w:link w:val="HeaderChar"/>
    <w:uiPriority w:val="99"/>
    <w:rsid w:val="007C2105"/>
    <w:pPr>
      <w:tabs>
        <w:tab w:val="center" w:pos="4320"/>
        <w:tab w:val="right" w:pos="8640"/>
      </w:tabs>
      <w:jc w:val="center"/>
    </w:pPr>
    <w:rPr>
      <w:u w:val="single"/>
    </w:rPr>
  </w:style>
  <w:style w:type="character" w:customStyle="1" w:styleId="HeaderChar">
    <w:name w:val="Header Char"/>
    <w:basedOn w:val="DefaultParagraphFont"/>
    <w:link w:val="Header"/>
    <w:uiPriority w:val="99"/>
    <w:rsid w:val="007C2105"/>
    <w:rPr>
      <w:rFonts w:ascii="Arial" w:eastAsia="Times New Roman" w:hAnsi="Arial" w:cs="Times New Roman"/>
      <w:sz w:val="24"/>
      <w:szCs w:val="20"/>
      <w:u w:val="single"/>
    </w:rPr>
  </w:style>
  <w:style w:type="paragraph" w:styleId="FootnoteText">
    <w:name w:val="footnote text"/>
    <w:basedOn w:val="Normal"/>
    <w:link w:val="FootnoteTextChar"/>
    <w:uiPriority w:val="99"/>
    <w:semiHidden/>
    <w:rsid w:val="007C2105"/>
    <w:rPr>
      <w:sz w:val="20"/>
    </w:rPr>
  </w:style>
  <w:style w:type="character" w:customStyle="1" w:styleId="FootnoteTextChar">
    <w:name w:val="Footnote Text Char"/>
    <w:basedOn w:val="DefaultParagraphFont"/>
    <w:link w:val="FootnoteText"/>
    <w:uiPriority w:val="99"/>
    <w:semiHidden/>
    <w:rsid w:val="007C2105"/>
    <w:rPr>
      <w:rFonts w:ascii="Arial" w:eastAsia="Times New Roman" w:hAnsi="Arial" w:cs="Times New Roman"/>
      <w:sz w:val="20"/>
      <w:szCs w:val="20"/>
    </w:rPr>
  </w:style>
  <w:style w:type="character" w:styleId="Hyperlink">
    <w:name w:val="Hyperlink"/>
    <w:uiPriority w:val="99"/>
    <w:rsid w:val="007C2105"/>
    <w:rPr>
      <w:rFonts w:cs="Times New Roman"/>
      <w:color w:val="0000FF"/>
      <w:u w:val="single"/>
    </w:rPr>
  </w:style>
  <w:style w:type="character" w:styleId="CommentReference">
    <w:name w:val="annotation reference"/>
    <w:uiPriority w:val="99"/>
    <w:rsid w:val="007C2105"/>
    <w:rPr>
      <w:rFonts w:cs="Times New Roman"/>
      <w:sz w:val="16"/>
      <w:szCs w:val="16"/>
    </w:rPr>
  </w:style>
  <w:style w:type="paragraph" w:styleId="CommentText">
    <w:name w:val="annotation text"/>
    <w:basedOn w:val="Normal"/>
    <w:link w:val="CommentTextChar"/>
    <w:uiPriority w:val="99"/>
    <w:rsid w:val="007C2105"/>
    <w:rPr>
      <w:sz w:val="20"/>
    </w:rPr>
  </w:style>
  <w:style w:type="character" w:customStyle="1" w:styleId="CommentTextChar">
    <w:name w:val="Comment Text Char"/>
    <w:basedOn w:val="DefaultParagraphFont"/>
    <w:link w:val="CommentText"/>
    <w:uiPriority w:val="99"/>
    <w:rsid w:val="007C2105"/>
    <w:rPr>
      <w:rFonts w:ascii="Arial" w:eastAsia="Times New Roman" w:hAnsi="Arial" w:cs="Times New Roman"/>
      <w:sz w:val="20"/>
      <w:szCs w:val="20"/>
    </w:rPr>
  </w:style>
  <w:style w:type="character" w:customStyle="1" w:styleId="st1">
    <w:name w:val="st1"/>
    <w:rsid w:val="007C2105"/>
  </w:style>
  <w:style w:type="paragraph" w:styleId="BalloonText">
    <w:name w:val="Balloon Text"/>
    <w:basedOn w:val="Normal"/>
    <w:link w:val="BalloonTextChar"/>
    <w:uiPriority w:val="99"/>
    <w:semiHidden/>
    <w:unhideWhenUsed/>
    <w:rsid w:val="007C2105"/>
    <w:rPr>
      <w:rFonts w:ascii="Tahoma" w:hAnsi="Tahoma" w:cs="Tahoma"/>
      <w:sz w:val="16"/>
      <w:szCs w:val="16"/>
    </w:rPr>
  </w:style>
  <w:style w:type="character" w:customStyle="1" w:styleId="BalloonTextChar">
    <w:name w:val="Balloon Text Char"/>
    <w:basedOn w:val="DefaultParagraphFont"/>
    <w:link w:val="BalloonText"/>
    <w:uiPriority w:val="99"/>
    <w:semiHidden/>
    <w:rsid w:val="007C210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E734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2243"/>
    <w:rPr>
      <w:b/>
      <w:bCs/>
    </w:rPr>
  </w:style>
  <w:style w:type="character" w:customStyle="1" w:styleId="CommentSubjectChar">
    <w:name w:val="Comment Subject Char"/>
    <w:basedOn w:val="CommentTextChar"/>
    <w:link w:val="CommentSubject"/>
    <w:uiPriority w:val="99"/>
    <w:semiHidden/>
    <w:rsid w:val="00462243"/>
    <w:rPr>
      <w:rFonts w:ascii="Arial" w:eastAsia="Times New Roman" w:hAnsi="Arial" w:cs="Times New Roman"/>
      <w:b/>
      <w:bCs/>
      <w:sz w:val="20"/>
      <w:szCs w:val="20"/>
    </w:rPr>
  </w:style>
  <w:style w:type="paragraph" w:styleId="Revision">
    <w:name w:val="Revision"/>
    <w:hidden/>
    <w:uiPriority w:val="99"/>
    <w:semiHidden/>
    <w:rsid w:val="00462243"/>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E6190C"/>
    <w:rPr>
      <w:rFonts w:ascii="Consolas" w:hAnsi="Consolas" w:cs="Consolas"/>
      <w:sz w:val="21"/>
      <w:szCs w:val="21"/>
    </w:rPr>
  </w:style>
  <w:style w:type="character" w:customStyle="1" w:styleId="PlainTextChar">
    <w:name w:val="Plain Text Char"/>
    <w:basedOn w:val="DefaultParagraphFont"/>
    <w:link w:val="PlainText"/>
    <w:uiPriority w:val="99"/>
    <w:semiHidden/>
    <w:rsid w:val="00E6190C"/>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7616">
      <w:bodyDiv w:val="1"/>
      <w:marLeft w:val="0"/>
      <w:marRight w:val="0"/>
      <w:marTop w:val="0"/>
      <w:marBottom w:val="0"/>
      <w:divBdr>
        <w:top w:val="none" w:sz="0" w:space="0" w:color="auto"/>
        <w:left w:val="none" w:sz="0" w:space="0" w:color="auto"/>
        <w:bottom w:val="none" w:sz="0" w:space="0" w:color="auto"/>
        <w:right w:val="none" w:sz="0" w:space="0" w:color="auto"/>
      </w:divBdr>
    </w:div>
    <w:div w:id="1799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q.osd.mil/dpap/pdi/uid" TargetMode="External"/><Relationship Id="rId18" Type="http://schemas.openxmlformats.org/officeDocument/2006/relationships/hyperlink" Target="http://www.dlmso.dla.mil/elibrary/manuals/dlm/v2.a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LISRMDEPMO@dla.mil" TargetMode="External"/><Relationship Id="rId17" Type="http://schemas.openxmlformats.org/officeDocument/2006/relationships/hyperlink" Target="http://www.dlmso.dla.mil/elibrary/manuals/joint.asp" TargetMode="External"/><Relationship Id="rId2" Type="http://schemas.openxmlformats.org/officeDocument/2006/relationships/customXml" Target="../customXml/item2.xml"/><Relationship Id="rId16" Type="http://schemas.openxmlformats.org/officeDocument/2006/relationships/hyperlink" Target="http://www.dlmso.dla.mil/elibrary/Manuals/dlm/v3.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lmso.dla.mil/eLibrary/Manuals/regulations.asp" TargetMode="External"/><Relationship Id="rId5" Type="http://schemas.microsoft.com/office/2007/relationships/stylesWithEffects" Target="stylesWithEffects.xml"/><Relationship Id="rId15" Type="http://schemas.openxmlformats.org/officeDocument/2006/relationships/hyperlink" Target="http://www.dlmso.dla.mil/elibrary/Manuals/dlm/v2.asp" TargetMode="External"/><Relationship Id="rId23" Type="http://schemas.openxmlformats.org/officeDocument/2006/relationships/theme" Target="theme/theme1.xml"/><Relationship Id="rId10" Type="http://schemas.openxmlformats.org/officeDocument/2006/relationships/hyperlink" Target="http://www.dlmso.dla.mil/eLibrary/Manuals/regulations.as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lmso.dla.mil/elibrary/Manuals/dlm/v2.as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cq.osd.mil/dpap/pdi/uid" TargetMode="External"/><Relationship Id="rId2" Type="http://schemas.openxmlformats.org/officeDocument/2006/relationships/hyperlink" Target="http://www.dlmso.dla.mil/elibrary/manuals/milstds.asp" TargetMode="External"/><Relationship Id="rId1" Type="http://schemas.openxmlformats.org/officeDocument/2006/relationships/hyperlink" Target="http://www.acq.osd.mil/dpap/pdi/ui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1" ma:contentTypeDescription="Create a new document." ma:contentTypeScope="" ma:versionID="ea0fcafe3bdff2ad133db5adb84db052">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68F08-E12E-4B1D-89FB-8E7652080F70}">
  <ds:schemaRefs>
    <ds:schemaRef ds:uri="http://schemas.microsoft.com/office/2006/metadata/properties"/>
  </ds:schemaRefs>
</ds:datastoreItem>
</file>

<file path=customXml/itemProps2.xml><?xml version="1.0" encoding="utf-8"?>
<ds:datastoreItem xmlns:ds="http://schemas.openxmlformats.org/officeDocument/2006/customXml" ds:itemID="{F0E0122F-7B15-48B6-8F3D-C760C925C008}">
  <ds:schemaRefs>
    <ds:schemaRef ds:uri="http://schemas.microsoft.com/sharepoint/v3/contenttype/forms"/>
  </ds:schemaRefs>
</ds:datastoreItem>
</file>

<file path=customXml/itemProps3.xml><?xml version="1.0" encoding="utf-8"?>
<ds:datastoreItem xmlns:ds="http://schemas.openxmlformats.org/officeDocument/2006/customXml" ds:itemID="{B783447A-7511-4804-AFE4-99B2805E8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DEFB64DD.dotm</Template>
  <TotalTime>104</TotalTime>
  <Pages>12</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Chapter 19 - Unique Item Tracking</vt:lpstr>
    </vt:vector>
  </TitlesOfParts>
  <Company>Defense Logistics Agency</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19 - Unique Item Tracking</dc:title>
  <dc:creator>DLA Logistics Management Standards - HLM0034</dc:creator>
  <cp:lastModifiedBy>Nguyen, Bao DLA CTR INFORMATION OPERATIONS</cp:lastModifiedBy>
  <cp:revision>16</cp:revision>
  <cp:lastPrinted>2012-04-24T19:00:00Z</cp:lastPrinted>
  <dcterms:created xsi:type="dcterms:W3CDTF">2012-06-15T16:46:00Z</dcterms:created>
  <dcterms:modified xsi:type="dcterms:W3CDTF">2016-04-26T14:15:00Z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0x010100AFF116ADBD23054CA10BDD9362BC0353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36100</vt:r8>
  </property>
</Properties>
</file>