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C23" w:rsidRPr="003A6216" w:rsidRDefault="00002C23" w:rsidP="00002C23">
      <w:pPr>
        <w:pStyle w:val="PlainText"/>
        <w:jc w:val="center"/>
        <w:rPr>
          <w:rFonts w:ascii="Times New Roman" w:hAnsi="Times New Roman" w:cs="Times New Roman"/>
          <w:sz w:val="24"/>
          <w:szCs w:val="24"/>
          <w:u w:val="single"/>
        </w:rPr>
      </w:pPr>
      <w:bookmarkStart w:id="0" w:name="_GoBack"/>
      <w:bookmarkEnd w:id="0"/>
      <w:r w:rsidRPr="003A6216">
        <w:rPr>
          <w:rFonts w:ascii="Times New Roman" w:hAnsi="Times New Roman" w:cs="Times New Roman"/>
          <w:sz w:val="24"/>
          <w:szCs w:val="24"/>
          <w:u w:val="single"/>
        </w:rPr>
        <w:t>AF GEN III IPV Pre proposal questions and answers</w:t>
      </w:r>
      <w:r>
        <w:rPr>
          <w:rFonts w:ascii="Times New Roman" w:hAnsi="Times New Roman" w:cs="Times New Roman"/>
          <w:sz w:val="24"/>
          <w:szCs w:val="24"/>
          <w:u w:val="single"/>
        </w:rPr>
        <w:t xml:space="preserve"> #2</w:t>
      </w:r>
    </w:p>
    <w:p w:rsidR="00986124" w:rsidRDefault="00986124"/>
    <w:p w:rsidR="00B63DB2" w:rsidRDefault="00B63DB2" w:rsidP="00B63DB2">
      <w:pPr>
        <w:spacing w:after="0"/>
        <w:rPr>
          <w:rFonts w:cs="Times New Roman"/>
          <w:b/>
          <w:noProof/>
          <w:szCs w:val="24"/>
          <w:u w:val="single"/>
        </w:rPr>
      </w:pPr>
      <w:r>
        <w:rPr>
          <w:rFonts w:cs="Times New Roman"/>
          <w:b/>
          <w:noProof/>
          <w:szCs w:val="24"/>
          <w:u w:val="single"/>
        </w:rPr>
        <w:t>AUTOCRIB</w:t>
      </w:r>
    </w:p>
    <w:p w:rsidR="00B63DB2" w:rsidRPr="00F611BE" w:rsidRDefault="00B63DB2" w:rsidP="00B63DB2">
      <w:pPr>
        <w:pStyle w:val="PlainText"/>
        <w:rPr>
          <w:rFonts w:ascii="cd" w:hAnsi="cd" w:cs="Times New Roman"/>
          <w:sz w:val="24"/>
          <w:szCs w:val="24"/>
        </w:rPr>
      </w:pPr>
      <w:r w:rsidRPr="00760305">
        <w:rPr>
          <w:rFonts w:ascii="Times New Roman" w:hAnsi="Times New Roman" w:cs="Times New Roman"/>
          <w:sz w:val="24"/>
          <w:szCs w:val="24"/>
        </w:rPr>
        <w:t xml:space="preserve">Who will have admin rights in </w:t>
      </w:r>
      <w:proofErr w:type="spellStart"/>
      <w:r w:rsidRPr="00760305">
        <w:rPr>
          <w:rFonts w:ascii="Times New Roman" w:hAnsi="Times New Roman" w:cs="Times New Roman"/>
          <w:sz w:val="24"/>
          <w:szCs w:val="24"/>
        </w:rPr>
        <w:t>AutoCrib</w:t>
      </w:r>
      <w:proofErr w:type="spellEnd"/>
      <w:r w:rsidRPr="00760305">
        <w:rPr>
          <w:rFonts w:ascii="Times New Roman" w:hAnsi="Times New Roman" w:cs="Times New Roman"/>
          <w:sz w:val="24"/>
          <w:szCs w:val="24"/>
        </w:rPr>
        <w:t xml:space="preserve">? </w:t>
      </w:r>
    </w:p>
    <w:p w:rsidR="00B63DB2" w:rsidRDefault="00B63DB2" w:rsidP="00B63DB2">
      <w:pPr>
        <w:pStyle w:val="PlainText"/>
        <w:rPr>
          <w:rFonts w:ascii="Times New Roman" w:hAnsi="Times New Roman" w:cs="Times New Roman"/>
          <w:b/>
          <w:sz w:val="24"/>
          <w:szCs w:val="24"/>
        </w:rPr>
      </w:pPr>
      <w:r w:rsidRPr="00760305">
        <w:rPr>
          <w:rFonts w:ascii="Times New Roman" w:hAnsi="Times New Roman" w:cs="Times New Roman"/>
          <w:b/>
          <w:sz w:val="24"/>
          <w:szCs w:val="24"/>
        </w:rPr>
        <w:t>The Air Force POU office will hold full admin rights.  The Contractor will be assigned incremental roles below full admin rights—based on assigned responsibility. The incremental admin rights provided to the contractor will enable them to fully perform to the contract.</w:t>
      </w:r>
    </w:p>
    <w:p w:rsidR="00B63DB2" w:rsidRPr="003A6216" w:rsidRDefault="00B63DB2" w:rsidP="00B63DB2">
      <w:pPr>
        <w:pStyle w:val="PlainText"/>
        <w:rPr>
          <w:rFonts w:ascii="Times New Roman" w:hAnsi="Times New Roman" w:cs="Times New Roman"/>
          <w:sz w:val="24"/>
          <w:szCs w:val="24"/>
        </w:rPr>
      </w:pPr>
    </w:p>
    <w:p w:rsidR="00B63DB2" w:rsidRPr="00760305" w:rsidRDefault="00B63DB2" w:rsidP="00B63DB2">
      <w:pPr>
        <w:pStyle w:val="PlainText"/>
        <w:rPr>
          <w:rFonts w:ascii="Times New Roman" w:hAnsi="Times New Roman" w:cs="Times New Roman"/>
          <w:sz w:val="24"/>
          <w:szCs w:val="24"/>
        </w:rPr>
      </w:pPr>
      <w:r w:rsidRPr="00760305">
        <w:rPr>
          <w:rFonts w:ascii="Times New Roman" w:hAnsi="Times New Roman" w:cs="Times New Roman"/>
          <w:sz w:val="24"/>
          <w:szCs w:val="24"/>
        </w:rPr>
        <w:t xml:space="preserve">Who handles / investigates </w:t>
      </w:r>
      <w:proofErr w:type="spellStart"/>
      <w:r w:rsidRPr="00760305">
        <w:rPr>
          <w:rFonts w:ascii="Times New Roman" w:hAnsi="Times New Roman" w:cs="Times New Roman"/>
          <w:sz w:val="24"/>
          <w:szCs w:val="24"/>
        </w:rPr>
        <w:t>AutoCrib</w:t>
      </w:r>
      <w:proofErr w:type="spellEnd"/>
      <w:r w:rsidRPr="00760305">
        <w:rPr>
          <w:rFonts w:ascii="Times New Roman" w:hAnsi="Times New Roman" w:cs="Times New Roman"/>
          <w:sz w:val="24"/>
          <w:szCs w:val="24"/>
        </w:rPr>
        <w:t xml:space="preserve"> discrepancies at the sites (POU office, Contractor, AF on-site rep)? What is the process when a discrepancy is identified in </w:t>
      </w:r>
      <w:proofErr w:type="spellStart"/>
      <w:r w:rsidRPr="00760305">
        <w:rPr>
          <w:rFonts w:ascii="Times New Roman" w:hAnsi="Times New Roman" w:cs="Times New Roman"/>
          <w:sz w:val="24"/>
          <w:szCs w:val="24"/>
        </w:rPr>
        <w:t>AutoCrib</w:t>
      </w:r>
      <w:proofErr w:type="spellEnd"/>
      <w:r w:rsidRPr="00760305">
        <w:rPr>
          <w:rFonts w:ascii="Times New Roman" w:hAnsi="Times New Roman" w:cs="Times New Roman"/>
          <w:sz w:val="24"/>
          <w:szCs w:val="24"/>
        </w:rPr>
        <w:t>?</w:t>
      </w:r>
    </w:p>
    <w:p w:rsidR="00B63DB2" w:rsidRDefault="00B63DB2" w:rsidP="00B63DB2">
      <w:pPr>
        <w:pStyle w:val="PlainText"/>
        <w:rPr>
          <w:rFonts w:ascii="Times New Roman" w:hAnsi="Times New Roman" w:cs="Times New Roman"/>
          <w:b/>
          <w:color w:val="FF0000"/>
          <w:sz w:val="24"/>
          <w:szCs w:val="24"/>
        </w:rPr>
      </w:pPr>
      <w:r w:rsidRPr="00760305">
        <w:rPr>
          <w:rFonts w:ascii="Times New Roman" w:hAnsi="Times New Roman" w:cs="Times New Roman"/>
          <w:b/>
          <w:sz w:val="24"/>
          <w:szCs w:val="24"/>
        </w:rPr>
        <w:t>COR/POU Office/Vendor (based on assigned admin role) can clear discrepancies.  Investigations will be a COR function.  POU office will provide assistance to COR if requested for clarification of discrepancies.  Additionally, please refer to section 7.6 of the solicitation, page 99.</w:t>
      </w:r>
      <w:r w:rsidRPr="00760305">
        <w:rPr>
          <w:rFonts w:ascii="Times New Roman" w:hAnsi="Times New Roman" w:cs="Times New Roman"/>
          <w:b/>
          <w:color w:val="FF0000"/>
          <w:sz w:val="24"/>
          <w:szCs w:val="24"/>
        </w:rPr>
        <w:t xml:space="preserve"> </w:t>
      </w:r>
      <w:r w:rsidRPr="00760305">
        <w:rPr>
          <w:rFonts w:ascii="Times New Roman" w:hAnsi="Times New Roman" w:cs="Times New Roman"/>
          <w:b/>
          <w:sz w:val="24"/>
          <w:szCs w:val="24"/>
        </w:rPr>
        <w:t xml:space="preserve"> This section refers to the cycle counts the Contractor must perform.</w:t>
      </w:r>
      <w:r w:rsidRPr="00F06EBA">
        <w:rPr>
          <w:rFonts w:ascii="Times New Roman" w:hAnsi="Times New Roman" w:cs="Times New Roman"/>
          <w:b/>
          <w:sz w:val="24"/>
          <w:szCs w:val="24"/>
        </w:rPr>
        <w:t xml:space="preserve"> </w:t>
      </w:r>
    </w:p>
    <w:p w:rsidR="00B63DB2" w:rsidRPr="003A6216" w:rsidRDefault="00B63DB2" w:rsidP="00B63DB2">
      <w:pPr>
        <w:pStyle w:val="PlainText"/>
        <w:rPr>
          <w:rFonts w:ascii="Times New Roman" w:hAnsi="Times New Roman" w:cs="Times New Roman"/>
          <w:sz w:val="24"/>
          <w:szCs w:val="24"/>
        </w:rPr>
      </w:pPr>
    </w:p>
    <w:p w:rsidR="00916536" w:rsidRDefault="00B63DB2" w:rsidP="00B63DB2">
      <w:pPr>
        <w:spacing w:after="0"/>
        <w:rPr>
          <w:rFonts w:cs="Times New Roman"/>
          <w:szCs w:val="24"/>
        </w:rPr>
      </w:pPr>
      <w:r w:rsidRPr="00760305">
        <w:rPr>
          <w:rFonts w:cs="Times New Roman"/>
          <w:szCs w:val="24"/>
        </w:rPr>
        <w:t xml:space="preserve">What is the rollout schedule for the </w:t>
      </w:r>
      <w:proofErr w:type="spellStart"/>
      <w:r w:rsidRPr="00760305">
        <w:rPr>
          <w:rFonts w:cs="Times New Roman"/>
          <w:szCs w:val="24"/>
        </w:rPr>
        <w:t>AutoCribs</w:t>
      </w:r>
      <w:proofErr w:type="spellEnd"/>
      <w:r w:rsidRPr="00760305">
        <w:rPr>
          <w:rFonts w:cs="Times New Roman"/>
          <w:szCs w:val="24"/>
        </w:rPr>
        <w:t xml:space="preserve">? </w:t>
      </w:r>
    </w:p>
    <w:p w:rsidR="00760305" w:rsidRPr="00916536" w:rsidRDefault="00916536" w:rsidP="00B63DB2">
      <w:pPr>
        <w:spacing w:after="0"/>
        <w:rPr>
          <w:rFonts w:cs="Times New Roman"/>
          <w:szCs w:val="24"/>
        </w:rPr>
      </w:pPr>
      <w:r w:rsidRPr="00916536">
        <w:rPr>
          <w:b/>
        </w:rPr>
        <w:t xml:space="preserve">The exact timeline is not yet defined; however, the prioritized list of the top 50 BSLs at each ALC is attached at the below website.  The actual timeline will depend on the availability of machines and personnel needed to plan the rollout. Additionally, each BSL will be reviewed as it is rolled out to determine the number of machines needed to accommodate the NIINs at that location. </w:t>
      </w:r>
      <w:r w:rsidR="00760305" w:rsidRPr="00916536">
        <w:rPr>
          <w:rFonts w:cs="Times New Roman"/>
          <w:b/>
          <w:szCs w:val="24"/>
        </w:rPr>
        <w:t>http://www.dla.mil/Aviation/Offers/Products/Commodities/AVIPVGenIII.aspx</w:t>
      </w:r>
    </w:p>
    <w:p w:rsidR="00B63DB2" w:rsidRDefault="00B63DB2" w:rsidP="00B63DB2">
      <w:pPr>
        <w:spacing w:after="0"/>
        <w:rPr>
          <w:rFonts w:cs="Times New Roman"/>
          <w:b/>
          <w:noProof/>
          <w:szCs w:val="24"/>
          <w:u w:val="single"/>
        </w:rPr>
      </w:pPr>
    </w:p>
    <w:p w:rsidR="00002C23" w:rsidRPr="0082137B" w:rsidRDefault="0082137B" w:rsidP="00B63DB2">
      <w:pPr>
        <w:spacing w:after="0"/>
        <w:rPr>
          <w:rFonts w:cs="Times New Roman"/>
          <w:b/>
          <w:noProof/>
          <w:szCs w:val="24"/>
          <w:u w:val="single"/>
        </w:rPr>
      </w:pPr>
      <w:r w:rsidRPr="0082137B">
        <w:rPr>
          <w:rFonts w:cs="Times New Roman"/>
          <w:b/>
          <w:noProof/>
          <w:szCs w:val="24"/>
          <w:u w:val="single"/>
        </w:rPr>
        <w:t>DLA BACKUP</w:t>
      </w:r>
    </w:p>
    <w:p w:rsidR="00760305" w:rsidRDefault="00002C23" w:rsidP="00B63DB2">
      <w:pPr>
        <w:spacing w:after="0"/>
        <w:rPr>
          <w:rFonts w:cs="Times New Roman"/>
          <w:noProof/>
          <w:szCs w:val="24"/>
        </w:rPr>
      </w:pPr>
      <w:r>
        <w:rPr>
          <w:rFonts w:cs="Times New Roman"/>
          <w:noProof/>
          <w:szCs w:val="24"/>
        </w:rPr>
        <w:t xml:space="preserve">Is Government buyback of DLA Sourced Material subject to any limitation?  If so, why would there be any limitation considering that all of the material was owned by DLA initially?  </w:t>
      </w:r>
    </w:p>
    <w:p w:rsidR="00002C23" w:rsidRPr="00760305" w:rsidRDefault="00760305" w:rsidP="00B63DB2">
      <w:pPr>
        <w:spacing w:after="0"/>
        <w:rPr>
          <w:rFonts w:cs="Times New Roman"/>
          <w:b/>
          <w:noProof/>
          <w:szCs w:val="24"/>
        </w:rPr>
      </w:pPr>
      <w:r w:rsidRPr="00760305">
        <w:rPr>
          <w:rFonts w:cs="Times New Roman"/>
          <w:b/>
          <w:noProof/>
          <w:szCs w:val="24"/>
        </w:rPr>
        <w:t xml:space="preserve">The DLA backup CLIN has been changed significantly, please see Amendment 03.  </w:t>
      </w:r>
      <w:r w:rsidR="003326E8">
        <w:rPr>
          <w:rFonts w:cs="Times New Roman"/>
          <w:b/>
          <w:noProof/>
          <w:szCs w:val="24"/>
        </w:rPr>
        <w:t xml:space="preserve">Payment for </w:t>
      </w:r>
      <w:r w:rsidRPr="00760305">
        <w:rPr>
          <w:rFonts w:cs="Times New Roman"/>
          <w:b/>
          <w:noProof/>
          <w:szCs w:val="24"/>
        </w:rPr>
        <w:t xml:space="preserve">DLA backup material will now be </w:t>
      </w:r>
      <w:r w:rsidR="003326E8">
        <w:rPr>
          <w:rFonts w:cs="Times New Roman"/>
          <w:b/>
          <w:noProof/>
          <w:szCs w:val="24"/>
        </w:rPr>
        <w:t xml:space="preserve">in accorandce with the terms and conditions as outlined in </w:t>
      </w:r>
      <w:r w:rsidRPr="00760305">
        <w:rPr>
          <w:rFonts w:cs="Times New Roman"/>
          <w:b/>
          <w:noProof/>
          <w:szCs w:val="24"/>
        </w:rPr>
        <w:t>Amendment 03.</w:t>
      </w:r>
      <w:r w:rsidR="00002C23" w:rsidRPr="00760305">
        <w:rPr>
          <w:rFonts w:cs="Times New Roman"/>
          <w:b/>
          <w:noProof/>
          <w:szCs w:val="24"/>
        </w:rPr>
        <w:t xml:space="preserve"> </w:t>
      </w:r>
    </w:p>
    <w:p w:rsidR="00B63DB2" w:rsidRDefault="00B63DB2" w:rsidP="0082137B">
      <w:pPr>
        <w:pStyle w:val="PlainText"/>
        <w:rPr>
          <w:rFonts w:ascii="Times New Roman" w:hAnsi="Times New Roman" w:cs="Times New Roman"/>
          <w:b/>
          <w:sz w:val="24"/>
          <w:szCs w:val="24"/>
          <w:u w:val="single"/>
        </w:rPr>
      </w:pPr>
    </w:p>
    <w:p w:rsidR="0082137B" w:rsidRPr="00020344" w:rsidRDefault="0082137B" w:rsidP="00B63DB2">
      <w:pPr>
        <w:pStyle w:val="PlainText"/>
        <w:rPr>
          <w:rFonts w:ascii="Times New Roman" w:hAnsi="Times New Roman" w:cs="Times New Roman"/>
          <w:b/>
          <w:sz w:val="24"/>
          <w:szCs w:val="24"/>
          <w:u w:val="single"/>
        </w:rPr>
      </w:pPr>
      <w:r>
        <w:rPr>
          <w:rFonts w:ascii="Times New Roman" w:hAnsi="Times New Roman" w:cs="Times New Roman"/>
          <w:b/>
          <w:sz w:val="24"/>
          <w:szCs w:val="24"/>
          <w:u w:val="single"/>
        </w:rPr>
        <w:t>MISCELLANEOUS</w:t>
      </w:r>
    </w:p>
    <w:p w:rsidR="00DB4CA3" w:rsidRDefault="0082137B" w:rsidP="00B63DB2">
      <w:pPr>
        <w:spacing w:after="0" w:line="240" w:lineRule="auto"/>
      </w:pPr>
      <w:r>
        <w:t>Will the Government please provide recent Annual Demand Frequenc</w:t>
      </w:r>
      <w:r w:rsidR="00E32821">
        <w:t xml:space="preserve">y for World Wide Demand orders?  </w:t>
      </w:r>
    </w:p>
    <w:p w:rsidR="0082137B" w:rsidRPr="00760305" w:rsidRDefault="00E32821" w:rsidP="00B63DB2">
      <w:pPr>
        <w:spacing w:after="0" w:line="240" w:lineRule="auto"/>
        <w:rPr>
          <w:b/>
        </w:rPr>
      </w:pPr>
      <w:r w:rsidRPr="00760305">
        <w:rPr>
          <w:b/>
        </w:rPr>
        <w:t>ADF is provided in attachment 4, Tech – Supply Data.</w:t>
      </w:r>
    </w:p>
    <w:p w:rsidR="0082137B" w:rsidRDefault="0082137B" w:rsidP="00B63DB2">
      <w:pPr>
        <w:spacing w:after="0"/>
        <w:rPr>
          <w:color w:val="FF0000"/>
        </w:rPr>
      </w:pPr>
    </w:p>
    <w:p w:rsidR="0082137B" w:rsidRPr="003326E8" w:rsidRDefault="0082137B" w:rsidP="00B63DB2">
      <w:pPr>
        <w:spacing w:after="0"/>
        <w:rPr>
          <w:rFonts w:cs="Times New Roman"/>
          <w:noProof/>
          <w:szCs w:val="24"/>
        </w:rPr>
      </w:pPr>
      <w:r w:rsidRPr="003326E8">
        <w:rPr>
          <w:rFonts w:cs="Times New Roman"/>
          <w:noProof/>
          <w:szCs w:val="24"/>
        </w:rPr>
        <w:t>Does the Government intend to incorporate portions of the selected offeror's technical proposal into the resulting contract?  If so, which portions?</w:t>
      </w:r>
    </w:p>
    <w:p w:rsidR="00B63DB2" w:rsidRPr="00A669F1" w:rsidRDefault="00D7756B" w:rsidP="00B63DB2">
      <w:pPr>
        <w:spacing w:after="0"/>
        <w:rPr>
          <w:b/>
        </w:rPr>
      </w:pPr>
      <w:r w:rsidRPr="003326E8">
        <w:rPr>
          <w:b/>
        </w:rPr>
        <w:t>The Government intends to incorporate the offeror’s final proposal with the caveat that all terms and conditions of the solicitation are applicable and supersede any conflicting terms in the offeror’s proposal.</w:t>
      </w:r>
    </w:p>
    <w:p w:rsidR="00D7756B" w:rsidRDefault="00D7756B" w:rsidP="00B63DB2">
      <w:pPr>
        <w:spacing w:after="0"/>
        <w:rPr>
          <w:rFonts w:cs="Times New Roman"/>
          <w:noProof/>
          <w:szCs w:val="24"/>
        </w:rPr>
      </w:pPr>
    </w:p>
    <w:p w:rsidR="00B63DB2" w:rsidRPr="00760305" w:rsidRDefault="00B63DB2" w:rsidP="00B63DB2">
      <w:pPr>
        <w:pStyle w:val="PlainText"/>
        <w:rPr>
          <w:rFonts w:ascii="Times New Roman" w:hAnsi="Times New Roman" w:cs="Times New Roman"/>
          <w:sz w:val="24"/>
          <w:szCs w:val="24"/>
        </w:rPr>
      </w:pPr>
      <w:r w:rsidRPr="00760305">
        <w:rPr>
          <w:rFonts w:ascii="Times New Roman" w:hAnsi="Times New Roman" w:cs="Times New Roman"/>
          <w:sz w:val="24"/>
          <w:szCs w:val="24"/>
        </w:rPr>
        <w:t>What will be DCMAs involvement in Origin inspection of IPV, backup, and WW items?</w:t>
      </w:r>
      <w:r w:rsidR="00573CFB">
        <w:rPr>
          <w:rFonts w:ascii="Times New Roman" w:hAnsi="Times New Roman" w:cs="Times New Roman"/>
          <w:sz w:val="24"/>
          <w:szCs w:val="24"/>
        </w:rPr>
        <w:t xml:space="preserve">  How will inspections be</w:t>
      </w:r>
      <w:r w:rsidR="00C20590">
        <w:rPr>
          <w:rFonts w:ascii="Times New Roman" w:hAnsi="Times New Roman" w:cs="Times New Roman"/>
          <w:sz w:val="24"/>
          <w:szCs w:val="24"/>
        </w:rPr>
        <w:t xml:space="preserve"> conducted?</w:t>
      </w:r>
    </w:p>
    <w:p w:rsidR="00DB4CA3" w:rsidRPr="00760305" w:rsidRDefault="00B63DB2" w:rsidP="00B63DB2">
      <w:pPr>
        <w:pStyle w:val="PlainText"/>
        <w:rPr>
          <w:rFonts w:ascii="Times New Roman" w:hAnsi="Times New Roman" w:cs="Times New Roman"/>
          <w:b/>
          <w:sz w:val="24"/>
          <w:szCs w:val="24"/>
        </w:rPr>
      </w:pPr>
      <w:r w:rsidRPr="00760305">
        <w:rPr>
          <w:rFonts w:ascii="Times New Roman" w:hAnsi="Times New Roman" w:cs="Times New Roman"/>
          <w:b/>
          <w:sz w:val="24"/>
          <w:szCs w:val="24"/>
        </w:rPr>
        <w:t>Worldwide demand orders will cite the cognizant DCMA office on each order.</w:t>
      </w:r>
      <w:r w:rsidR="00E32821" w:rsidRPr="00760305">
        <w:rPr>
          <w:rFonts w:ascii="Times New Roman" w:hAnsi="Times New Roman" w:cs="Times New Roman"/>
          <w:b/>
          <w:sz w:val="24"/>
          <w:szCs w:val="24"/>
        </w:rPr>
        <w:t xml:space="preserve">  </w:t>
      </w:r>
    </w:p>
    <w:p w:rsidR="00B63DB2" w:rsidRPr="00760305" w:rsidRDefault="003326E8" w:rsidP="00B63DB2">
      <w:pPr>
        <w:pStyle w:val="PlainText"/>
        <w:rPr>
          <w:rFonts w:ascii="Times New Roman" w:hAnsi="Times New Roman" w:cs="Times New Roman"/>
          <w:b/>
          <w:sz w:val="24"/>
          <w:szCs w:val="24"/>
        </w:rPr>
      </w:pPr>
      <w:r>
        <w:rPr>
          <w:rFonts w:ascii="Times New Roman" w:hAnsi="Times New Roman" w:cs="Times New Roman"/>
          <w:b/>
          <w:sz w:val="24"/>
          <w:szCs w:val="24"/>
        </w:rPr>
        <w:lastRenderedPageBreak/>
        <w:t>Amendment 03 has been</w:t>
      </w:r>
      <w:r w:rsidR="00E32821" w:rsidRPr="00760305">
        <w:rPr>
          <w:rFonts w:ascii="Times New Roman" w:hAnsi="Times New Roman" w:cs="Times New Roman"/>
          <w:b/>
          <w:sz w:val="24"/>
          <w:szCs w:val="24"/>
        </w:rPr>
        <w:t xml:space="preserve"> issued to clarify the contractor documentation requirements when presenting commercially soured or DLA backup items to the Government COR / TA on-site for inspection</w:t>
      </w:r>
      <w:r w:rsidR="0079547D" w:rsidRPr="00760305">
        <w:rPr>
          <w:rFonts w:ascii="Times New Roman" w:hAnsi="Times New Roman" w:cs="Times New Roman"/>
          <w:b/>
          <w:sz w:val="24"/>
          <w:szCs w:val="24"/>
        </w:rPr>
        <w:t xml:space="preserve"> in section H-909</w:t>
      </w:r>
      <w:r w:rsidR="00E32821" w:rsidRPr="00760305">
        <w:rPr>
          <w:rFonts w:ascii="Times New Roman" w:hAnsi="Times New Roman" w:cs="Times New Roman"/>
          <w:b/>
          <w:sz w:val="24"/>
          <w:szCs w:val="24"/>
        </w:rPr>
        <w:t>.</w:t>
      </w:r>
    </w:p>
    <w:p w:rsidR="00B63DB2" w:rsidRPr="003A6216" w:rsidRDefault="00B63DB2" w:rsidP="00B63DB2">
      <w:pPr>
        <w:pStyle w:val="PlainText"/>
        <w:rPr>
          <w:rFonts w:ascii="Times New Roman" w:hAnsi="Times New Roman" w:cs="Times New Roman"/>
          <w:sz w:val="24"/>
          <w:szCs w:val="24"/>
        </w:rPr>
      </w:pPr>
    </w:p>
    <w:p w:rsidR="00B63DB2" w:rsidRPr="001E1A87" w:rsidRDefault="00B63DB2" w:rsidP="00B63DB2">
      <w:pPr>
        <w:pStyle w:val="PlainText"/>
        <w:rPr>
          <w:rFonts w:ascii="Times New Roman" w:hAnsi="Times New Roman" w:cs="Times New Roman"/>
          <w:sz w:val="24"/>
          <w:szCs w:val="24"/>
          <w:highlight w:val="yellow"/>
        </w:rPr>
      </w:pPr>
      <w:r w:rsidRPr="00846920">
        <w:rPr>
          <w:rFonts w:ascii="Times New Roman" w:hAnsi="Times New Roman" w:cs="Times New Roman"/>
          <w:sz w:val="24"/>
          <w:szCs w:val="24"/>
        </w:rPr>
        <w:t>Can a list of all buildings and areas requiring clearance be provided per site?  How is access obtained by contractor personnel for these buildings?  What clearance is required?  How is the level of clearance obtained and what is the timeline to obtain the clearance?</w:t>
      </w:r>
      <w:r w:rsidR="0068176E" w:rsidRPr="00846920">
        <w:rPr>
          <w:rFonts w:ascii="Times New Roman" w:hAnsi="Times New Roman" w:cs="Times New Roman"/>
          <w:sz w:val="24"/>
          <w:szCs w:val="24"/>
        </w:rPr>
        <w:t xml:space="preserve">  </w:t>
      </w:r>
      <w:r w:rsidR="0068176E" w:rsidRPr="00421A68">
        <w:rPr>
          <w:rFonts w:ascii="Times New Roman" w:hAnsi="Times New Roman" w:cs="Times New Roman"/>
          <w:noProof/>
          <w:sz w:val="24"/>
          <w:szCs w:val="24"/>
        </w:rPr>
        <w:t>Will DLA provide a list of buildings at each ALC noting the access requiremnts required for each (i.e. Secrect Clearance, CAC Card only, etc.)?</w:t>
      </w:r>
      <w:r w:rsidRPr="001E1A87">
        <w:rPr>
          <w:rFonts w:ascii="Times New Roman" w:hAnsi="Times New Roman" w:cs="Times New Roman"/>
          <w:sz w:val="24"/>
          <w:szCs w:val="24"/>
          <w:highlight w:val="yellow"/>
        </w:rPr>
        <w:t xml:space="preserve"> </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WR map provided.</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 xml:space="preserve">WR Daily entrance required to pick up DLA material: </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Building 333,</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Building 380, BSL 1601</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Building 385 - BSL 1604</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 xml:space="preserve">Building 641 - BSL 1602 </w:t>
      </w:r>
    </w:p>
    <w:p w:rsidR="0068176E" w:rsidRPr="003326E8" w:rsidRDefault="0068176E" w:rsidP="0068176E">
      <w:pPr>
        <w:pStyle w:val="PlainText"/>
        <w:rPr>
          <w:rFonts w:ascii="Times New Roman" w:hAnsi="Times New Roman" w:cs="Times New Roman"/>
          <w:b/>
          <w:sz w:val="24"/>
          <w:szCs w:val="24"/>
        </w:rPr>
      </w:pP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 xml:space="preserve">WR As required </w:t>
      </w:r>
      <w:proofErr w:type="gramStart"/>
      <w:r w:rsidRPr="003326E8">
        <w:rPr>
          <w:rFonts w:ascii="Times New Roman" w:hAnsi="Times New Roman" w:cs="Times New Roman"/>
          <w:b/>
          <w:sz w:val="24"/>
          <w:szCs w:val="24"/>
        </w:rPr>
        <w:t>to pick</w:t>
      </w:r>
      <w:proofErr w:type="gramEnd"/>
      <w:r w:rsidRPr="003326E8">
        <w:rPr>
          <w:rFonts w:ascii="Times New Roman" w:hAnsi="Times New Roman" w:cs="Times New Roman"/>
          <w:b/>
          <w:sz w:val="24"/>
          <w:szCs w:val="24"/>
        </w:rPr>
        <w:t xml:space="preserve"> up DLA material:</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Building 340,</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Building 365,</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Building 351,</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Building 368 - BSL 368</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Building 364 - BSL136, BSL 138, BSL 343, BSL 346 Building 376 - BSL 1601- Required Escort</w:t>
      </w:r>
    </w:p>
    <w:p w:rsidR="0068176E" w:rsidRPr="003326E8" w:rsidRDefault="0068176E" w:rsidP="0068176E">
      <w:pPr>
        <w:pStyle w:val="PlainText"/>
        <w:rPr>
          <w:rFonts w:ascii="Times New Roman" w:hAnsi="Times New Roman" w:cs="Times New Roman"/>
          <w:b/>
          <w:sz w:val="24"/>
          <w:szCs w:val="24"/>
        </w:rPr>
      </w:pP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WR EMXG Secure Buildings</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Building 640,</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Building 645</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OKC excel list of BSL provided.</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 xml:space="preserve">OKC does not have buildings that require special clearance where bench stock is stocked (if there is some level of clearance, the vendor will have a CAC), and the buildings that require a Secured Area Badge are 11, 16, and 18.  There will be requirements in certain areas for a secured area badge and may be a requirement to be in JPAS in order to get an 1199 to get a secured area badge. </w:t>
      </w:r>
    </w:p>
    <w:p w:rsidR="0068176E" w:rsidRPr="003326E8" w:rsidRDefault="0068176E" w:rsidP="0068176E">
      <w:pPr>
        <w:pStyle w:val="PlainText"/>
        <w:rPr>
          <w:rFonts w:ascii="Times New Roman" w:hAnsi="Times New Roman" w:cs="Times New Roman"/>
          <w:b/>
          <w:sz w:val="24"/>
          <w:szCs w:val="24"/>
        </w:rPr>
      </w:pP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As required to pick up DLA material:</w:t>
      </w: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Buildings 11, 16, 18, 416, 506, 510</w:t>
      </w:r>
    </w:p>
    <w:p w:rsidR="0068176E" w:rsidRPr="003326E8" w:rsidRDefault="0068176E" w:rsidP="0068176E">
      <w:pPr>
        <w:pStyle w:val="PlainText"/>
        <w:rPr>
          <w:rFonts w:ascii="Times New Roman" w:hAnsi="Times New Roman" w:cs="Times New Roman"/>
          <w:b/>
          <w:sz w:val="24"/>
          <w:szCs w:val="24"/>
        </w:rPr>
      </w:pP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Buildings that require a flight line license (and also a CAC): 2121, 2122, 2136, 260, and 240</w:t>
      </w:r>
    </w:p>
    <w:p w:rsidR="0068176E" w:rsidRPr="003326E8" w:rsidRDefault="0068176E" w:rsidP="0068176E">
      <w:pPr>
        <w:pStyle w:val="PlainText"/>
        <w:rPr>
          <w:rFonts w:ascii="Times New Roman" w:hAnsi="Times New Roman" w:cs="Times New Roman"/>
          <w:b/>
          <w:sz w:val="24"/>
          <w:szCs w:val="24"/>
        </w:rPr>
      </w:pP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See attached OO building and access listing in Excel format.</w:t>
      </w:r>
    </w:p>
    <w:p w:rsidR="0068176E" w:rsidRPr="003326E8" w:rsidRDefault="0068176E" w:rsidP="0068176E">
      <w:pPr>
        <w:pStyle w:val="PlainText"/>
        <w:rPr>
          <w:rFonts w:ascii="Times New Roman" w:hAnsi="Times New Roman" w:cs="Times New Roman"/>
          <w:b/>
          <w:sz w:val="24"/>
          <w:szCs w:val="24"/>
        </w:rPr>
      </w:pP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 xml:space="preserve">Contractor Badges Only:  Contractor must fill in the AF Affidavit form.  Contractor must fill out a form 496, and it is taken to Pass and ID to verify that the COR form 577 is on file to issue a contractor badge.  </w:t>
      </w:r>
      <w:proofErr w:type="gramStart"/>
      <w:r w:rsidRPr="003326E8">
        <w:rPr>
          <w:rFonts w:ascii="Times New Roman" w:hAnsi="Times New Roman" w:cs="Times New Roman"/>
          <w:b/>
          <w:sz w:val="24"/>
          <w:szCs w:val="24"/>
        </w:rPr>
        <w:t>Average processing time of 3 business days.</w:t>
      </w:r>
      <w:proofErr w:type="gramEnd"/>
      <w:r w:rsidRPr="003326E8">
        <w:rPr>
          <w:rFonts w:ascii="Times New Roman" w:hAnsi="Times New Roman" w:cs="Times New Roman"/>
          <w:b/>
          <w:sz w:val="24"/>
          <w:szCs w:val="24"/>
        </w:rPr>
        <w:t xml:space="preserve">  </w:t>
      </w:r>
    </w:p>
    <w:p w:rsidR="0068176E" w:rsidRPr="003326E8" w:rsidRDefault="0068176E" w:rsidP="0068176E">
      <w:pPr>
        <w:pStyle w:val="PlainText"/>
        <w:rPr>
          <w:rFonts w:ascii="Times New Roman" w:hAnsi="Times New Roman" w:cs="Times New Roman"/>
          <w:b/>
          <w:sz w:val="24"/>
          <w:szCs w:val="24"/>
        </w:rPr>
      </w:pP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 xml:space="preserve">CAC: Contractor must fill in the Contractor Security Request form.  </w:t>
      </w:r>
      <w:proofErr w:type="gramStart"/>
      <w:r w:rsidRPr="003326E8">
        <w:rPr>
          <w:rFonts w:ascii="Times New Roman" w:hAnsi="Times New Roman" w:cs="Times New Roman"/>
          <w:b/>
          <w:sz w:val="24"/>
          <w:szCs w:val="24"/>
        </w:rPr>
        <w:t>Average processing time of 7-10 business days.</w:t>
      </w:r>
      <w:proofErr w:type="gramEnd"/>
      <w:r w:rsidRPr="003326E8">
        <w:rPr>
          <w:rFonts w:ascii="Times New Roman" w:hAnsi="Times New Roman" w:cs="Times New Roman"/>
          <w:b/>
          <w:sz w:val="24"/>
          <w:szCs w:val="24"/>
        </w:rPr>
        <w:t xml:space="preserve">  Contractor must be loaded in JPAS in order for Trusted Agent at ALC to request CAC in TASS. </w:t>
      </w:r>
    </w:p>
    <w:p w:rsidR="0068176E" w:rsidRPr="003326E8" w:rsidRDefault="0068176E" w:rsidP="0068176E">
      <w:pPr>
        <w:pStyle w:val="PlainText"/>
        <w:rPr>
          <w:rFonts w:ascii="Times New Roman" w:hAnsi="Times New Roman" w:cs="Times New Roman"/>
          <w:b/>
          <w:sz w:val="24"/>
          <w:szCs w:val="24"/>
        </w:rPr>
      </w:pP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If the Contractor requires an AF or DLA Email Account, and AF or DLA Network access a 2875 will be processed if required.</w:t>
      </w:r>
    </w:p>
    <w:p w:rsidR="0068176E" w:rsidRPr="003326E8" w:rsidRDefault="0068176E" w:rsidP="0068176E">
      <w:pPr>
        <w:pStyle w:val="PlainText"/>
        <w:rPr>
          <w:rFonts w:ascii="Times New Roman" w:hAnsi="Times New Roman" w:cs="Times New Roman"/>
          <w:b/>
          <w:sz w:val="24"/>
          <w:szCs w:val="24"/>
        </w:rPr>
      </w:pPr>
    </w:p>
    <w:p w:rsidR="0068176E" w:rsidRPr="003326E8" w:rsidRDefault="0068176E" w:rsidP="0068176E">
      <w:pPr>
        <w:pStyle w:val="PlainText"/>
        <w:rPr>
          <w:rFonts w:ascii="Times New Roman" w:hAnsi="Times New Roman" w:cs="Times New Roman"/>
          <w:b/>
          <w:sz w:val="24"/>
          <w:szCs w:val="24"/>
        </w:rPr>
      </w:pPr>
      <w:r w:rsidRPr="003326E8">
        <w:rPr>
          <w:rFonts w:ascii="Times New Roman" w:hAnsi="Times New Roman" w:cs="Times New Roman"/>
          <w:b/>
          <w:sz w:val="24"/>
          <w:szCs w:val="24"/>
        </w:rPr>
        <w:t>Note:  Timelines are an average.</w:t>
      </w:r>
    </w:p>
    <w:p w:rsidR="00B63DB2" w:rsidRPr="003A6216" w:rsidRDefault="00B63DB2" w:rsidP="00B63DB2">
      <w:pPr>
        <w:pStyle w:val="PlainText"/>
        <w:rPr>
          <w:rFonts w:ascii="Times New Roman" w:hAnsi="Times New Roman" w:cs="Times New Roman"/>
          <w:sz w:val="24"/>
          <w:szCs w:val="24"/>
        </w:rPr>
      </w:pPr>
    </w:p>
    <w:p w:rsidR="00B63DB2" w:rsidRPr="003C58A4" w:rsidRDefault="00B63DB2" w:rsidP="00B63DB2">
      <w:pPr>
        <w:pStyle w:val="PlainText"/>
        <w:rPr>
          <w:rFonts w:ascii="Times New Roman" w:hAnsi="Times New Roman" w:cs="Times New Roman"/>
          <w:color w:val="FF0000"/>
          <w:sz w:val="24"/>
          <w:szCs w:val="24"/>
        </w:rPr>
      </w:pPr>
      <w:r w:rsidRPr="003C58A4">
        <w:rPr>
          <w:rFonts w:ascii="Times New Roman" w:hAnsi="Times New Roman" w:cs="Times New Roman"/>
          <w:sz w:val="24"/>
          <w:szCs w:val="24"/>
        </w:rPr>
        <w:t>What is the kit return process?   Will the contractor bring the Air Force owned material back to their kitting area to incorporate in the next kit?  How will billing be handled?</w:t>
      </w:r>
      <w:r w:rsidR="0079547D" w:rsidRPr="003C58A4">
        <w:rPr>
          <w:rFonts w:ascii="Times New Roman" w:hAnsi="Times New Roman" w:cs="Times New Roman"/>
          <w:sz w:val="24"/>
          <w:szCs w:val="24"/>
        </w:rPr>
        <w:t xml:space="preserve">  </w:t>
      </w:r>
    </w:p>
    <w:p w:rsidR="00B63DB2" w:rsidRPr="00A669F1" w:rsidRDefault="00D7756B" w:rsidP="00B63DB2">
      <w:pPr>
        <w:pStyle w:val="PlainText"/>
        <w:rPr>
          <w:rFonts w:ascii="Times New Roman" w:hAnsi="Times New Roman" w:cs="Times New Roman"/>
          <w:b/>
          <w:sz w:val="24"/>
          <w:szCs w:val="24"/>
        </w:rPr>
      </w:pPr>
      <w:r w:rsidRPr="003C58A4">
        <w:rPr>
          <w:rFonts w:ascii="Times New Roman" w:hAnsi="Times New Roman" w:cs="Times New Roman"/>
          <w:b/>
          <w:sz w:val="24"/>
          <w:szCs w:val="24"/>
        </w:rPr>
        <w:t>The AF will return used kits back to the delivery location for contractor pickup.  The contractor will utilize any unused, identifiable items remaining in the kit</w:t>
      </w:r>
      <w:r w:rsidR="002429B7" w:rsidRPr="003C58A4">
        <w:rPr>
          <w:rFonts w:ascii="Times New Roman" w:hAnsi="Times New Roman" w:cs="Times New Roman"/>
          <w:b/>
          <w:sz w:val="24"/>
          <w:szCs w:val="24"/>
        </w:rPr>
        <w:t xml:space="preserve"> when the kit is replenished.  Billing for kits will occur at the item level.  The contractor will bill for the parts that the contractor replenishes in the kit only, not items returned by the AF.  The contractor may bring the unused, identifiable AF owned material from the kit back to their kitting area.  Any unused, unidentifiable material will be turned in to the COR or designated AF representative.</w:t>
      </w:r>
      <w:r w:rsidR="007E40BB">
        <w:rPr>
          <w:rFonts w:ascii="Times New Roman" w:hAnsi="Times New Roman" w:cs="Times New Roman"/>
          <w:b/>
          <w:sz w:val="24"/>
          <w:szCs w:val="24"/>
        </w:rPr>
        <w:t xml:space="preserve">  </w:t>
      </w:r>
    </w:p>
    <w:p w:rsidR="00B63DB2" w:rsidRPr="003A6216" w:rsidRDefault="00B63DB2" w:rsidP="00B63DB2">
      <w:pPr>
        <w:pStyle w:val="PlainText"/>
        <w:rPr>
          <w:rFonts w:ascii="Times New Roman" w:hAnsi="Times New Roman" w:cs="Times New Roman"/>
          <w:sz w:val="24"/>
          <w:szCs w:val="24"/>
        </w:rPr>
      </w:pPr>
    </w:p>
    <w:p w:rsidR="00B63DB2" w:rsidRDefault="00B63DB2" w:rsidP="00B63DB2">
      <w:pPr>
        <w:pStyle w:val="PlainText"/>
        <w:rPr>
          <w:rFonts w:ascii="Times New Roman" w:hAnsi="Times New Roman" w:cs="Times New Roman"/>
          <w:sz w:val="24"/>
          <w:szCs w:val="24"/>
        </w:rPr>
      </w:pPr>
      <w:r w:rsidRPr="000D262F">
        <w:rPr>
          <w:rFonts w:ascii="Times New Roman" w:hAnsi="Times New Roman" w:cs="Times New Roman"/>
          <w:sz w:val="24"/>
          <w:szCs w:val="24"/>
        </w:rPr>
        <w:t>Is there a preferred timeline by which the contractor will have relabeled all bins?</w:t>
      </w:r>
    </w:p>
    <w:p w:rsidR="000D262F" w:rsidRPr="000D262F" w:rsidRDefault="000D262F" w:rsidP="000D262F">
      <w:pPr>
        <w:pStyle w:val="PlainText"/>
        <w:rPr>
          <w:rFonts w:ascii="Times New Roman" w:hAnsi="Times New Roman" w:cs="Times New Roman"/>
          <w:b/>
          <w:sz w:val="24"/>
          <w:szCs w:val="24"/>
        </w:rPr>
      </w:pPr>
      <w:r w:rsidRPr="000D262F">
        <w:rPr>
          <w:rFonts w:ascii="Times New Roman" w:hAnsi="Times New Roman" w:cs="Times New Roman"/>
          <w:b/>
          <w:sz w:val="24"/>
          <w:szCs w:val="24"/>
        </w:rPr>
        <w:t>The Air Force would like all bins relabeled within one week of the BSL transfer</w:t>
      </w:r>
      <w:r>
        <w:rPr>
          <w:rFonts w:ascii="Times New Roman" w:hAnsi="Times New Roman" w:cs="Times New Roman"/>
          <w:b/>
          <w:sz w:val="24"/>
          <w:szCs w:val="24"/>
        </w:rPr>
        <w:t xml:space="preserve">ring to the Gen III contractor.  </w:t>
      </w:r>
    </w:p>
    <w:p w:rsidR="00B63DB2" w:rsidRDefault="00B63DB2" w:rsidP="00B63DB2">
      <w:pPr>
        <w:spacing w:after="0"/>
        <w:rPr>
          <w:rFonts w:cs="Times New Roman"/>
          <w:szCs w:val="24"/>
        </w:rPr>
      </w:pPr>
    </w:p>
    <w:p w:rsidR="00B63DB2" w:rsidRPr="00B14720" w:rsidRDefault="00B63DB2" w:rsidP="00B63DB2">
      <w:pPr>
        <w:spacing w:after="0"/>
        <w:rPr>
          <w:rFonts w:cs="Times New Roman"/>
          <w:szCs w:val="24"/>
        </w:rPr>
      </w:pPr>
      <w:r w:rsidRPr="00B14720">
        <w:rPr>
          <w:rFonts w:cs="Times New Roman"/>
          <w:szCs w:val="24"/>
        </w:rPr>
        <w:t xml:space="preserve">During transition – how will it work? Will there be a time when the bench stock location is managed by both contractors? </w:t>
      </w:r>
    </w:p>
    <w:p w:rsidR="00B63DB2" w:rsidRPr="00B14720" w:rsidRDefault="00B63DB2" w:rsidP="00B63DB2">
      <w:pPr>
        <w:spacing w:after="0"/>
        <w:rPr>
          <w:rFonts w:cs="Times New Roman"/>
          <w:b/>
          <w:szCs w:val="24"/>
        </w:rPr>
      </w:pPr>
      <w:r w:rsidRPr="00B14720">
        <w:rPr>
          <w:rFonts w:cs="Times New Roman"/>
          <w:b/>
          <w:szCs w:val="24"/>
        </w:rPr>
        <w:t xml:space="preserve">During rollout, the bins will convert from the Gen II contractor to the Gen III contractor, but will not be managed by both contractors at any time. </w:t>
      </w:r>
    </w:p>
    <w:p w:rsidR="00FE6972" w:rsidRDefault="00FE6972" w:rsidP="00B63DB2">
      <w:pPr>
        <w:spacing w:after="0"/>
        <w:rPr>
          <w:rFonts w:cs="Times New Roman"/>
          <w:noProof/>
          <w:color w:val="FF0000"/>
          <w:szCs w:val="24"/>
        </w:rPr>
      </w:pPr>
    </w:p>
    <w:p w:rsidR="00FE6972" w:rsidRPr="002D7BBB" w:rsidRDefault="00FE6972" w:rsidP="00FE6972">
      <w:pPr>
        <w:spacing w:after="0"/>
        <w:rPr>
          <w:rFonts w:cs="Times New Roman"/>
        </w:rPr>
      </w:pPr>
      <w:r w:rsidRPr="002D7BBB">
        <w:rPr>
          <w:rFonts w:cs="Times New Roman"/>
          <w:szCs w:val="24"/>
        </w:rPr>
        <w:t>If the Contractor is required to warehouse the material in the Contractor’s facility, can the Government identify the NSNs and quantities of each or square footage required so that each offeror can adequately plan and estimate for the appropriate amount of</w:t>
      </w:r>
      <w:r w:rsidRPr="002D7BBB">
        <w:rPr>
          <w:rFonts w:cs="Times New Roman"/>
        </w:rPr>
        <w:t xml:space="preserve"> storage space?</w:t>
      </w:r>
    </w:p>
    <w:p w:rsidR="00FE6972" w:rsidRPr="00A669F1" w:rsidRDefault="00FE6972" w:rsidP="00FE6972">
      <w:pPr>
        <w:spacing w:after="0"/>
        <w:rPr>
          <w:rFonts w:cs="Times New Roman"/>
          <w:b/>
        </w:rPr>
      </w:pPr>
      <w:r w:rsidRPr="002D7BBB">
        <w:rPr>
          <w:rFonts w:cs="Times New Roman"/>
          <w:b/>
        </w:rPr>
        <w:t>The material will be material required for kitting.</w:t>
      </w:r>
      <w:r w:rsidR="002D7BBB">
        <w:rPr>
          <w:rFonts w:cs="Times New Roman"/>
          <w:b/>
        </w:rPr>
        <w:t xml:space="preserve">  </w:t>
      </w:r>
    </w:p>
    <w:p w:rsidR="00525065" w:rsidRDefault="00525065" w:rsidP="00FE6972">
      <w:pPr>
        <w:spacing w:after="0"/>
        <w:rPr>
          <w:rFonts w:cs="Times New Roman"/>
          <w:color w:val="FF0000"/>
        </w:rPr>
      </w:pPr>
    </w:p>
    <w:p w:rsidR="00525065" w:rsidRPr="00C436D1" w:rsidRDefault="00525065" w:rsidP="00FE6972">
      <w:pPr>
        <w:spacing w:after="0"/>
        <w:rPr>
          <w:rFonts w:cs="Times New Roman"/>
          <w:szCs w:val="24"/>
        </w:rPr>
      </w:pPr>
      <w:r w:rsidRPr="00C436D1">
        <w:rPr>
          <w:rFonts w:cs="Times New Roman"/>
        </w:rPr>
        <w:t xml:space="preserve">Round 1 Question—“Will </w:t>
      </w:r>
      <w:r w:rsidRPr="00C436D1">
        <w:rPr>
          <w:rFonts w:cs="Times New Roman"/>
          <w:szCs w:val="24"/>
        </w:rPr>
        <w:t xml:space="preserve">CONUS Worldwide orders go direct to the customer or to a DLA CONUS depot?  Will OCONUS orders go direct to the customer or to a DLA CONUS depot? All worldwide orders will be available to be delivered to DLA depots and customer direct with a DoDAAC.  The Government will incorporate these changes via an amendment to the solicitation.”  </w:t>
      </w:r>
      <w:r w:rsidR="003B387A" w:rsidRPr="00C436D1">
        <w:rPr>
          <w:rFonts w:cs="Times New Roman"/>
          <w:szCs w:val="24"/>
        </w:rPr>
        <w:t xml:space="preserve">With regards to WWD, the following response states that the GEN III contractor will not only be responsible for delivering to CONUS DLA Depots as is the current practice, but will also be responsible for delivery directly to individual customer DODAACs.   This practice is similar to what contractors do on a PBL type contract and is a costly change to the current methodology.   Today, if there is a WWD order for 1000 </w:t>
      </w:r>
      <w:proofErr w:type="spellStart"/>
      <w:r w:rsidR="003B387A" w:rsidRPr="00C436D1">
        <w:rPr>
          <w:rFonts w:cs="Times New Roman"/>
          <w:szCs w:val="24"/>
        </w:rPr>
        <w:t>ea</w:t>
      </w:r>
      <w:proofErr w:type="spellEnd"/>
      <w:r w:rsidR="003B387A" w:rsidRPr="00C436D1">
        <w:rPr>
          <w:rFonts w:cs="Times New Roman"/>
          <w:szCs w:val="24"/>
        </w:rPr>
        <w:t xml:space="preserve"> widgets, the contractor ships all material to a DLA Depot Distribution center in CONUS, usually Tracy or Susquehanna.   What </w:t>
      </w:r>
      <w:proofErr w:type="gramStart"/>
      <w:r w:rsidR="003B387A" w:rsidRPr="00C436D1">
        <w:rPr>
          <w:rFonts w:cs="Times New Roman"/>
          <w:szCs w:val="24"/>
        </w:rPr>
        <w:t>is</w:t>
      </w:r>
      <w:proofErr w:type="gramEnd"/>
      <w:r w:rsidR="003B387A" w:rsidRPr="00C436D1">
        <w:rPr>
          <w:rFonts w:cs="Times New Roman"/>
          <w:szCs w:val="24"/>
        </w:rPr>
        <w:t xml:space="preserve"> being proposed could potentially be 1,000 separate orders to 1,000 separate DODAACs worldwide.   If this is priced the same as WWD orders are today, which is the same as material going to the 3 ALCs, the cost will rise significantly and the USAF will effectively be subsidizing DLA's mission to deliver material to individual DODAACs.   It is surprising that the USAF is willing to pay for the cost of these transactions.  </w:t>
      </w:r>
    </w:p>
    <w:p w:rsidR="007C767B" w:rsidRPr="00C436D1" w:rsidRDefault="00C436D1" w:rsidP="00FE6972">
      <w:pPr>
        <w:spacing w:after="0"/>
        <w:rPr>
          <w:rFonts w:cs="Times New Roman"/>
          <w:b/>
        </w:rPr>
      </w:pPr>
      <w:r w:rsidRPr="00C436D1">
        <w:rPr>
          <w:rFonts w:cs="Times New Roman"/>
          <w:b/>
          <w:szCs w:val="24"/>
        </w:rPr>
        <w:t xml:space="preserve">The only items that would create customer direct orders are those with an Acquisition </w:t>
      </w:r>
      <w:r w:rsidRPr="00C436D1">
        <w:rPr>
          <w:rFonts w:cs="Times New Roman"/>
          <w:b/>
          <w:szCs w:val="24"/>
        </w:rPr>
        <w:t>Advice Code (AAC)</w:t>
      </w:r>
      <w:r w:rsidRPr="00C436D1">
        <w:rPr>
          <w:rFonts w:cs="Times New Roman"/>
          <w:b/>
          <w:szCs w:val="24"/>
        </w:rPr>
        <w:t xml:space="preserve"> of “J”.  These are items with infrequent demands and ordered as needed and shipped directly to the customer.  Of the 1505 WWD items on Attachment 1, there are 169 AAC “J”s.  All AAC “H” items will not be eligible for WWD.  There are 3 AAC “H”’s on Attachment 1</w:t>
      </w:r>
      <w:r w:rsidR="000730D6">
        <w:rPr>
          <w:rFonts w:cs="Times New Roman"/>
          <w:b/>
          <w:szCs w:val="24"/>
        </w:rPr>
        <w:t xml:space="preserve"> that are WWD</w:t>
      </w:r>
      <w:r w:rsidRPr="00C436D1">
        <w:rPr>
          <w:rFonts w:cs="Times New Roman"/>
          <w:b/>
          <w:szCs w:val="24"/>
        </w:rPr>
        <w:t xml:space="preserve"> that will be reviewed to have the AAC changed.  </w:t>
      </w:r>
    </w:p>
    <w:p w:rsidR="00B63DB2" w:rsidRDefault="00B63DB2" w:rsidP="00B63DB2">
      <w:pPr>
        <w:spacing w:after="0"/>
        <w:rPr>
          <w:rFonts w:cs="Times New Roman"/>
          <w:b/>
          <w:noProof/>
          <w:szCs w:val="24"/>
          <w:u w:val="single"/>
        </w:rPr>
      </w:pPr>
    </w:p>
    <w:p w:rsidR="00A669F1" w:rsidRPr="00653E9F" w:rsidRDefault="003B387A" w:rsidP="00B63DB2">
      <w:pPr>
        <w:spacing w:after="0"/>
        <w:rPr>
          <w:rFonts w:cs="Times New Roman"/>
          <w:szCs w:val="24"/>
        </w:rPr>
      </w:pPr>
      <w:r w:rsidRPr="00653E9F">
        <w:rPr>
          <w:rFonts w:cs="Times New Roman"/>
          <w:szCs w:val="24"/>
        </w:rPr>
        <w:t>During the last three years of USAF IPV GEN II, the Priority Cell at the ALCs sourced ever increasing amounts of IPV material that previously would have gone to the contractor as SOI-Spot Buys.  Is it the intention of DLA and the USAF to continue this practice in the future in the same volume and intensity for material that is on the IPV Gen III SOI?”   Request the past 3 years’ worth of data and specifics of DLA surplus buys generated by the three priority cells be shared to utilize as a baseline if the plan is for DLA to continue this activity or to be used in DLA backup calculations if that is not the intention.</w:t>
      </w:r>
      <w:r w:rsidR="002429B7" w:rsidRPr="00653E9F">
        <w:rPr>
          <w:rFonts w:cs="Times New Roman"/>
          <w:szCs w:val="24"/>
        </w:rPr>
        <w:t xml:space="preserve">  </w:t>
      </w:r>
    </w:p>
    <w:p w:rsidR="003B387A" w:rsidRPr="00653E9F" w:rsidRDefault="002429B7" w:rsidP="00B63DB2">
      <w:pPr>
        <w:spacing w:after="0"/>
        <w:rPr>
          <w:rFonts w:cs="Times New Roman"/>
          <w:b/>
          <w:szCs w:val="24"/>
        </w:rPr>
      </w:pPr>
      <w:r w:rsidRPr="00653E9F">
        <w:rPr>
          <w:rFonts w:cs="Times New Roman"/>
          <w:b/>
          <w:szCs w:val="24"/>
        </w:rPr>
        <w:t>DLA Backup language has been revised.</w:t>
      </w:r>
    </w:p>
    <w:p w:rsidR="00321647" w:rsidRDefault="00321647" w:rsidP="00B63DB2">
      <w:pPr>
        <w:spacing w:after="0"/>
        <w:rPr>
          <w:rFonts w:cs="Times New Roman"/>
          <w:color w:val="00B0F0"/>
          <w:szCs w:val="24"/>
        </w:rPr>
      </w:pPr>
    </w:p>
    <w:p w:rsidR="00321647" w:rsidRPr="00653E9F" w:rsidRDefault="00321647" w:rsidP="00B63DB2">
      <w:pPr>
        <w:spacing w:after="0"/>
        <w:rPr>
          <w:szCs w:val="24"/>
        </w:rPr>
      </w:pPr>
      <w:r w:rsidRPr="00653E9F">
        <w:rPr>
          <w:szCs w:val="24"/>
        </w:rPr>
        <w:t>What is the minimum proposal acceptance period, i.e. the minimum number of days from the solicitation due date that offerors’ proposals must remain valid for Government acceptance?</w:t>
      </w:r>
    </w:p>
    <w:p w:rsidR="00A669F1" w:rsidRPr="00653E9F" w:rsidRDefault="00A669F1" w:rsidP="00B63DB2">
      <w:pPr>
        <w:spacing w:after="0"/>
        <w:rPr>
          <w:b/>
          <w:szCs w:val="24"/>
        </w:rPr>
      </w:pPr>
      <w:r w:rsidRPr="00653E9F">
        <w:rPr>
          <w:b/>
          <w:szCs w:val="24"/>
        </w:rPr>
        <w:t>120 days</w:t>
      </w:r>
    </w:p>
    <w:p w:rsidR="00321647" w:rsidRDefault="00321647" w:rsidP="00B63DB2">
      <w:pPr>
        <w:spacing w:after="0"/>
        <w:rPr>
          <w:rFonts w:cs="Times New Roman"/>
          <w:b/>
          <w:color w:val="FF0000"/>
          <w:szCs w:val="24"/>
        </w:rPr>
      </w:pPr>
    </w:p>
    <w:p w:rsidR="00321647" w:rsidRPr="00653E9F" w:rsidRDefault="00321647" w:rsidP="00321647">
      <w:pPr>
        <w:rPr>
          <w:rFonts w:cs="Times New Roman"/>
          <w:noProof/>
          <w:szCs w:val="24"/>
        </w:rPr>
      </w:pPr>
      <w:r w:rsidRPr="00653E9F">
        <w:rPr>
          <w:rFonts w:cs="Times New Roman"/>
          <w:noProof/>
          <w:szCs w:val="24"/>
        </w:rPr>
        <w:t>In order to properly estimate distribution/transportation costs for pricing commercially sourced material for CLIN 0001AA can the Government provide the following historical information for worldwide demand orders:</w:t>
      </w:r>
    </w:p>
    <w:p w:rsidR="00321647" w:rsidRPr="00653E9F" w:rsidRDefault="00321647" w:rsidP="00321647">
      <w:pPr>
        <w:tabs>
          <w:tab w:val="left" w:pos="330"/>
        </w:tabs>
        <w:spacing w:after="0"/>
        <w:rPr>
          <w:rFonts w:cs="Times New Roman"/>
          <w:noProof/>
          <w:szCs w:val="24"/>
        </w:rPr>
      </w:pPr>
      <w:r w:rsidRPr="00653E9F">
        <w:rPr>
          <w:rFonts w:cs="Times New Roman"/>
          <w:noProof/>
          <w:szCs w:val="24"/>
        </w:rPr>
        <w:t>1)</w:t>
      </w:r>
      <w:r w:rsidRPr="00653E9F">
        <w:rPr>
          <w:rFonts w:cs="Times New Roman"/>
          <w:noProof/>
          <w:szCs w:val="24"/>
        </w:rPr>
        <w:tab/>
        <w:t>NSN</w:t>
      </w:r>
    </w:p>
    <w:p w:rsidR="00321647" w:rsidRPr="00653E9F" w:rsidRDefault="00321647" w:rsidP="00321647">
      <w:pPr>
        <w:tabs>
          <w:tab w:val="left" w:pos="330"/>
        </w:tabs>
        <w:spacing w:after="0"/>
        <w:rPr>
          <w:rFonts w:cs="Times New Roman"/>
          <w:noProof/>
          <w:szCs w:val="24"/>
        </w:rPr>
      </w:pPr>
      <w:r w:rsidRPr="00653E9F">
        <w:rPr>
          <w:rFonts w:cs="Times New Roman"/>
          <w:noProof/>
          <w:szCs w:val="24"/>
        </w:rPr>
        <w:t>2)</w:t>
      </w:r>
      <w:r w:rsidRPr="00653E9F">
        <w:rPr>
          <w:rFonts w:cs="Times New Roman"/>
          <w:noProof/>
          <w:szCs w:val="24"/>
        </w:rPr>
        <w:tab/>
        <w:t>Ship-To/ Receiving DODAAC</w:t>
      </w:r>
    </w:p>
    <w:p w:rsidR="00321647" w:rsidRPr="00653E9F" w:rsidRDefault="00321647" w:rsidP="00321647">
      <w:pPr>
        <w:tabs>
          <w:tab w:val="left" w:pos="330"/>
        </w:tabs>
        <w:spacing w:after="0"/>
        <w:rPr>
          <w:rFonts w:cs="Times New Roman"/>
          <w:noProof/>
          <w:szCs w:val="24"/>
        </w:rPr>
      </w:pPr>
      <w:r w:rsidRPr="00653E9F">
        <w:rPr>
          <w:rFonts w:cs="Times New Roman"/>
          <w:noProof/>
          <w:szCs w:val="24"/>
        </w:rPr>
        <w:t>3)</w:t>
      </w:r>
      <w:r w:rsidRPr="00653E9F">
        <w:rPr>
          <w:rFonts w:cs="Times New Roman"/>
          <w:noProof/>
          <w:szCs w:val="24"/>
        </w:rPr>
        <w:tab/>
        <w:t>Calendar year</w:t>
      </w:r>
    </w:p>
    <w:p w:rsidR="00321647" w:rsidRPr="00653E9F" w:rsidRDefault="00321647" w:rsidP="00321647">
      <w:pPr>
        <w:tabs>
          <w:tab w:val="left" w:pos="330"/>
        </w:tabs>
        <w:spacing w:after="0"/>
        <w:rPr>
          <w:rFonts w:cs="Times New Roman"/>
          <w:noProof/>
          <w:szCs w:val="24"/>
        </w:rPr>
      </w:pPr>
      <w:r w:rsidRPr="00653E9F">
        <w:rPr>
          <w:rFonts w:cs="Times New Roman"/>
          <w:noProof/>
          <w:szCs w:val="24"/>
        </w:rPr>
        <w:t>4)</w:t>
      </w:r>
      <w:r w:rsidRPr="00653E9F">
        <w:rPr>
          <w:rFonts w:cs="Times New Roman"/>
          <w:noProof/>
          <w:szCs w:val="24"/>
        </w:rPr>
        <w:tab/>
        <w:t>Number of orders</w:t>
      </w:r>
    </w:p>
    <w:p w:rsidR="00321647" w:rsidRPr="00653E9F" w:rsidRDefault="00321647" w:rsidP="00321647">
      <w:pPr>
        <w:tabs>
          <w:tab w:val="left" w:pos="330"/>
        </w:tabs>
        <w:spacing w:after="0"/>
        <w:rPr>
          <w:rFonts w:cs="Times New Roman"/>
          <w:noProof/>
          <w:szCs w:val="24"/>
        </w:rPr>
      </w:pPr>
      <w:r w:rsidRPr="00653E9F">
        <w:rPr>
          <w:rFonts w:cs="Times New Roman"/>
          <w:noProof/>
          <w:szCs w:val="24"/>
        </w:rPr>
        <w:t>5)</w:t>
      </w:r>
      <w:r w:rsidRPr="00653E9F">
        <w:rPr>
          <w:rFonts w:cs="Times New Roman"/>
          <w:noProof/>
          <w:szCs w:val="24"/>
        </w:rPr>
        <w:tab/>
        <w:t>Average order quantity</w:t>
      </w:r>
    </w:p>
    <w:p w:rsidR="002429B7" w:rsidRPr="00653E9F" w:rsidRDefault="00321647" w:rsidP="00321647">
      <w:pPr>
        <w:spacing w:after="0"/>
        <w:rPr>
          <w:rFonts w:cs="Times New Roman"/>
          <w:noProof/>
          <w:szCs w:val="24"/>
        </w:rPr>
      </w:pPr>
      <w:r w:rsidRPr="00653E9F">
        <w:rPr>
          <w:rFonts w:cs="Times New Roman"/>
          <w:noProof/>
          <w:szCs w:val="24"/>
        </w:rPr>
        <w:t>6)  Average order dollar value</w:t>
      </w:r>
    </w:p>
    <w:p w:rsidR="002429B7" w:rsidRPr="00653E9F" w:rsidRDefault="002429B7" w:rsidP="00321647">
      <w:pPr>
        <w:spacing w:after="0"/>
        <w:rPr>
          <w:rFonts w:cs="Times New Roman"/>
          <w:b/>
          <w:szCs w:val="24"/>
        </w:rPr>
      </w:pPr>
      <w:r w:rsidRPr="00653E9F">
        <w:rPr>
          <w:rFonts w:cs="Times New Roman"/>
          <w:b/>
          <w:noProof/>
          <w:szCs w:val="24"/>
        </w:rPr>
        <w:t>Data provided in Attachment 16.</w:t>
      </w:r>
    </w:p>
    <w:p w:rsidR="003B387A" w:rsidRDefault="003B387A" w:rsidP="00B63DB2">
      <w:pPr>
        <w:spacing w:after="0"/>
        <w:rPr>
          <w:rFonts w:cs="Times New Roman"/>
          <w:b/>
          <w:noProof/>
          <w:szCs w:val="24"/>
          <w:u w:val="single"/>
        </w:rPr>
      </w:pPr>
    </w:p>
    <w:p w:rsidR="00002C23" w:rsidRPr="0082137B" w:rsidRDefault="0082137B" w:rsidP="00B63DB2">
      <w:pPr>
        <w:spacing w:after="0"/>
        <w:rPr>
          <w:rFonts w:cs="Times New Roman"/>
          <w:b/>
          <w:noProof/>
          <w:szCs w:val="24"/>
          <w:u w:val="single"/>
        </w:rPr>
      </w:pPr>
      <w:r w:rsidRPr="0082137B">
        <w:rPr>
          <w:rFonts w:cs="Times New Roman"/>
          <w:b/>
          <w:noProof/>
          <w:szCs w:val="24"/>
          <w:u w:val="single"/>
        </w:rPr>
        <w:t>SECURITY</w:t>
      </w:r>
    </w:p>
    <w:p w:rsidR="00002C23" w:rsidRDefault="00002C23" w:rsidP="00B63DB2">
      <w:pPr>
        <w:spacing w:after="0"/>
        <w:rPr>
          <w:rFonts w:cs="Times New Roman"/>
          <w:noProof/>
          <w:szCs w:val="24"/>
        </w:rPr>
      </w:pPr>
      <w:r w:rsidRPr="009A7362">
        <w:rPr>
          <w:rFonts w:cs="Times New Roman"/>
          <w:noProof/>
          <w:szCs w:val="24"/>
        </w:rPr>
        <w:t xml:space="preserve">Will the solicitation be modified to incorporate DD Form 254 (DoD Contract Security Classification Specification) so that offerors can proceed with initiating background checks for personnel?  </w:t>
      </w:r>
    </w:p>
    <w:p w:rsidR="00227DBE" w:rsidRPr="00AF02B7" w:rsidRDefault="001467CE" w:rsidP="00BA6B1C">
      <w:pPr>
        <w:autoSpaceDE w:val="0"/>
        <w:autoSpaceDN w:val="0"/>
        <w:adjustRightInd w:val="0"/>
        <w:spacing w:after="0" w:line="240" w:lineRule="auto"/>
        <w:rPr>
          <w:rFonts w:cs="Times New Roman"/>
          <w:b/>
          <w:szCs w:val="24"/>
        </w:rPr>
      </w:pPr>
      <w:r w:rsidRPr="00AF02B7">
        <w:rPr>
          <w:rFonts w:cs="Times New Roman"/>
          <w:b/>
          <w:noProof/>
          <w:szCs w:val="24"/>
        </w:rPr>
        <w:t>Yes.  The following will be added to section 12 of the PWS “The Contractor is r</w:t>
      </w:r>
      <w:r w:rsidR="00AF02B7" w:rsidRPr="00AF02B7">
        <w:rPr>
          <w:rFonts w:cs="Times New Roman"/>
          <w:b/>
          <w:noProof/>
          <w:szCs w:val="24"/>
        </w:rPr>
        <w:t>e</w:t>
      </w:r>
      <w:r w:rsidRPr="00AF02B7">
        <w:rPr>
          <w:rFonts w:cs="Times New Roman"/>
          <w:b/>
          <w:noProof/>
          <w:szCs w:val="24"/>
        </w:rPr>
        <w:t>quired to submit a DD 254 (Department of Defense Contract Security Classification Specification) for each ALC.”</w:t>
      </w:r>
    </w:p>
    <w:p w:rsidR="00B63DB2" w:rsidRDefault="00B63DB2" w:rsidP="00B63DB2">
      <w:pPr>
        <w:spacing w:after="0"/>
        <w:rPr>
          <w:rFonts w:cs="Times New Roman"/>
          <w:noProof/>
          <w:szCs w:val="24"/>
        </w:rPr>
      </w:pPr>
    </w:p>
    <w:p w:rsidR="00DB4CA3" w:rsidRDefault="00002C23" w:rsidP="00B63DB2">
      <w:pPr>
        <w:spacing w:after="0"/>
        <w:rPr>
          <w:rFonts w:cs="Times New Roman"/>
          <w:noProof/>
          <w:szCs w:val="24"/>
        </w:rPr>
      </w:pPr>
      <w:r w:rsidRPr="009A7362">
        <w:rPr>
          <w:rFonts w:cs="Times New Roman"/>
          <w:noProof/>
          <w:szCs w:val="24"/>
        </w:rPr>
        <w:t>Wil</w:t>
      </w:r>
      <w:r>
        <w:rPr>
          <w:rFonts w:cs="Times New Roman"/>
          <w:noProof/>
          <w:szCs w:val="24"/>
        </w:rPr>
        <w:t>l</w:t>
      </w:r>
      <w:r w:rsidRPr="009A7362">
        <w:rPr>
          <w:rFonts w:cs="Times New Roman"/>
          <w:noProof/>
          <w:szCs w:val="24"/>
        </w:rPr>
        <w:t xml:space="preserve"> DLA provide the contractor forms needed to process contractor personnel background checks for each ALC?</w:t>
      </w:r>
      <w:r w:rsidR="00BA6B1C">
        <w:rPr>
          <w:rFonts w:cs="Times New Roman"/>
          <w:noProof/>
          <w:szCs w:val="24"/>
        </w:rPr>
        <w:t xml:space="preserve">  </w:t>
      </w:r>
    </w:p>
    <w:p w:rsidR="00002C23" w:rsidRPr="00AF02B7" w:rsidRDefault="00AF02B7" w:rsidP="00B63DB2">
      <w:pPr>
        <w:spacing w:after="0"/>
        <w:rPr>
          <w:rFonts w:cs="Times New Roman"/>
          <w:b/>
          <w:noProof/>
          <w:szCs w:val="24"/>
        </w:rPr>
      </w:pPr>
      <w:r w:rsidRPr="00AF02B7">
        <w:rPr>
          <w:rFonts w:cs="Times New Roman"/>
          <w:b/>
          <w:noProof/>
          <w:szCs w:val="24"/>
        </w:rPr>
        <w:t>Yes</w:t>
      </w:r>
    </w:p>
    <w:p w:rsidR="00B63DB2" w:rsidRDefault="00B63DB2" w:rsidP="00B63DB2">
      <w:pPr>
        <w:spacing w:after="0"/>
        <w:rPr>
          <w:rFonts w:cs="Times New Roman"/>
          <w:noProof/>
          <w:szCs w:val="24"/>
        </w:rPr>
      </w:pPr>
    </w:p>
    <w:p w:rsidR="00B04E00" w:rsidRDefault="0082137B" w:rsidP="00B63DB2">
      <w:pPr>
        <w:spacing w:after="0"/>
        <w:rPr>
          <w:b/>
          <w:u w:val="single"/>
        </w:rPr>
      </w:pPr>
      <w:r>
        <w:rPr>
          <w:b/>
          <w:u w:val="single"/>
        </w:rPr>
        <w:t>SOLICITATION</w:t>
      </w:r>
    </w:p>
    <w:p w:rsidR="00A669F1" w:rsidRPr="00653E9F" w:rsidRDefault="003B387A" w:rsidP="00B63DB2">
      <w:pPr>
        <w:spacing w:after="0"/>
        <w:rPr>
          <w:rFonts w:cs="Times New Roman"/>
          <w:szCs w:val="24"/>
        </w:rPr>
      </w:pPr>
      <w:r w:rsidRPr="00653E9F">
        <w:t>Pg13--</w:t>
      </w:r>
      <w:r w:rsidRPr="00653E9F">
        <w:rPr>
          <w:rFonts w:cs="Times New Roman"/>
          <w:szCs w:val="24"/>
        </w:rPr>
        <w:t xml:space="preserve"> Pursuant to DFARS 204.404-70, does the Government consider this clause to only be applicable to public release of information or would it applicable to the release of information to the Government as well? </w:t>
      </w:r>
      <w:r w:rsidR="002429B7" w:rsidRPr="00653E9F">
        <w:rPr>
          <w:rFonts w:cs="Times New Roman"/>
          <w:szCs w:val="24"/>
        </w:rPr>
        <w:t xml:space="preserve"> </w:t>
      </w:r>
    </w:p>
    <w:p w:rsidR="003B387A" w:rsidRPr="00A669F1" w:rsidRDefault="002429B7" w:rsidP="00B63DB2">
      <w:pPr>
        <w:spacing w:after="0"/>
        <w:rPr>
          <w:b/>
          <w:color w:val="00B0F0"/>
        </w:rPr>
      </w:pPr>
      <w:r w:rsidRPr="00653E9F">
        <w:rPr>
          <w:rFonts w:cs="Times New Roman"/>
          <w:b/>
          <w:szCs w:val="24"/>
        </w:rPr>
        <w:t xml:space="preserve">Information may only be released </w:t>
      </w:r>
      <w:r w:rsidRPr="00653E9F">
        <w:rPr>
          <w:b/>
        </w:rPr>
        <w:t xml:space="preserve">if </w:t>
      </w:r>
      <w:r w:rsidR="0098282E" w:rsidRPr="00653E9F">
        <w:rPr>
          <w:b/>
        </w:rPr>
        <w:t>authorized by the Contracting Officer.</w:t>
      </w:r>
    </w:p>
    <w:p w:rsidR="003B387A" w:rsidRDefault="003B387A" w:rsidP="00B63DB2">
      <w:pPr>
        <w:spacing w:after="0"/>
        <w:rPr>
          <w:color w:val="00B0F0"/>
        </w:rPr>
      </w:pPr>
    </w:p>
    <w:p w:rsidR="00A669F1" w:rsidRPr="007B75F8" w:rsidRDefault="003B387A" w:rsidP="00B63DB2">
      <w:pPr>
        <w:spacing w:after="0"/>
        <w:rPr>
          <w:rFonts w:cs="Times New Roman"/>
          <w:szCs w:val="24"/>
        </w:rPr>
      </w:pPr>
      <w:r w:rsidRPr="007B75F8">
        <w:t>Pg. 22--</w:t>
      </w:r>
      <w:r w:rsidRPr="007B75F8">
        <w:rPr>
          <w:rFonts w:cs="Times New Roman"/>
          <w:szCs w:val="24"/>
        </w:rPr>
        <w:t xml:space="preserve"> Pursuant to FAR 45.104 Responsibility and liability for Government property and FAR 45.107 Contract clauses, FAR 52.245-1 Alt 1 does not apply to a Contractor with an approved property </w:t>
      </w:r>
      <w:r w:rsidRPr="007B75F8">
        <w:rPr>
          <w:rFonts w:cs="Times New Roman"/>
          <w:szCs w:val="24"/>
        </w:rPr>
        <w:lastRenderedPageBreak/>
        <w:t xml:space="preserve">management system.  Is it the Government’s intent to remove this clause from the resultant contract if the winner has an approved property system?  </w:t>
      </w:r>
    </w:p>
    <w:p w:rsidR="003B387A" w:rsidRPr="007B75F8" w:rsidRDefault="0098282E" w:rsidP="00B63DB2">
      <w:pPr>
        <w:spacing w:after="0"/>
        <w:rPr>
          <w:b/>
        </w:rPr>
      </w:pPr>
      <w:r w:rsidRPr="007B75F8">
        <w:rPr>
          <w:b/>
        </w:rPr>
        <w:t>The contractor is required to follow the requirements of FAR 52.245-01 Alt 1.</w:t>
      </w:r>
    </w:p>
    <w:p w:rsidR="003B387A" w:rsidRPr="0082137B" w:rsidRDefault="003B387A" w:rsidP="00B63DB2">
      <w:pPr>
        <w:spacing w:after="0"/>
        <w:rPr>
          <w:b/>
          <w:u w:val="single"/>
        </w:rPr>
      </w:pPr>
    </w:p>
    <w:p w:rsidR="00BA6B1C" w:rsidRDefault="0082137B" w:rsidP="00DB4CA3">
      <w:pPr>
        <w:spacing w:after="0" w:line="240" w:lineRule="auto"/>
        <w:rPr>
          <w:rFonts w:cs="Times New Roman"/>
          <w:noProof/>
          <w:szCs w:val="24"/>
        </w:rPr>
      </w:pPr>
      <w:r>
        <w:rPr>
          <w:rFonts w:cs="Times New Roman"/>
          <w:noProof/>
          <w:szCs w:val="24"/>
        </w:rPr>
        <w:t xml:space="preserve">Pg. 43--Paragraph b.2 </w:t>
      </w:r>
      <w:r w:rsidRPr="009355B0">
        <w:rPr>
          <w:rFonts w:cs="Times New Roman"/>
          <w:noProof/>
          <w:szCs w:val="24"/>
        </w:rPr>
        <w:t>Supplemental Schedule of Items</w:t>
      </w:r>
      <w:r>
        <w:rPr>
          <w:rFonts w:cs="Times New Roman"/>
          <w:noProof/>
          <w:szCs w:val="24"/>
        </w:rPr>
        <w:t xml:space="preserve"> on page 43 to the RFP explains that the  Contractor pays the current DLA Standard Unit Price (SUP) when purchasing DLA Sourced Items from DLA, but the RFP is not clear as to whether the </w:t>
      </w:r>
      <w:r w:rsidRPr="009A7362">
        <w:rPr>
          <w:rFonts w:cs="Times New Roman"/>
          <w:noProof/>
          <w:szCs w:val="24"/>
        </w:rPr>
        <w:t xml:space="preserve">Unit </w:t>
      </w:r>
      <w:r>
        <w:rPr>
          <w:rFonts w:cs="Times New Roman"/>
          <w:noProof/>
          <w:szCs w:val="24"/>
        </w:rPr>
        <w:t>P</w:t>
      </w:r>
      <w:r w:rsidRPr="009A7362">
        <w:rPr>
          <w:rFonts w:cs="Times New Roman"/>
          <w:noProof/>
          <w:szCs w:val="24"/>
        </w:rPr>
        <w:t xml:space="preserve">art price used for </w:t>
      </w:r>
      <w:r>
        <w:rPr>
          <w:rFonts w:cs="Times New Roman"/>
          <w:noProof/>
          <w:szCs w:val="24"/>
        </w:rPr>
        <w:t xml:space="preserve">the </w:t>
      </w:r>
      <w:r w:rsidRPr="009A7362">
        <w:rPr>
          <w:rFonts w:cs="Times New Roman"/>
          <w:noProof/>
          <w:szCs w:val="24"/>
        </w:rPr>
        <w:t xml:space="preserve">ADO </w:t>
      </w:r>
      <w:r>
        <w:rPr>
          <w:rFonts w:cs="Times New Roman"/>
          <w:noProof/>
          <w:szCs w:val="24"/>
        </w:rPr>
        <w:t xml:space="preserve">value is </w:t>
      </w:r>
      <w:r w:rsidRPr="009A7362">
        <w:rPr>
          <w:rFonts w:cs="Times New Roman"/>
          <w:noProof/>
          <w:szCs w:val="24"/>
        </w:rPr>
        <w:t>based on</w:t>
      </w:r>
      <w:r>
        <w:rPr>
          <w:rFonts w:cs="Times New Roman"/>
          <w:noProof/>
          <w:szCs w:val="24"/>
        </w:rPr>
        <w:t xml:space="preserve"> the </w:t>
      </w:r>
      <w:r w:rsidRPr="009A7362">
        <w:rPr>
          <w:rFonts w:cs="Times New Roman"/>
          <w:noProof/>
          <w:szCs w:val="24"/>
        </w:rPr>
        <w:t>SUP in effect</w:t>
      </w:r>
      <w:r>
        <w:rPr>
          <w:rFonts w:cs="Times New Roman"/>
          <w:noProof/>
          <w:szCs w:val="24"/>
        </w:rPr>
        <w:t xml:space="preserve"> when: a) </w:t>
      </w:r>
      <w:r w:rsidRPr="009A7362">
        <w:rPr>
          <w:rFonts w:cs="Times New Roman"/>
          <w:noProof/>
          <w:szCs w:val="24"/>
        </w:rPr>
        <w:t>the Contractor originally purchased the item</w:t>
      </w:r>
      <w:r>
        <w:rPr>
          <w:rFonts w:cs="Times New Roman"/>
          <w:noProof/>
          <w:szCs w:val="24"/>
        </w:rPr>
        <w:t xml:space="preserve"> from DLA</w:t>
      </w:r>
      <w:r w:rsidRPr="009A7362">
        <w:rPr>
          <w:rFonts w:cs="Times New Roman"/>
          <w:noProof/>
          <w:szCs w:val="24"/>
        </w:rPr>
        <w:t xml:space="preserve">; b) </w:t>
      </w:r>
      <w:r>
        <w:rPr>
          <w:rFonts w:cs="Times New Roman"/>
          <w:noProof/>
          <w:szCs w:val="24"/>
        </w:rPr>
        <w:t xml:space="preserve">the Contractor </w:t>
      </w:r>
      <w:r w:rsidRPr="009A7362">
        <w:rPr>
          <w:rFonts w:cs="Times New Roman"/>
          <w:noProof/>
          <w:szCs w:val="24"/>
        </w:rPr>
        <w:t>ship</w:t>
      </w:r>
      <w:r>
        <w:rPr>
          <w:rFonts w:cs="Times New Roman"/>
          <w:noProof/>
          <w:szCs w:val="24"/>
        </w:rPr>
        <w:t>ped</w:t>
      </w:r>
      <w:r w:rsidRPr="009A7362">
        <w:rPr>
          <w:rFonts w:cs="Times New Roman"/>
          <w:noProof/>
          <w:szCs w:val="24"/>
        </w:rPr>
        <w:t xml:space="preserve"> or deliver</w:t>
      </w:r>
      <w:r>
        <w:rPr>
          <w:rFonts w:cs="Times New Roman"/>
          <w:noProof/>
          <w:szCs w:val="24"/>
        </w:rPr>
        <w:t>ed</w:t>
      </w:r>
      <w:r w:rsidRPr="009A7362">
        <w:rPr>
          <w:rFonts w:cs="Times New Roman"/>
          <w:noProof/>
          <w:szCs w:val="24"/>
        </w:rPr>
        <w:t xml:space="preserve"> </w:t>
      </w:r>
      <w:r>
        <w:rPr>
          <w:rFonts w:cs="Times New Roman"/>
          <w:noProof/>
          <w:szCs w:val="24"/>
        </w:rPr>
        <w:t>t</w:t>
      </w:r>
      <w:r w:rsidRPr="009A7362">
        <w:rPr>
          <w:rFonts w:cs="Times New Roman"/>
          <w:noProof/>
          <w:szCs w:val="24"/>
        </w:rPr>
        <w:t xml:space="preserve">he item; </w:t>
      </w:r>
      <w:r>
        <w:rPr>
          <w:rFonts w:cs="Times New Roman"/>
          <w:noProof/>
          <w:szCs w:val="24"/>
        </w:rPr>
        <w:t xml:space="preserve">or </w:t>
      </w:r>
      <w:r w:rsidRPr="009A7362">
        <w:rPr>
          <w:rFonts w:cs="Times New Roman"/>
          <w:noProof/>
          <w:szCs w:val="24"/>
        </w:rPr>
        <w:t xml:space="preserve">c) </w:t>
      </w:r>
      <w:r>
        <w:rPr>
          <w:rFonts w:cs="Times New Roman"/>
          <w:noProof/>
          <w:szCs w:val="24"/>
        </w:rPr>
        <w:t xml:space="preserve">the </w:t>
      </w:r>
      <w:r w:rsidRPr="001F5A73">
        <w:rPr>
          <w:rFonts w:cs="Times New Roman"/>
          <w:noProof/>
          <w:szCs w:val="24"/>
        </w:rPr>
        <w:t xml:space="preserve">Material sub-CLIN </w:t>
      </w:r>
      <w:r w:rsidRPr="009A7362">
        <w:rPr>
          <w:rFonts w:cs="Times New Roman"/>
          <w:noProof/>
          <w:szCs w:val="24"/>
        </w:rPr>
        <w:t>reconciliation</w:t>
      </w:r>
      <w:r>
        <w:rPr>
          <w:rFonts w:cs="Times New Roman"/>
          <w:noProof/>
          <w:szCs w:val="24"/>
        </w:rPr>
        <w:t xml:space="preserve"> occurs.  Please clarify which applies.  </w:t>
      </w:r>
    </w:p>
    <w:p w:rsidR="00BA6B1C" w:rsidRPr="000D262F" w:rsidRDefault="00BA6B1C" w:rsidP="00DB4CA3">
      <w:pPr>
        <w:spacing w:after="0" w:line="240" w:lineRule="auto"/>
        <w:rPr>
          <w:rFonts w:cs="Times New Roman"/>
          <w:b/>
          <w:noProof/>
          <w:szCs w:val="24"/>
        </w:rPr>
      </w:pPr>
      <w:r w:rsidRPr="000D262F">
        <w:rPr>
          <w:rFonts w:cs="Times New Roman"/>
          <w:b/>
          <w:noProof/>
          <w:szCs w:val="24"/>
        </w:rPr>
        <w:t>The unit part pri</w:t>
      </w:r>
      <w:r w:rsidR="0098282E">
        <w:rPr>
          <w:rFonts w:cs="Times New Roman"/>
          <w:b/>
          <w:noProof/>
          <w:szCs w:val="24"/>
        </w:rPr>
        <w:t>c</w:t>
      </w:r>
      <w:r w:rsidRPr="000D262F">
        <w:rPr>
          <w:rFonts w:cs="Times New Roman"/>
          <w:b/>
          <w:noProof/>
          <w:szCs w:val="24"/>
        </w:rPr>
        <w:t xml:space="preserve">e that the contractor cites on the </w:t>
      </w:r>
      <w:r w:rsidR="005E6193" w:rsidRPr="000D262F">
        <w:rPr>
          <w:rFonts w:cs="Times New Roman"/>
          <w:b/>
          <w:noProof/>
          <w:szCs w:val="24"/>
        </w:rPr>
        <w:t xml:space="preserve">daily </w:t>
      </w:r>
      <w:r w:rsidRPr="000D262F">
        <w:rPr>
          <w:rFonts w:cs="Times New Roman"/>
          <w:b/>
          <w:noProof/>
          <w:szCs w:val="24"/>
        </w:rPr>
        <w:t xml:space="preserve">delivery </w:t>
      </w:r>
      <w:r w:rsidR="005E6193" w:rsidRPr="000D262F">
        <w:rPr>
          <w:rFonts w:cs="Times New Roman"/>
          <w:b/>
          <w:noProof/>
          <w:szCs w:val="24"/>
        </w:rPr>
        <w:t>reporting sheet for the COR to sign off, will be the price the contractor paid for the material from DLA at the time of purchase.</w:t>
      </w:r>
    </w:p>
    <w:p w:rsidR="00BA6B1C" w:rsidRPr="009A7362" w:rsidRDefault="00BA6B1C" w:rsidP="00B63DB2">
      <w:pPr>
        <w:spacing w:after="0"/>
        <w:rPr>
          <w:rFonts w:cs="Times New Roman"/>
          <w:noProof/>
          <w:szCs w:val="24"/>
        </w:rPr>
      </w:pPr>
    </w:p>
    <w:p w:rsidR="0082137B" w:rsidRDefault="0082137B" w:rsidP="00DB4CA3">
      <w:pPr>
        <w:spacing w:after="0"/>
        <w:rPr>
          <w:rFonts w:cs="Times New Roman"/>
          <w:noProof/>
          <w:szCs w:val="24"/>
        </w:rPr>
      </w:pPr>
      <w:r w:rsidRPr="00E9687F">
        <w:rPr>
          <w:rFonts w:cs="Times New Roman"/>
          <w:noProof/>
          <w:szCs w:val="24"/>
        </w:rPr>
        <w:t>The Contractor is required to purchase, take possesion and title to DLA Sourced Items using Signal Code A procedures, maintain sufficient inventory to meet ALC demand, then eventually transfer possesion and title of the Items back to the Government when the DLA Sourced Items are delivered to the ALCs.  Based on how the Signal Code A process requires the Contractor to pay for and take title to DLA Sourced Items</w:t>
      </w:r>
      <w:r w:rsidRPr="001D2BBA">
        <w:rPr>
          <w:rFonts w:cs="Times New Roman"/>
          <w:noProof/>
          <w:szCs w:val="24"/>
        </w:rPr>
        <w:t>, GAAP accounting</w:t>
      </w:r>
      <w:r w:rsidRPr="00E9687F">
        <w:rPr>
          <w:rFonts w:cs="Times New Roman"/>
          <w:noProof/>
          <w:szCs w:val="24"/>
        </w:rPr>
        <w:t xml:space="preserve"> rules require the Contractor’s purchase cost of DLA Sourced Items to be treated as a direct cost of contract performance, the same as with Commercially Sourced Items.  Also, as with Commercially Sourced Items, there are costs associated with the purchase of DLA Sourced Items in addition to the purchase cost such as procurement labor, accounts payable, accounting for inventory, and accounts receivable administrative activities.  These costs are typically classified as indirect costs (G&amp;A, overhead) in the Contractor’s Cost Accounting Standards (CAS) disclosure statement and allocated based on actual direct costs, i.e. on the basis of the actual purchase cost of DLA Sourced Items. Therefore will the Unit Part Price for DLA Sourced Items used to calculate the ADO value be based on the actual SUP multiplied by a burdening factor for indirect costs based on applicable indirect costs and rates in accordance with the Contractor’s DCMA-approved CAS disclosure statement?</w:t>
      </w:r>
    </w:p>
    <w:p w:rsidR="005E6193" w:rsidRPr="000D262F" w:rsidRDefault="005E6193" w:rsidP="00DB4CA3">
      <w:pPr>
        <w:spacing w:after="0"/>
        <w:rPr>
          <w:rFonts w:cs="Times New Roman"/>
          <w:b/>
          <w:noProof/>
          <w:szCs w:val="24"/>
        </w:rPr>
      </w:pPr>
      <w:r w:rsidRPr="000D262F">
        <w:rPr>
          <w:rFonts w:cs="Times New Roman"/>
          <w:b/>
          <w:noProof/>
          <w:szCs w:val="24"/>
        </w:rPr>
        <w:t xml:space="preserve">The unit price used to calculate the ADO will be the DLA SUP.  </w:t>
      </w:r>
      <w:r w:rsidR="00EE59A3" w:rsidRPr="000D262F">
        <w:rPr>
          <w:rFonts w:cs="Times New Roman"/>
          <w:b/>
          <w:noProof/>
          <w:szCs w:val="24"/>
        </w:rPr>
        <w:t xml:space="preserve">Any applicable indirect costs and rates should be </w:t>
      </w:r>
      <w:r w:rsidR="000D262F">
        <w:rPr>
          <w:rFonts w:cs="Times New Roman"/>
          <w:b/>
          <w:noProof/>
          <w:szCs w:val="24"/>
        </w:rPr>
        <w:t xml:space="preserve">accounted for in other areas of the proposal.  </w:t>
      </w:r>
    </w:p>
    <w:p w:rsidR="00DB4CA3" w:rsidRPr="00A6382D" w:rsidRDefault="00DB4CA3" w:rsidP="00DB4CA3">
      <w:pPr>
        <w:spacing w:after="0"/>
        <w:rPr>
          <w:rFonts w:cs="Times New Roman"/>
          <w:noProof/>
          <w:color w:val="FF0000"/>
          <w:szCs w:val="24"/>
        </w:rPr>
      </w:pPr>
    </w:p>
    <w:p w:rsidR="00002C23" w:rsidRDefault="00002C23" w:rsidP="00DB4CA3">
      <w:pPr>
        <w:spacing w:after="0"/>
        <w:rPr>
          <w:rFonts w:cs="Times New Roman"/>
          <w:szCs w:val="24"/>
        </w:rPr>
      </w:pPr>
      <w:proofErr w:type="spellStart"/>
      <w:r>
        <w:t>Pg</w:t>
      </w:r>
      <w:proofErr w:type="spellEnd"/>
      <w:r>
        <w:t xml:space="preserve"> 107--</w:t>
      </w:r>
      <w:r w:rsidRPr="00002C23">
        <w:rPr>
          <w:rFonts w:cs="Times New Roman"/>
          <w:szCs w:val="24"/>
        </w:rPr>
        <w:t xml:space="preserve"> </w:t>
      </w:r>
      <w:r w:rsidR="00B04E00" w:rsidRPr="00E9687F">
        <w:rPr>
          <w:rFonts w:cs="Times New Roman"/>
          <w:szCs w:val="24"/>
        </w:rPr>
        <w:t>"Conduct a gap analysis and identify any items that could potentially become</w:t>
      </w:r>
      <w:r w:rsidR="00B04E00">
        <w:rPr>
          <w:rFonts w:cs="Times New Roman"/>
          <w:szCs w:val="24"/>
        </w:rPr>
        <w:t xml:space="preserve"> u</w:t>
      </w:r>
      <w:r w:rsidR="00B04E00" w:rsidRPr="00E9687F">
        <w:rPr>
          <w:rFonts w:cs="Times New Roman"/>
          <w:szCs w:val="24"/>
        </w:rPr>
        <w:t>nsupportable during the transition / site activation and coordinate actions including, but not limited to, spot buys to ensure material is available within 90 days of contract close"</w:t>
      </w:r>
      <w:r w:rsidR="00B04E00">
        <w:rPr>
          <w:rFonts w:cs="Times New Roman"/>
          <w:szCs w:val="24"/>
        </w:rPr>
        <w:t xml:space="preserve">  </w:t>
      </w:r>
      <w:r>
        <w:rPr>
          <w:rFonts w:cs="Times New Roman"/>
          <w:szCs w:val="24"/>
        </w:rPr>
        <w:t>Does the term “s</w:t>
      </w:r>
      <w:r w:rsidRPr="00E9687F">
        <w:rPr>
          <w:rFonts w:cs="Times New Roman"/>
          <w:szCs w:val="24"/>
        </w:rPr>
        <w:t xml:space="preserve">pot </w:t>
      </w:r>
      <w:r>
        <w:rPr>
          <w:rFonts w:cs="Times New Roman"/>
          <w:szCs w:val="24"/>
        </w:rPr>
        <w:t>b</w:t>
      </w:r>
      <w:r w:rsidRPr="00E9687F">
        <w:rPr>
          <w:rFonts w:cs="Times New Roman"/>
          <w:szCs w:val="24"/>
        </w:rPr>
        <w:t xml:space="preserve">uys” cited in this statement </w:t>
      </w:r>
      <w:r>
        <w:rPr>
          <w:rFonts w:cs="Times New Roman"/>
          <w:szCs w:val="24"/>
        </w:rPr>
        <w:t xml:space="preserve">refer to </w:t>
      </w:r>
      <w:r w:rsidRPr="00E9687F">
        <w:rPr>
          <w:rFonts w:cs="Times New Roman"/>
          <w:szCs w:val="24"/>
        </w:rPr>
        <w:t xml:space="preserve">the traditional type </w:t>
      </w:r>
      <w:r>
        <w:rPr>
          <w:rFonts w:cs="Times New Roman"/>
          <w:szCs w:val="24"/>
        </w:rPr>
        <w:t>of spot buy where</w:t>
      </w:r>
      <w:r w:rsidRPr="00E9687F">
        <w:rPr>
          <w:rFonts w:cs="Times New Roman"/>
          <w:szCs w:val="24"/>
        </w:rPr>
        <w:t xml:space="preserve"> the customer or DLA </w:t>
      </w:r>
      <w:r>
        <w:rPr>
          <w:rFonts w:cs="Times New Roman"/>
          <w:szCs w:val="24"/>
        </w:rPr>
        <w:t xml:space="preserve">would </w:t>
      </w:r>
      <w:r w:rsidRPr="00E9687F">
        <w:rPr>
          <w:rFonts w:cs="Times New Roman"/>
          <w:szCs w:val="24"/>
        </w:rPr>
        <w:t xml:space="preserve">approve </w:t>
      </w:r>
      <w:r>
        <w:rPr>
          <w:rFonts w:cs="Times New Roman"/>
          <w:szCs w:val="24"/>
        </w:rPr>
        <w:t>the spot buy and allow the Contractor to invoice for the spot buy at the time of delivery and acceptance</w:t>
      </w:r>
      <w:r w:rsidRPr="00E9687F">
        <w:rPr>
          <w:rFonts w:cs="Times New Roman"/>
          <w:szCs w:val="24"/>
        </w:rPr>
        <w:t>?</w:t>
      </w:r>
    </w:p>
    <w:p w:rsidR="00EE59A3" w:rsidRPr="00FE6972" w:rsidRDefault="00EE59A3" w:rsidP="00DB4CA3">
      <w:pPr>
        <w:spacing w:after="0"/>
        <w:rPr>
          <w:rFonts w:cs="Times New Roman"/>
          <w:b/>
          <w:szCs w:val="24"/>
        </w:rPr>
      </w:pPr>
      <w:r w:rsidRPr="00FE6972">
        <w:rPr>
          <w:rFonts w:cs="Times New Roman"/>
          <w:b/>
          <w:szCs w:val="24"/>
        </w:rPr>
        <w:t>It refers to DLA Backup as described in Section H-907</w:t>
      </w:r>
      <w:r w:rsidR="007B75F8">
        <w:rPr>
          <w:rFonts w:cs="Times New Roman"/>
          <w:b/>
          <w:szCs w:val="24"/>
        </w:rPr>
        <w:t xml:space="preserve"> IAW Amendment 03</w:t>
      </w:r>
      <w:r w:rsidRPr="00FE6972">
        <w:rPr>
          <w:rFonts w:cs="Times New Roman"/>
          <w:b/>
          <w:szCs w:val="24"/>
        </w:rPr>
        <w:t>.</w:t>
      </w:r>
    </w:p>
    <w:p w:rsidR="00DB4CA3" w:rsidRPr="00EE59A3" w:rsidRDefault="00DB4CA3" w:rsidP="00DB4CA3">
      <w:pPr>
        <w:spacing w:after="0"/>
        <w:rPr>
          <w:rFonts w:cs="Times New Roman"/>
          <w:color w:val="FF0000"/>
          <w:szCs w:val="24"/>
        </w:rPr>
      </w:pPr>
    </w:p>
    <w:p w:rsidR="00C73EC2" w:rsidRPr="005E1EE4" w:rsidRDefault="00B04E00" w:rsidP="00DB4CA3">
      <w:pPr>
        <w:spacing w:after="0"/>
      </w:pPr>
      <w:r w:rsidRPr="005E1EE4">
        <w:t>Pg. 45/105--“</w:t>
      </w:r>
      <w:r w:rsidRPr="005E1EE4">
        <w:rPr>
          <w:rFonts w:cs="Times New Roman"/>
          <w:noProof/>
          <w:szCs w:val="24"/>
        </w:rPr>
        <w:t xml:space="preserve">H-901: “By the date of each site activation after award, the contractor will have completed the following actions: (fourth bullet) Accomplish movement and accounting including reporting to the Government of all AF owned material managed and stored by the Gen II contractor that is included on the Gen III SOI to the successful awardee’s facilities through coordination with the Gen II contractor, AF, and DLA.” </w:t>
      </w:r>
      <w:r w:rsidR="00B8087F" w:rsidRPr="005E1EE4">
        <w:rPr>
          <w:rFonts w:cs="Times New Roman"/>
          <w:noProof/>
          <w:szCs w:val="24"/>
        </w:rPr>
        <w:t xml:space="preserve"> 1</w:t>
      </w:r>
      <w:r w:rsidRPr="005E1EE4">
        <w:rPr>
          <w:rFonts w:cs="Times New Roman"/>
          <w:szCs w:val="24"/>
        </w:rPr>
        <w:t>1.1 Phase-In Requirements</w:t>
      </w:r>
      <w:r w:rsidRPr="005E1EE4">
        <w:rPr>
          <w:rFonts w:cs="Times New Roman"/>
          <w:noProof/>
          <w:szCs w:val="24"/>
        </w:rPr>
        <w:t xml:space="preserve">: “Upon site activation and through coordination with the Gen II Contractor, AF, and DLA, the Contractor shall have accomplished movement and accounting including reporting to the Government of all AF owned material managed and stored by the Gen II </w:t>
      </w:r>
      <w:r w:rsidRPr="005E1EE4">
        <w:rPr>
          <w:rFonts w:cs="Times New Roman"/>
          <w:noProof/>
          <w:szCs w:val="24"/>
        </w:rPr>
        <w:lastRenderedPageBreak/>
        <w:t>Contractor to the successful awardee’s facilities.”</w:t>
      </w:r>
      <w:r w:rsidR="00B8087F" w:rsidRPr="005E1EE4">
        <w:rPr>
          <w:rFonts w:cs="Times New Roman"/>
          <w:noProof/>
          <w:szCs w:val="24"/>
        </w:rPr>
        <w:t xml:space="preserve">  </w:t>
      </w:r>
      <w:r w:rsidRPr="005E1EE4">
        <w:rPr>
          <w:rFonts w:cs="Times New Roman"/>
          <w:szCs w:val="24"/>
        </w:rPr>
        <w:t>11.2 Preparation and Staging (second bullet):</w:t>
      </w:r>
      <w:r w:rsidRPr="005E1EE4">
        <w:rPr>
          <w:rFonts w:cs="Times New Roman"/>
          <w:noProof/>
          <w:szCs w:val="24"/>
        </w:rPr>
        <w:t xml:space="preserve"> “Upon site activation and through coordination with the Gen II Contractor, AF, and DLA, accomplish movement and accounting including reporting to the Government of all AF owned material managed and stored by the Gen II Contractor to the successful awardee’s facilities”</w:t>
      </w:r>
      <w:r w:rsidR="00B8087F" w:rsidRPr="005E1EE4">
        <w:rPr>
          <w:rFonts w:cs="Times New Roman"/>
          <w:noProof/>
          <w:szCs w:val="24"/>
        </w:rPr>
        <w:t xml:space="preserve">  </w:t>
      </w:r>
      <w:r w:rsidR="00C73EC2" w:rsidRPr="005E1EE4">
        <w:t>Will the Contractor be required to warehouse AF-owned material in its own facility or will the material be warehoused on base in a Virtual Crib as suggested</w:t>
      </w:r>
      <w:r w:rsidR="00EE59A3" w:rsidRPr="005E1EE4">
        <w:t xml:space="preserve"> during the OC-ALC site visit?</w:t>
      </w:r>
    </w:p>
    <w:p w:rsidR="00EE59A3" w:rsidRPr="00A669F1" w:rsidRDefault="00EE59A3" w:rsidP="00DB4CA3">
      <w:pPr>
        <w:pStyle w:val="BodyText"/>
        <w:rPr>
          <w:b/>
        </w:rPr>
      </w:pPr>
      <w:r w:rsidRPr="005E1EE4">
        <w:rPr>
          <w:b/>
        </w:rPr>
        <w:t xml:space="preserve">Any AF owned reserve material at the Contractor facility will be moved on base and stored in Virtual Crib.  Any AF owned material used in the Gen II Contractor kitting operation will be transferred to the Gen III contractor to store and attrite in its kitting operation.  The Gen III contractor will be expected to log this material and provide a report to the Government of </w:t>
      </w:r>
      <w:r w:rsidR="00E72CE1" w:rsidRPr="005E1EE4">
        <w:rPr>
          <w:b/>
        </w:rPr>
        <w:t>the material transferred.</w:t>
      </w:r>
    </w:p>
    <w:p w:rsidR="00DB4CA3" w:rsidRPr="00C40F35" w:rsidRDefault="00DB4CA3" w:rsidP="00DB4CA3">
      <w:pPr>
        <w:spacing w:after="0"/>
        <w:rPr>
          <w:rFonts w:cs="Times New Roman"/>
          <w:color w:val="FF0000"/>
        </w:rPr>
      </w:pPr>
    </w:p>
    <w:p w:rsidR="002C311F" w:rsidRDefault="002C311F" w:rsidP="00DB4CA3">
      <w:pPr>
        <w:spacing w:after="0"/>
        <w:rPr>
          <w:rFonts w:cs="Times New Roman"/>
          <w:szCs w:val="24"/>
        </w:rPr>
      </w:pPr>
      <w:r>
        <w:rPr>
          <w:rFonts w:cs="Times New Roman"/>
        </w:rPr>
        <w:t>Pg. 85--</w:t>
      </w:r>
      <w:r w:rsidRPr="002C311F">
        <w:rPr>
          <w:rFonts w:cs="Times New Roman"/>
          <w:szCs w:val="24"/>
        </w:rPr>
        <w:t xml:space="preserve"> </w:t>
      </w:r>
      <w:r w:rsidRPr="00272B00">
        <w:rPr>
          <w:rFonts w:cs="Times New Roman"/>
          <w:szCs w:val="24"/>
        </w:rPr>
        <w:t>Does the 3-month material buyback clause apply to</w:t>
      </w:r>
      <w:r>
        <w:rPr>
          <w:rFonts w:cs="Times New Roman"/>
          <w:szCs w:val="24"/>
        </w:rPr>
        <w:t xml:space="preserve"> items deleted from the SOI and </w:t>
      </w:r>
      <w:r w:rsidRPr="00272B00">
        <w:rPr>
          <w:rFonts w:cs="Times New Roman"/>
          <w:szCs w:val="24"/>
        </w:rPr>
        <w:t xml:space="preserve">excess inventory in the Contractor’s possession at the end of the contract?  Or is it </w:t>
      </w:r>
      <w:r>
        <w:rPr>
          <w:rFonts w:cs="Times New Roman"/>
          <w:szCs w:val="24"/>
        </w:rPr>
        <w:t>only</w:t>
      </w:r>
      <w:r w:rsidRPr="00272B00">
        <w:rPr>
          <w:rFonts w:cs="Times New Roman"/>
          <w:szCs w:val="24"/>
        </w:rPr>
        <w:t xml:space="preserve"> applicable to items deleted from the </w:t>
      </w:r>
      <w:r>
        <w:rPr>
          <w:rFonts w:cs="Times New Roman"/>
          <w:szCs w:val="24"/>
        </w:rPr>
        <w:t>SOI</w:t>
      </w:r>
      <w:r w:rsidRPr="00272B00">
        <w:rPr>
          <w:rFonts w:cs="Times New Roman"/>
          <w:szCs w:val="24"/>
        </w:rPr>
        <w:t>?</w:t>
      </w:r>
    </w:p>
    <w:p w:rsidR="00C40F35" w:rsidRPr="00FE6972" w:rsidRDefault="00C40F35" w:rsidP="00DB4CA3">
      <w:pPr>
        <w:spacing w:after="0"/>
        <w:rPr>
          <w:rFonts w:cs="Times New Roman"/>
          <w:b/>
          <w:szCs w:val="24"/>
        </w:rPr>
      </w:pPr>
      <w:r w:rsidRPr="00FE6972">
        <w:rPr>
          <w:rFonts w:cs="Times New Roman"/>
          <w:b/>
          <w:szCs w:val="24"/>
        </w:rPr>
        <w:t>Both</w:t>
      </w:r>
    </w:p>
    <w:p w:rsidR="00DB4CA3" w:rsidRPr="00C40F35" w:rsidRDefault="00DB4CA3" w:rsidP="00DB4CA3">
      <w:pPr>
        <w:spacing w:after="0"/>
        <w:rPr>
          <w:rFonts w:cs="Times New Roman"/>
          <w:color w:val="FF0000"/>
          <w:szCs w:val="24"/>
        </w:rPr>
      </w:pPr>
    </w:p>
    <w:p w:rsidR="000E5B24" w:rsidRPr="005C6FA9" w:rsidRDefault="00B63DB2" w:rsidP="00B63DB2">
      <w:pPr>
        <w:spacing w:after="0"/>
        <w:rPr>
          <w:rFonts w:cs="Times New Roman"/>
          <w:noProof/>
          <w:szCs w:val="24"/>
        </w:rPr>
      </w:pPr>
      <w:r w:rsidRPr="005C6FA9">
        <w:rPr>
          <w:rFonts w:cs="Times New Roman"/>
          <w:noProof/>
          <w:szCs w:val="24"/>
        </w:rPr>
        <w:t>Pg 10—Please identify all IPV data that is considered covered defense information as defined in D</w:t>
      </w:r>
      <w:r w:rsidR="000E5B24" w:rsidRPr="005C6FA9">
        <w:rPr>
          <w:rFonts w:cs="Times New Roman"/>
          <w:noProof/>
          <w:szCs w:val="24"/>
        </w:rPr>
        <w:t>F</w:t>
      </w:r>
      <w:r w:rsidRPr="005C6FA9">
        <w:rPr>
          <w:rFonts w:cs="Times New Roman"/>
          <w:noProof/>
          <w:szCs w:val="24"/>
        </w:rPr>
        <w:t xml:space="preserve">ARS 252.204-7012 Safeguarding of Unclassified Controlled Techical Information.  </w:t>
      </w:r>
    </w:p>
    <w:p w:rsidR="00B63DB2" w:rsidRPr="005C6FA9" w:rsidRDefault="000E5B24" w:rsidP="00B63DB2">
      <w:pPr>
        <w:spacing w:after="0"/>
        <w:rPr>
          <w:rFonts w:cs="Times New Roman"/>
          <w:b/>
          <w:noProof/>
          <w:szCs w:val="24"/>
        </w:rPr>
      </w:pPr>
      <w:r w:rsidRPr="005C6FA9">
        <w:rPr>
          <w:b/>
        </w:rPr>
        <w:t>The clause details information covered under DFARS 252.204-7012.</w:t>
      </w:r>
    </w:p>
    <w:p w:rsidR="00B63DB2" w:rsidRPr="001927AA" w:rsidRDefault="00B63DB2" w:rsidP="00B63DB2">
      <w:pPr>
        <w:spacing w:after="0"/>
        <w:rPr>
          <w:rFonts w:cs="Times New Roman"/>
          <w:b/>
          <w:noProof/>
          <w:szCs w:val="24"/>
        </w:rPr>
      </w:pPr>
    </w:p>
    <w:p w:rsidR="00B63DB2" w:rsidRPr="00473988" w:rsidRDefault="00B63DB2" w:rsidP="00B63DB2">
      <w:pPr>
        <w:spacing w:after="0"/>
        <w:rPr>
          <w:rFonts w:cs="Times New Roman"/>
          <w:noProof/>
          <w:szCs w:val="24"/>
        </w:rPr>
      </w:pPr>
      <w:r w:rsidRPr="00473988">
        <w:rPr>
          <w:rFonts w:cs="Times New Roman"/>
          <w:noProof/>
          <w:szCs w:val="24"/>
        </w:rPr>
        <w:t>Pg 11-- Please confirm that clause DFARS 252.225-7021, Trade Agreements, applies to all NSNs in the Schedule of Items associated with the Product Service Groups listed at DFARS 225.401-70 and DFARS 252.225-7001, Buy American and Balance of Payments Program, applies to all of the rest of the NSNs in the Schedule of Items.</w:t>
      </w:r>
    </w:p>
    <w:p w:rsidR="00C40F35" w:rsidRPr="00473988" w:rsidRDefault="00C40F35" w:rsidP="00C40F35">
      <w:pPr>
        <w:pStyle w:val="PlainText"/>
        <w:rPr>
          <w:rFonts w:ascii="Times New Roman" w:hAnsi="Times New Roman" w:cs="Times New Roman"/>
          <w:b/>
          <w:sz w:val="24"/>
          <w:szCs w:val="24"/>
        </w:rPr>
      </w:pPr>
      <w:r w:rsidRPr="00473988">
        <w:rPr>
          <w:rFonts w:ascii="Times New Roman" w:hAnsi="Times New Roman" w:cs="Times New Roman"/>
          <w:b/>
          <w:sz w:val="24"/>
          <w:szCs w:val="24"/>
        </w:rPr>
        <w:t>Trade Agreements applies to the FSCs listed at DFARS 225.401-70, but also notes "if no exception applies" as provided in DFARS 225.401-70.  Specialty Metals DFARS 225.7003-3 and clauses 252.225-7008 and 252.225-7009 may also apply.</w:t>
      </w:r>
    </w:p>
    <w:p w:rsidR="00B63DB2" w:rsidRDefault="00B63DB2" w:rsidP="00B63DB2">
      <w:pPr>
        <w:spacing w:after="0"/>
        <w:rPr>
          <w:rFonts w:cs="Times New Roman"/>
          <w:noProof/>
          <w:szCs w:val="24"/>
          <w:highlight w:val="yellow"/>
        </w:rPr>
      </w:pPr>
    </w:p>
    <w:p w:rsidR="00B63DB2" w:rsidRPr="00473988" w:rsidRDefault="00B63DB2" w:rsidP="00B63DB2">
      <w:pPr>
        <w:spacing w:after="0"/>
        <w:rPr>
          <w:rFonts w:cs="Times New Roman"/>
          <w:noProof/>
          <w:szCs w:val="24"/>
        </w:rPr>
      </w:pPr>
      <w:r w:rsidRPr="00473988">
        <w:rPr>
          <w:rFonts w:cs="Times New Roman"/>
          <w:noProof/>
          <w:szCs w:val="24"/>
        </w:rPr>
        <w:t>Pg 18-- This clause stipulates economic price adjustments based on changes to "the Contractor’s applicable established price".  The other Economic Price Adjustment clause 52.216-9030, however, stipulates economic price adjustments based on changes to Department of Labor indexes.  The resulting economic price adjustments will invariably conflict due to the different methodologies.  Recommend removing one of the two clauses to prevent conflicting price adjustments.</w:t>
      </w:r>
    </w:p>
    <w:p w:rsidR="00B63DB2" w:rsidRPr="00473988" w:rsidRDefault="00473988" w:rsidP="00B63DB2">
      <w:pPr>
        <w:pStyle w:val="PlainText"/>
        <w:rPr>
          <w:rFonts w:ascii="Times New Roman" w:hAnsi="Times New Roman" w:cs="Times New Roman"/>
          <w:b/>
          <w:noProof/>
          <w:sz w:val="24"/>
          <w:szCs w:val="24"/>
        </w:rPr>
      </w:pPr>
      <w:r w:rsidRPr="00473988">
        <w:rPr>
          <w:rFonts w:ascii="Times New Roman" w:hAnsi="Times New Roman" w:cs="Times New Roman"/>
          <w:b/>
          <w:noProof/>
          <w:sz w:val="24"/>
          <w:szCs w:val="24"/>
        </w:rPr>
        <w:t>Deleting FAR clause 52.216-02.  EP</w:t>
      </w:r>
      <w:r>
        <w:rPr>
          <w:rFonts w:ascii="Times New Roman" w:hAnsi="Times New Roman" w:cs="Times New Roman"/>
          <w:b/>
          <w:noProof/>
          <w:sz w:val="24"/>
          <w:szCs w:val="24"/>
        </w:rPr>
        <w:t>A will be based on indexes as de</w:t>
      </w:r>
      <w:r w:rsidRPr="00473988">
        <w:rPr>
          <w:rFonts w:ascii="Times New Roman" w:hAnsi="Times New Roman" w:cs="Times New Roman"/>
          <w:b/>
          <w:noProof/>
          <w:sz w:val="24"/>
          <w:szCs w:val="24"/>
        </w:rPr>
        <w:t>scribed on page 20 under clause 52.216-9030.</w:t>
      </w:r>
    </w:p>
    <w:p w:rsidR="00B63DB2" w:rsidRDefault="00B63DB2" w:rsidP="00B63DB2">
      <w:pPr>
        <w:spacing w:after="0"/>
        <w:rPr>
          <w:rFonts w:cs="Times New Roman"/>
          <w:noProof/>
          <w:szCs w:val="24"/>
          <w:highlight w:val="yellow"/>
        </w:rPr>
      </w:pPr>
    </w:p>
    <w:p w:rsidR="00B63DB2" w:rsidRPr="00693882" w:rsidRDefault="00B63DB2" w:rsidP="00B63DB2">
      <w:pPr>
        <w:spacing w:after="0"/>
        <w:rPr>
          <w:rFonts w:cs="Times New Roman"/>
          <w:noProof/>
          <w:szCs w:val="24"/>
        </w:rPr>
      </w:pPr>
      <w:r w:rsidRPr="00693882">
        <w:rPr>
          <w:rFonts w:cs="Times New Roman"/>
          <w:noProof/>
          <w:szCs w:val="24"/>
        </w:rPr>
        <w:t>Pg 20-- The cumulative 10% upward adjustment limit on EPA indexes whose identifiers exceed 6 digits appears to be an overly restrictive limitation for a potential 10-year contract, considering how that the BLS indexes are actual measures of prevailing commercial market prices.  Moreover, the limitation applies to BLS indexes that have varied the most.  Over the last 10 year, for example, WPU 1081-05 (Aircraft fasteners) has varied by 52% between the lowest and highest value.  Therefore, can the Government increase the limit or apply the limit on an annual instead of a cumulative basis?</w:t>
      </w:r>
    </w:p>
    <w:p w:rsidR="00B63DB2" w:rsidRPr="00413DD6" w:rsidRDefault="00413DD6" w:rsidP="00B63DB2">
      <w:pPr>
        <w:spacing w:after="0"/>
        <w:rPr>
          <w:b/>
        </w:rPr>
      </w:pPr>
      <w:r w:rsidRPr="00693882">
        <w:rPr>
          <w:b/>
        </w:rPr>
        <w:lastRenderedPageBreak/>
        <w:t>No upward or downward ceiling applies to the economic price adjustment for the indexes listed in Section H WPU03THRU15, WPU142, or WPU 1081-05.</w:t>
      </w:r>
    </w:p>
    <w:p w:rsidR="00413DD6" w:rsidRDefault="00413DD6" w:rsidP="00B63DB2">
      <w:pPr>
        <w:spacing w:after="0"/>
        <w:rPr>
          <w:rFonts w:cs="Times New Roman"/>
          <w:szCs w:val="24"/>
        </w:rPr>
      </w:pPr>
    </w:p>
    <w:p w:rsidR="00B63DB2" w:rsidRPr="00B1355C" w:rsidRDefault="00B63DB2" w:rsidP="00B63DB2">
      <w:pPr>
        <w:spacing w:after="0"/>
        <w:rPr>
          <w:rFonts w:cs="Times New Roman"/>
          <w:szCs w:val="24"/>
        </w:rPr>
      </w:pPr>
      <w:proofErr w:type="spellStart"/>
      <w:r w:rsidRPr="00B1355C">
        <w:rPr>
          <w:rFonts w:cs="Times New Roman"/>
          <w:szCs w:val="24"/>
        </w:rPr>
        <w:t>Pg</w:t>
      </w:r>
      <w:proofErr w:type="spellEnd"/>
      <w:r w:rsidRPr="00B1355C">
        <w:rPr>
          <w:rFonts w:cs="Times New Roman"/>
          <w:szCs w:val="24"/>
        </w:rPr>
        <w:t xml:space="preserve"> 24—As it relates to FAR 52.246-9039, Removal of Government Identification form Non-Accepted Supplies (Nov 2011); is worldwide demand the only order type that requires obliteration of the government identification upon rejection of non-conforming parts?</w:t>
      </w:r>
    </w:p>
    <w:p w:rsidR="0068176E" w:rsidRPr="00B1355C" w:rsidRDefault="0068176E" w:rsidP="0068176E">
      <w:pPr>
        <w:pStyle w:val="PlainText"/>
        <w:rPr>
          <w:rFonts w:ascii="Times New Roman" w:hAnsi="Times New Roman" w:cs="Times New Roman"/>
          <w:b/>
          <w:noProof/>
          <w:sz w:val="24"/>
          <w:szCs w:val="24"/>
        </w:rPr>
      </w:pPr>
      <w:r w:rsidRPr="00B1355C">
        <w:rPr>
          <w:rFonts w:ascii="Times New Roman" w:hAnsi="Times New Roman" w:cs="Times New Roman"/>
          <w:b/>
          <w:noProof/>
          <w:sz w:val="24"/>
          <w:szCs w:val="24"/>
        </w:rPr>
        <w:t>All non-conforming parts with government identification will require obliteration in accordance with the clause.</w:t>
      </w:r>
    </w:p>
    <w:p w:rsidR="00B63DB2" w:rsidRDefault="00B63DB2" w:rsidP="00B63DB2">
      <w:pPr>
        <w:spacing w:after="0"/>
        <w:rPr>
          <w:rFonts w:cs="Times New Roman"/>
          <w:noProof/>
          <w:szCs w:val="24"/>
          <w:highlight w:val="yellow"/>
        </w:rPr>
      </w:pPr>
    </w:p>
    <w:p w:rsidR="00B63DB2" w:rsidRPr="00092CBA" w:rsidRDefault="00B63DB2" w:rsidP="00B63DB2">
      <w:pPr>
        <w:spacing w:after="0"/>
        <w:rPr>
          <w:rFonts w:cs="Times New Roman"/>
          <w:noProof/>
          <w:szCs w:val="24"/>
        </w:rPr>
      </w:pPr>
      <w:r w:rsidRPr="00092CBA">
        <w:rPr>
          <w:rFonts w:cs="Times New Roman"/>
          <w:noProof/>
          <w:szCs w:val="24"/>
        </w:rPr>
        <w:t>Pg 42-- Please confirm BLS Category WPU 1081-05 (Aircraft fasteners, except plastics including aerospace) is the only BLS index that exceeds 6 digits for purposes of the unit price adjustment limitation in 52.216-9030.  While BLS Category WPU03THRU15 appears to exceed 6 digits is  actually the average of individual BLS indexes that are only 5 digits each (WPU03, WPU04, etc.).</w:t>
      </w:r>
    </w:p>
    <w:p w:rsidR="00413DD6" w:rsidRPr="00413DD6" w:rsidRDefault="00413DD6" w:rsidP="00413DD6">
      <w:pPr>
        <w:spacing w:after="0"/>
        <w:rPr>
          <w:b/>
        </w:rPr>
      </w:pPr>
      <w:r w:rsidRPr="00092CBA">
        <w:rPr>
          <w:b/>
        </w:rPr>
        <w:t>No upward or downward ceiling applies to the economic price adjustment for the indexes listed in Section H WPU03THRU15, WPU142, or WPU 1081-05.</w:t>
      </w:r>
    </w:p>
    <w:p w:rsidR="000E5B24" w:rsidRDefault="000E5B24" w:rsidP="00B63DB2">
      <w:pPr>
        <w:spacing w:after="0"/>
        <w:rPr>
          <w:rFonts w:cs="Times New Roman"/>
          <w:noProof/>
          <w:szCs w:val="24"/>
          <w:highlight w:val="yellow"/>
        </w:rPr>
      </w:pPr>
    </w:p>
    <w:p w:rsidR="00B63DB2" w:rsidRPr="00092CBA" w:rsidRDefault="00B63DB2" w:rsidP="00B63DB2">
      <w:pPr>
        <w:spacing w:after="0"/>
      </w:pPr>
      <w:r w:rsidRPr="00092CBA">
        <w:rPr>
          <w:rFonts w:cs="Times New Roman"/>
          <w:noProof/>
          <w:szCs w:val="24"/>
        </w:rPr>
        <w:t>Pg 43--</w:t>
      </w:r>
      <w:r w:rsidRPr="00092CBA">
        <w:t xml:space="preserve"> If DLA-sourced items are added to SOI </w:t>
      </w:r>
      <w:proofErr w:type="gramStart"/>
      <w:r w:rsidRPr="00092CBA">
        <w:t>will</w:t>
      </w:r>
      <w:proofErr w:type="gramEnd"/>
      <w:r w:rsidRPr="00092CBA">
        <w:t xml:space="preserve"> the Contractor adjust both Bin Management and DLA Backup sub-CLINs?</w:t>
      </w:r>
    </w:p>
    <w:p w:rsidR="00B63DB2" w:rsidRPr="00092CBA" w:rsidRDefault="00092CBA" w:rsidP="00B63DB2">
      <w:pPr>
        <w:spacing w:after="0"/>
        <w:rPr>
          <w:b/>
        </w:rPr>
      </w:pPr>
      <w:r w:rsidRPr="00092CBA">
        <w:rPr>
          <w:b/>
        </w:rPr>
        <w:t>Section H-905 &amp; H-906 updated please reference for any changes.</w:t>
      </w:r>
      <w:r w:rsidR="00B63DB2" w:rsidRPr="00092CBA">
        <w:rPr>
          <w:b/>
        </w:rPr>
        <w:t xml:space="preserve"> </w:t>
      </w:r>
    </w:p>
    <w:p w:rsidR="00B63DB2" w:rsidRPr="00092CBA" w:rsidRDefault="00B63DB2" w:rsidP="00B63DB2">
      <w:pPr>
        <w:spacing w:after="0"/>
      </w:pPr>
    </w:p>
    <w:p w:rsidR="00B63DB2" w:rsidRPr="00092CBA" w:rsidRDefault="00B63DB2" w:rsidP="00B63DB2">
      <w:pPr>
        <w:spacing w:after="0"/>
      </w:pPr>
      <w:proofErr w:type="spellStart"/>
      <w:r w:rsidRPr="00092CBA">
        <w:t>Pg</w:t>
      </w:r>
      <w:proofErr w:type="spellEnd"/>
      <w:r w:rsidRPr="00092CBA">
        <w:t xml:space="preserve"> 43-- Will the contractor </w:t>
      </w:r>
      <w:proofErr w:type="gramStart"/>
      <w:r w:rsidRPr="00092CBA">
        <w:t>be</w:t>
      </w:r>
      <w:proofErr w:type="gramEnd"/>
      <w:r w:rsidRPr="00092CBA">
        <w:t xml:space="preserve"> required to decrease the DLA Backup sub-CLIN if DLA-sourced items are moved to commercial sourced? If so, then is the contractor able to increase the Bin Management sub-CLIN even though SOI did not change?</w:t>
      </w:r>
    </w:p>
    <w:p w:rsidR="00B63DB2" w:rsidRPr="00092CBA" w:rsidRDefault="00092CBA" w:rsidP="00B63DB2">
      <w:pPr>
        <w:spacing w:after="0"/>
        <w:rPr>
          <w:b/>
        </w:rPr>
      </w:pPr>
      <w:r w:rsidRPr="00092CBA">
        <w:rPr>
          <w:b/>
        </w:rPr>
        <w:t>Changes made to DLA Backup via Amendment 03.</w:t>
      </w:r>
    </w:p>
    <w:p w:rsidR="00B63DB2" w:rsidRPr="00092CBA" w:rsidRDefault="00B63DB2" w:rsidP="00B63DB2">
      <w:pPr>
        <w:spacing w:after="0"/>
      </w:pPr>
    </w:p>
    <w:p w:rsidR="00B63DB2" w:rsidRPr="00092CBA" w:rsidRDefault="00B63DB2" w:rsidP="00B63DB2">
      <w:pPr>
        <w:spacing w:after="0"/>
      </w:pPr>
      <w:proofErr w:type="spellStart"/>
      <w:r w:rsidRPr="00092CBA">
        <w:t>Pg</w:t>
      </w:r>
      <w:proofErr w:type="spellEnd"/>
      <w:r w:rsidRPr="00092CBA">
        <w:t xml:space="preserve"> 43—Management Sub-CLIN--Will the contractor be able to adjust the bin management sub CLIN after contract award if the annual quantities increase or decrease to allow for changes in inventory holding costs and workload associated with part procurement and bin replenishments?  </w:t>
      </w:r>
    </w:p>
    <w:p w:rsidR="00092CBA" w:rsidRPr="00092CBA" w:rsidRDefault="00092CBA" w:rsidP="00092CBA">
      <w:pPr>
        <w:spacing w:after="0"/>
        <w:rPr>
          <w:b/>
        </w:rPr>
      </w:pPr>
      <w:r w:rsidRPr="00092CBA">
        <w:rPr>
          <w:b/>
        </w:rPr>
        <w:t xml:space="preserve">Section H-905 &amp; H-906 updated please reference for any changes. </w:t>
      </w:r>
    </w:p>
    <w:p w:rsidR="00B63DB2" w:rsidRDefault="00B63DB2" w:rsidP="00B63DB2">
      <w:pPr>
        <w:spacing w:after="0"/>
        <w:rPr>
          <w:rFonts w:cs="Times New Roman"/>
          <w:noProof/>
          <w:szCs w:val="24"/>
        </w:rPr>
      </w:pPr>
    </w:p>
    <w:p w:rsidR="00B63DB2" w:rsidRPr="005B206E" w:rsidRDefault="00B63DB2" w:rsidP="00B63DB2">
      <w:pPr>
        <w:spacing w:after="0"/>
        <w:rPr>
          <w:rFonts w:cs="Times New Roman"/>
          <w:noProof/>
          <w:szCs w:val="24"/>
        </w:rPr>
      </w:pPr>
      <w:proofErr w:type="spellStart"/>
      <w:r w:rsidRPr="005B206E">
        <w:rPr>
          <w:rFonts w:cs="Times New Roman"/>
          <w:szCs w:val="24"/>
        </w:rPr>
        <w:t>Pg</w:t>
      </w:r>
      <w:proofErr w:type="spellEnd"/>
      <w:r w:rsidRPr="005B206E">
        <w:rPr>
          <w:rFonts w:cs="Times New Roman"/>
          <w:szCs w:val="24"/>
        </w:rPr>
        <w:t xml:space="preserve"> 49--</w:t>
      </w:r>
      <w:r w:rsidRPr="005B206E">
        <w:rPr>
          <w:rFonts w:cs="Times New Roman"/>
          <w:noProof/>
          <w:szCs w:val="24"/>
        </w:rPr>
        <w:t xml:space="preserve"> Please define "level of kitting effort" and explain how it is measured.  For example is a change in the level of effort measured by the number of new kits added, an increase or decrease in the number of current kits, an increase or decrease in the number of NSNs included in the kits, an increase or decrease in the quantity of each NIINs included in kit(s) supplied, or some combination of all of the above?</w:t>
      </w:r>
    </w:p>
    <w:p w:rsidR="00B63DB2" w:rsidRPr="00A669F1" w:rsidRDefault="00413DD6" w:rsidP="00B63DB2">
      <w:pPr>
        <w:spacing w:after="0"/>
        <w:rPr>
          <w:rFonts w:cs="Times New Roman"/>
          <w:b/>
          <w:noProof/>
          <w:szCs w:val="24"/>
        </w:rPr>
      </w:pPr>
      <w:r w:rsidRPr="005B206E">
        <w:rPr>
          <w:rFonts w:cs="Times New Roman"/>
          <w:b/>
          <w:noProof/>
          <w:szCs w:val="24"/>
        </w:rPr>
        <w:t>Level of effort refers to the 12-month average of kits delivered.  Section H updated.</w:t>
      </w:r>
    </w:p>
    <w:p w:rsidR="00B63DB2" w:rsidRPr="006B360B" w:rsidRDefault="00B63DB2" w:rsidP="00B63DB2">
      <w:pPr>
        <w:spacing w:after="0"/>
        <w:rPr>
          <w:rFonts w:cs="Times New Roman"/>
          <w:b/>
          <w:noProof/>
          <w:szCs w:val="24"/>
        </w:rPr>
      </w:pPr>
    </w:p>
    <w:p w:rsidR="00B63DB2" w:rsidRPr="005B206E" w:rsidRDefault="00B63DB2" w:rsidP="00B63DB2">
      <w:pPr>
        <w:spacing w:after="0"/>
        <w:rPr>
          <w:rFonts w:cs="Times New Roman"/>
          <w:noProof/>
          <w:szCs w:val="24"/>
        </w:rPr>
      </w:pPr>
      <w:r w:rsidRPr="005B206E">
        <w:rPr>
          <w:rFonts w:cs="Times New Roman"/>
          <w:noProof/>
          <w:szCs w:val="24"/>
        </w:rPr>
        <w:t>Pg 49-- Will a pricing adjustment be provided when NIIN changes cause the number of bins to change by more than +/- 5%?.</w:t>
      </w:r>
    </w:p>
    <w:p w:rsidR="000E5B24" w:rsidRPr="00A669F1" w:rsidRDefault="00413DD6" w:rsidP="000E5B24">
      <w:pPr>
        <w:spacing w:after="0"/>
        <w:rPr>
          <w:rFonts w:cs="Times New Roman"/>
          <w:b/>
          <w:noProof/>
          <w:szCs w:val="24"/>
        </w:rPr>
      </w:pPr>
      <w:r w:rsidRPr="005B206E">
        <w:rPr>
          <w:rFonts w:cs="Times New Roman"/>
          <w:b/>
          <w:noProof/>
          <w:szCs w:val="24"/>
        </w:rPr>
        <w:t>Section H-905 and H-906 udpated.</w:t>
      </w:r>
    </w:p>
    <w:p w:rsidR="00B63DB2" w:rsidRPr="006B360B" w:rsidRDefault="00B63DB2" w:rsidP="00B63DB2">
      <w:pPr>
        <w:spacing w:after="0"/>
        <w:rPr>
          <w:rFonts w:cs="Times New Roman"/>
          <w:b/>
          <w:noProof/>
          <w:szCs w:val="24"/>
        </w:rPr>
      </w:pPr>
    </w:p>
    <w:p w:rsidR="00B63DB2" w:rsidRPr="009B2984" w:rsidRDefault="00B63DB2" w:rsidP="00B63DB2">
      <w:pPr>
        <w:spacing w:after="0"/>
        <w:rPr>
          <w:rFonts w:cs="Times New Roman"/>
          <w:szCs w:val="24"/>
        </w:rPr>
      </w:pPr>
      <w:r w:rsidRPr="009B2984">
        <w:rPr>
          <w:rFonts w:cs="Times New Roman"/>
          <w:noProof/>
          <w:szCs w:val="24"/>
        </w:rPr>
        <w:lastRenderedPageBreak/>
        <w:t>Pg 50--</w:t>
      </w:r>
      <w:r w:rsidRPr="009B2984">
        <w:rPr>
          <w:rFonts w:cs="Times New Roman"/>
          <w:szCs w:val="24"/>
        </w:rPr>
        <w:t xml:space="preserve"> If the contractor makes a proactive purchase to mitigate a gap and stocks, how are we reimbursed for the extra material when DLA closes gap?  If we buy 50, fill 10 is that a POS for that 10? How is this billed?</w:t>
      </w:r>
    </w:p>
    <w:p w:rsidR="00B63DB2" w:rsidRPr="009B2984" w:rsidRDefault="009B2984" w:rsidP="00B63DB2">
      <w:pPr>
        <w:spacing w:after="0"/>
        <w:rPr>
          <w:rFonts w:cs="Times New Roman"/>
          <w:b/>
          <w:szCs w:val="24"/>
        </w:rPr>
      </w:pPr>
      <w:r w:rsidRPr="009B2984">
        <w:rPr>
          <w:rFonts w:cs="Times New Roman"/>
          <w:b/>
          <w:szCs w:val="24"/>
        </w:rPr>
        <w:t>The changes to DLA Backup in Amendment 03 address</w:t>
      </w:r>
      <w:r w:rsidR="00536B80">
        <w:rPr>
          <w:rFonts w:cs="Times New Roman"/>
          <w:b/>
          <w:szCs w:val="24"/>
        </w:rPr>
        <w:t>es</w:t>
      </w:r>
      <w:r w:rsidRPr="009B2984">
        <w:rPr>
          <w:rFonts w:cs="Times New Roman"/>
          <w:b/>
          <w:szCs w:val="24"/>
        </w:rPr>
        <w:t xml:space="preserve"> this question.</w:t>
      </w:r>
    </w:p>
    <w:p w:rsidR="009B2984" w:rsidRPr="001927AA" w:rsidRDefault="009B2984" w:rsidP="00B63DB2">
      <w:pPr>
        <w:spacing w:after="0"/>
        <w:rPr>
          <w:rFonts w:cs="Times New Roman"/>
          <w:szCs w:val="24"/>
          <w:highlight w:val="yellow"/>
        </w:rPr>
      </w:pPr>
    </w:p>
    <w:p w:rsidR="00B63DB2" w:rsidRPr="00F611BE" w:rsidRDefault="00B63DB2" w:rsidP="00B63DB2">
      <w:pPr>
        <w:spacing w:after="0"/>
        <w:rPr>
          <w:rFonts w:cs="Times New Roman"/>
          <w:szCs w:val="24"/>
        </w:rPr>
      </w:pPr>
      <w:proofErr w:type="spellStart"/>
      <w:r w:rsidRPr="00F611BE">
        <w:rPr>
          <w:rFonts w:cs="Times New Roman"/>
          <w:szCs w:val="24"/>
        </w:rPr>
        <w:t>Pg</w:t>
      </w:r>
      <w:proofErr w:type="spellEnd"/>
      <w:r w:rsidRPr="00F611BE">
        <w:rPr>
          <w:rFonts w:cs="Times New Roman"/>
          <w:szCs w:val="24"/>
        </w:rPr>
        <w:t xml:space="preserve"> 51—</w:t>
      </w:r>
      <w:proofErr w:type="gramStart"/>
      <w:r w:rsidRPr="00F611BE">
        <w:rPr>
          <w:rFonts w:cs="Times New Roman"/>
          <w:szCs w:val="24"/>
        </w:rPr>
        <w:t>Please</w:t>
      </w:r>
      <w:proofErr w:type="gramEnd"/>
      <w:r w:rsidRPr="00F611BE">
        <w:rPr>
          <w:rFonts w:cs="Times New Roman"/>
          <w:szCs w:val="24"/>
        </w:rPr>
        <w:t xml:space="preserve"> more clearly define the CD-R or DVD-R – what CD drives will our computers accept? What CD format / speed?</w:t>
      </w:r>
    </w:p>
    <w:p w:rsidR="00B63DB2" w:rsidRDefault="00F611BE" w:rsidP="00B63DB2">
      <w:pPr>
        <w:spacing w:after="0"/>
        <w:rPr>
          <w:b/>
        </w:rPr>
      </w:pPr>
      <w:r w:rsidRPr="00F611BE">
        <w:rPr>
          <w:b/>
        </w:rPr>
        <w:t>Proposals should be provided on a CD+R disk with no installed software to allow the CD/DVD to auto run or automatically start</w:t>
      </w:r>
    </w:p>
    <w:p w:rsidR="00C94FEA" w:rsidRDefault="00C94FEA" w:rsidP="00B63DB2">
      <w:pPr>
        <w:spacing w:after="0"/>
        <w:rPr>
          <w:b/>
        </w:rPr>
      </w:pPr>
    </w:p>
    <w:p w:rsidR="00C94FEA" w:rsidRPr="0006473E" w:rsidRDefault="00C94FEA" w:rsidP="00B63DB2">
      <w:pPr>
        <w:spacing w:after="0"/>
      </w:pPr>
      <w:proofErr w:type="spellStart"/>
      <w:r w:rsidRPr="0006473E">
        <w:t>Pg</w:t>
      </w:r>
      <w:proofErr w:type="spellEnd"/>
      <w:r w:rsidRPr="0006473E">
        <w:t xml:space="preserve"> 51—Because of the large number of requirements to address, and the level of detail required for Offerors to convey in their management approach, can DLA increase the page limit by 10 pages to 60 pages total?</w:t>
      </w:r>
    </w:p>
    <w:p w:rsidR="00A669F1" w:rsidRPr="0006473E" w:rsidRDefault="00841023" w:rsidP="00B63DB2">
      <w:pPr>
        <w:spacing w:after="0"/>
        <w:rPr>
          <w:b/>
        </w:rPr>
      </w:pPr>
      <w:r w:rsidRPr="0006473E">
        <w:rPr>
          <w:b/>
        </w:rPr>
        <w:t>Yes</w:t>
      </w:r>
    </w:p>
    <w:p w:rsidR="00F611BE" w:rsidRDefault="00F611BE" w:rsidP="00B63DB2">
      <w:pPr>
        <w:spacing w:after="0"/>
        <w:rPr>
          <w:rFonts w:cs="Times New Roman"/>
          <w:szCs w:val="24"/>
        </w:rPr>
      </w:pPr>
    </w:p>
    <w:p w:rsidR="00B63DB2" w:rsidRPr="00536B80" w:rsidRDefault="00B63DB2" w:rsidP="00B63DB2">
      <w:pPr>
        <w:spacing w:after="0" w:line="252" w:lineRule="auto"/>
      </w:pPr>
      <w:proofErr w:type="spellStart"/>
      <w:r w:rsidRPr="00536B80">
        <w:t>Pg</w:t>
      </w:r>
      <w:proofErr w:type="spellEnd"/>
      <w:r w:rsidRPr="00536B80">
        <w:t xml:space="preserve"> 103; 52.217-9006, 52.217-9007, 52.217-9009, 52.217-9010 (pg. 22/114), 52.217-9008 (pg. 29/114), Note 3 (p. 41/114)--The PWS states that an </w:t>
      </w:r>
      <w:proofErr w:type="spellStart"/>
      <w:r w:rsidRPr="00536B80">
        <w:t>eCAP</w:t>
      </w:r>
      <w:proofErr w:type="spellEnd"/>
      <w:r w:rsidRPr="00536B80">
        <w:t xml:space="preserve"> will be requested from the offeror/successful awardee as commercially sourced items are identified for worldwide demand. The WICAP system does not currently have an </w:t>
      </w:r>
      <w:proofErr w:type="spellStart"/>
      <w:r w:rsidRPr="00536B80">
        <w:t>eCAP</w:t>
      </w:r>
      <w:proofErr w:type="spellEnd"/>
      <w:r w:rsidRPr="00536B80">
        <w:t xml:space="preserve"> on file for this solicitation. Are offerors required to submit an </w:t>
      </w:r>
      <w:proofErr w:type="spellStart"/>
      <w:r w:rsidRPr="00536B80">
        <w:t>eCAP</w:t>
      </w:r>
      <w:proofErr w:type="spellEnd"/>
      <w:r w:rsidRPr="00536B80">
        <w:t xml:space="preserve"> with our proposal?</w:t>
      </w:r>
    </w:p>
    <w:p w:rsidR="00B63DB2" w:rsidRPr="00536B80" w:rsidRDefault="00FE77C5" w:rsidP="0013152C">
      <w:pPr>
        <w:spacing w:after="0" w:line="252" w:lineRule="auto"/>
        <w:rPr>
          <w:b/>
        </w:rPr>
      </w:pPr>
      <w:r w:rsidRPr="00536B80">
        <w:rPr>
          <w:b/>
        </w:rPr>
        <w:t xml:space="preserve">The solicitation has now been loaded in WICAP for submission of an </w:t>
      </w:r>
      <w:proofErr w:type="spellStart"/>
      <w:r w:rsidRPr="00536B80">
        <w:rPr>
          <w:b/>
        </w:rPr>
        <w:t>eCAP</w:t>
      </w:r>
      <w:proofErr w:type="spellEnd"/>
      <w:r w:rsidRPr="00536B80">
        <w:rPr>
          <w:b/>
        </w:rPr>
        <w:t xml:space="preserve"> with the proposal.</w:t>
      </w:r>
    </w:p>
    <w:p w:rsidR="0013152C" w:rsidRPr="0013152C" w:rsidRDefault="0013152C" w:rsidP="0013152C">
      <w:pPr>
        <w:spacing w:after="0" w:line="252" w:lineRule="auto"/>
        <w:rPr>
          <w:color w:val="FF0000"/>
        </w:rPr>
      </w:pPr>
    </w:p>
    <w:p w:rsidR="00B04E00" w:rsidRPr="0082137B" w:rsidRDefault="0082137B" w:rsidP="00B63DB2">
      <w:pPr>
        <w:spacing w:after="0"/>
        <w:rPr>
          <w:b/>
          <w:u w:val="single"/>
        </w:rPr>
      </w:pPr>
      <w:r>
        <w:rPr>
          <w:b/>
          <w:u w:val="single"/>
        </w:rPr>
        <w:t>SOLICITATION AMENDMENTS</w:t>
      </w:r>
    </w:p>
    <w:p w:rsidR="00C73EC2" w:rsidRDefault="00C73EC2" w:rsidP="00B63DB2">
      <w:pPr>
        <w:spacing w:after="0"/>
        <w:rPr>
          <w:rFonts w:cs="Times New Roman"/>
          <w:noProof/>
          <w:szCs w:val="24"/>
        </w:rPr>
      </w:pPr>
      <w:r w:rsidRPr="009A7362">
        <w:rPr>
          <w:rFonts w:cs="Times New Roman"/>
          <w:noProof/>
          <w:szCs w:val="24"/>
        </w:rPr>
        <w:t>In Attachment 2, Schedule of Items, the NIIN does not match the corresponding portion of the NSN (last 9 digits of the NSN) in 39,759 rows starting at row 1109. Will the Government be providing a revised SOI?</w:t>
      </w:r>
    </w:p>
    <w:p w:rsidR="00C73EC2" w:rsidRPr="00536B80" w:rsidRDefault="0006473E" w:rsidP="00B63DB2">
      <w:pPr>
        <w:spacing w:after="0"/>
        <w:rPr>
          <w:rFonts w:cs="Times New Roman"/>
          <w:b/>
          <w:noProof/>
          <w:szCs w:val="24"/>
        </w:rPr>
      </w:pPr>
      <w:r>
        <w:rPr>
          <w:rFonts w:cs="Times New Roman"/>
          <w:b/>
          <w:noProof/>
          <w:szCs w:val="24"/>
        </w:rPr>
        <w:t>T</w:t>
      </w:r>
      <w:r w:rsidR="00C73EC2" w:rsidRPr="00536B80">
        <w:rPr>
          <w:rFonts w:cs="Times New Roman"/>
          <w:b/>
          <w:noProof/>
          <w:szCs w:val="24"/>
        </w:rPr>
        <w:t xml:space="preserve">he Gov’t </w:t>
      </w:r>
      <w:r>
        <w:rPr>
          <w:rFonts w:cs="Times New Roman"/>
          <w:b/>
          <w:noProof/>
          <w:szCs w:val="24"/>
        </w:rPr>
        <w:t xml:space="preserve">provided </w:t>
      </w:r>
      <w:r w:rsidR="00C73EC2" w:rsidRPr="00536B80">
        <w:rPr>
          <w:rFonts w:cs="Times New Roman"/>
          <w:b/>
          <w:noProof/>
          <w:szCs w:val="24"/>
        </w:rPr>
        <w:t>a corrected Attachment 2</w:t>
      </w:r>
      <w:r>
        <w:rPr>
          <w:rFonts w:cs="Times New Roman"/>
          <w:b/>
          <w:noProof/>
          <w:szCs w:val="24"/>
        </w:rPr>
        <w:t xml:space="preserve"> with Amendment 03</w:t>
      </w:r>
      <w:r w:rsidR="00C73EC2" w:rsidRPr="00536B80">
        <w:rPr>
          <w:rFonts w:cs="Times New Roman"/>
          <w:b/>
          <w:noProof/>
          <w:szCs w:val="24"/>
        </w:rPr>
        <w:t>.</w:t>
      </w:r>
    </w:p>
    <w:p w:rsidR="00C73EC2" w:rsidRDefault="00C73EC2" w:rsidP="00B63DB2">
      <w:pPr>
        <w:spacing w:after="0"/>
        <w:rPr>
          <w:rFonts w:cs="Times New Roman"/>
          <w:b/>
          <w:noProof/>
          <w:color w:val="FF0000"/>
          <w:szCs w:val="24"/>
        </w:rPr>
      </w:pPr>
    </w:p>
    <w:p w:rsidR="00C73EC2" w:rsidRPr="009A7362" w:rsidRDefault="00C73EC2" w:rsidP="00B63DB2">
      <w:pPr>
        <w:spacing w:after="0"/>
        <w:rPr>
          <w:rFonts w:cs="Times New Roman"/>
          <w:noProof/>
          <w:szCs w:val="24"/>
        </w:rPr>
      </w:pPr>
      <w:r w:rsidRPr="009A7362">
        <w:rPr>
          <w:rFonts w:cs="Times New Roman"/>
          <w:noProof/>
          <w:szCs w:val="24"/>
        </w:rPr>
        <w:t>There are 106 NSNs that appear twice</w:t>
      </w:r>
      <w:r>
        <w:rPr>
          <w:rFonts w:cs="Times New Roman"/>
          <w:noProof/>
          <w:szCs w:val="24"/>
        </w:rPr>
        <w:t xml:space="preserve"> in the SOI</w:t>
      </w:r>
      <w:r w:rsidRPr="009A7362">
        <w:rPr>
          <w:rFonts w:cs="Times New Roman"/>
          <w:noProof/>
          <w:szCs w:val="24"/>
        </w:rPr>
        <w:t>, causing two NIINs to appear for the same NSN and the following 10 NSNs to appear as being sourced both to DLA and Commercial:</w:t>
      </w:r>
    </w:p>
    <w:p w:rsidR="00C73EC2" w:rsidRPr="009A7362" w:rsidRDefault="00C73EC2" w:rsidP="00C73EC2">
      <w:pPr>
        <w:spacing w:after="0"/>
        <w:rPr>
          <w:rFonts w:cs="Times New Roman"/>
          <w:noProof/>
          <w:szCs w:val="24"/>
        </w:rPr>
      </w:pPr>
      <w:r w:rsidRPr="009A7362">
        <w:rPr>
          <w:rFonts w:cs="Times New Roman"/>
          <w:noProof/>
          <w:szCs w:val="24"/>
        </w:rPr>
        <w:t>5306-00-842-8020</w:t>
      </w:r>
    </w:p>
    <w:p w:rsidR="00C73EC2" w:rsidRPr="009A7362" w:rsidRDefault="00C73EC2" w:rsidP="00C73EC2">
      <w:pPr>
        <w:spacing w:after="0"/>
        <w:rPr>
          <w:rFonts w:cs="Times New Roman"/>
          <w:noProof/>
          <w:szCs w:val="24"/>
        </w:rPr>
      </w:pPr>
      <w:r w:rsidRPr="009A7362">
        <w:rPr>
          <w:rFonts w:cs="Times New Roman"/>
          <w:noProof/>
          <w:szCs w:val="24"/>
        </w:rPr>
        <w:t>5306-01-195-1601</w:t>
      </w:r>
    </w:p>
    <w:p w:rsidR="00C73EC2" w:rsidRPr="009A7362" w:rsidRDefault="00C73EC2" w:rsidP="00C73EC2">
      <w:pPr>
        <w:spacing w:after="0"/>
        <w:rPr>
          <w:rFonts w:cs="Times New Roman"/>
          <w:noProof/>
          <w:szCs w:val="24"/>
        </w:rPr>
      </w:pPr>
      <w:r w:rsidRPr="009A7362">
        <w:rPr>
          <w:rFonts w:cs="Times New Roman"/>
          <w:noProof/>
          <w:szCs w:val="24"/>
        </w:rPr>
        <w:t>5310-00-777-6253</w:t>
      </w:r>
    </w:p>
    <w:p w:rsidR="00C73EC2" w:rsidRPr="009A7362" w:rsidRDefault="00C73EC2" w:rsidP="00C73EC2">
      <w:pPr>
        <w:spacing w:after="0"/>
        <w:rPr>
          <w:rFonts w:cs="Times New Roman"/>
          <w:noProof/>
          <w:szCs w:val="24"/>
        </w:rPr>
      </w:pPr>
      <w:r w:rsidRPr="009A7362">
        <w:rPr>
          <w:rFonts w:cs="Times New Roman"/>
          <w:noProof/>
          <w:szCs w:val="24"/>
        </w:rPr>
        <w:t>5320-01-152-8668</w:t>
      </w:r>
    </w:p>
    <w:p w:rsidR="00C73EC2" w:rsidRPr="009A7362" w:rsidRDefault="00C73EC2" w:rsidP="00C73EC2">
      <w:pPr>
        <w:spacing w:after="0"/>
        <w:rPr>
          <w:rFonts w:cs="Times New Roman"/>
          <w:noProof/>
          <w:szCs w:val="24"/>
        </w:rPr>
      </w:pPr>
      <w:r w:rsidRPr="009A7362">
        <w:rPr>
          <w:rFonts w:cs="Times New Roman"/>
          <w:noProof/>
          <w:szCs w:val="24"/>
        </w:rPr>
        <w:t>5320-01-320-4958</w:t>
      </w:r>
    </w:p>
    <w:p w:rsidR="00C73EC2" w:rsidRPr="009A7362" w:rsidRDefault="00C73EC2" w:rsidP="00C73EC2">
      <w:pPr>
        <w:spacing w:after="0"/>
        <w:rPr>
          <w:rFonts w:cs="Times New Roman"/>
          <w:noProof/>
          <w:szCs w:val="24"/>
        </w:rPr>
      </w:pPr>
      <w:r w:rsidRPr="009A7362">
        <w:rPr>
          <w:rFonts w:cs="Times New Roman"/>
          <w:noProof/>
          <w:szCs w:val="24"/>
        </w:rPr>
        <w:t>5320-01-334-3695</w:t>
      </w:r>
    </w:p>
    <w:p w:rsidR="00C73EC2" w:rsidRPr="009A7362" w:rsidRDefault="00C73EC2" w:rsidP="00C73EC2">
      <w:pPr>
        <w:spacing w:after="0"/>
        <w:rPr>
          <w:rFonts w:cs="Times New Roman"/>
          <w:noProof/>
          <w:szCs w:val="24"/>
        </w:rPr>
      </w:pPr>
      <w:r w:rsidRPr="009A7362">
        <w:rPr>
          <w:rFonts w:cs="Times New Roman"/>
          <w:noProof/>
          <w:szCs w:val="24"/>
        </w:rPr>
        <w:t>5340-01-539-3193</w:t>
      </w:r>
    </w:p>
    <w:p w:rsidR="00C73EC2" w:rsidRPr="009A7362" w:rsidRDefault="00C73EC2" w:rsidP="00C73EC2">
      <w:pPr>
        <w:spacing w:after="0"/>
        <w:rPr>
          <w:rFonts w:cs="Times New Roman"/>
          <w:noProof/>
          <w:szCs w:val="24"/>
        </w:rPr>
      </w:pPr>
      <w:r w:rsidRPr="009A7362">
        <w:rPr>
          <w:rFonts w:cs="Times New Roman"/>
          <w:noProof/>
          <w:szCs w:val="24"/>
        </w:rPr>
        <w:t>5340-01-553-3114</w:t>
      </w:r>
    </w:p>
    <w:p w:rsidR="00C73EC2" w:rsidRPr="009A7362" w:rsidRDefault="00C73EC2" w:rsidP="00C73EC2">
      <w:pPr>
        <w:spacing w:after="0"/>
        <w:rPr>
          <w:rFonts w:cs="Times New Roman"/>
          <w:noProof/>
          <w:szCs w:val="24"/>
        </w:rPr>
      </w:pPr>
      <w:r w:rsidRPr="009A7362">
        <w:rPr>
          <w:rFonts w:cs="Times New Roman"/>
          <w:noProof/>
          <w:szCs w:val="24"/>
        </w:rPr>
        <w:t>5940-01-135-7081</w:t>
      </w:r>
    </w:p>
    <w:p w:rsidR="00C73EC2" w:rsidRDefault="00C73EC2" w:rsidP="00C73EC2">
      <w:pPr>
        <w:spacing w:after="0"/>
        <w:rPr>
          <w:rFonts w:cs="Times New Roman"/>
          <w:noProof/>
          <w:szCs w:val="24"/>
        </w:rPr>
      </w:pPr>
      <w:r w:rsidRPr="009A7362">
        <w:rPr>
          <w:rFonts w:cs="Times New Roman"/>
          <w:noProof/>
          <w:szCs w:val="24"/>
        </w:rPr>
        <w:t>5961-00-858-3826</w:t>
      </w:r>
    </w:p>
    <w:p w:rsidR="0006473E" w:rsidRPr="00536B80" w:rsidRDefault="0006473E" w:rsidP="0006473E">
      <w:pPr>
        <w:spacing w:after="0"/>
        <w:rPr>
          <w:rFonts w:cs="Times New Roman"/>
          <w:b/>
          <w:noProof/>
          <w:szCs w:val="24"/>
        </w:rPr>
      </w:pPr>
      <w:r>
        <w:rPr>
          <w:rFonts w:cs="Times New Roman"/>
          <w:b/>
          <w:noProof/>
          <w:szCs w:val="24"/>
        </w:rPr>
        <w:t>T</w:t>
      </w:r>
      <w:r w:rsidRPr="00536B80">
        <w:rPr>
          <w:rFonts w:cs="Times New Roman"/>
          <w:b/>
          <w:noProof/>
          <w:szCs w:val="24"/>
        </w:rPr>
        <w:t xml:space="preserve">he Gov’t </w:t>
      </w:r>
      <w:r>
        <w:rPr>
          <w:rFonts w:cs="Times New Roman"/>
          <w:b/>
          <w:noProof/>
          <w:szCs w:val="24"/>
        </w:rPr>
        <w:t xml:space="preserve">provided </w:t>
      </w:r>
      <w:r w:rsidRPr="00536B80">
        <w:rPr>
          <w:rFonts w:cs="Times New Roman"/>
          <w:b/>
          <w:noProof/>
          <w:szCs w:val="24"/>
        </w:rPr>
        <w:t>a corrected Attachment 2</w:t>
      </w:r>
      <w:r>
        <w:rPr>
          <w:rFonts w:cs="Times New Roman"/>
          <w:b/>
          <w:noProof/>
          <w:szCs w:val="24"/>
        </w:rPr>
        <w:t xml:space="preserve"> with Amendment 03</w:t>
      </w:r>
      <w:r w:rsidRPr="00536B80">
        <w:rPr>
          <w:rFonts w:cs="Times New Roman"/>
          <w:b/>
          <w:noProof/>
          <w:szCs w:val="24"/>
        </w:rPr>
        <w:t>.</w:t>
      </w:r>
    </w:p>
    <w:p w:rsidR="00C73EC2" w:rsidRDefault="00C73EC2" w:rsidP="00C73EC2">
      <w:pPr>
        <w:spacing w:after="0"/>
        <w:rPr>
          <w:rFonts w:cs="Times New Roman"/>
          <w:b/>
          <w:noProof/>
          <w:color w:val="FF0000"/>
          <w:szCs w:val="24"/>
        </w:rPr>
      </w:pPr>
    </w:p>
    <w:p w:rsidR="00E41295" w:rsidRDefault="00E41295" w:rsidP="00DB4CA3">
      <w:pPr>
        <w:spacing w:after="0"/>
        <w:rPr>
          <w:rFonts w:cs="Times New Roman"/>
          <w:noProof/>
          <w:szCs w:val="24"/>
        </w:rPr>
      </w:pPr>
      <w:r>
        <w:rPr>
          <w:rFonts w:cs="Times New Roman"/>
          <w:noProof/>
          <w:szCs w:val="24"/>
        </w:rPr>
        <w:lastRenderedPageBreak/>
        <w:t>Attachments 2&amp;14--</w:t>
      </w:r>
      <w:r w:rsidRPr="009A7362">
        <w:rPr>
          <w:rFonts w:cs="Times New Roman"/>
          <w:noProof/>
          <w:szCs w:val="24"/>
        </w:rPr>
        <w:t xml:space="preserve">For 13,343 NSNs in Attachment 2, Schedule of Items, the indicated source (commercial or DLA) does not match the source shown on Attachment 14 (file name AV_Att14 Overall_160202). </w:t>
      </w:r>
    </w:p>
    <w:p w:rsidR="0006473E" w:rsidRPr="00536B80" w:rsidRDefault="0006473E" w:rsidP="0006473E">
      <w:pPr>
        <w:spacing w:after="0"/>
        <w:rPr>
          <w:rFonts w:cs="Times New Roman"/>
          <w:b/>
          <w:noProof/>
          <w:szCs w:val="24"/>
        </w:rPr>
      </w:pPr>
      <w:r>
        <w:rPr>
          <w:rFonts w:cs="Times New Roman"/>
          <w:b/>
          <w:noProof/>
          <w:szCs w:val="24"/>
        </w:rPr>
        <w:t>T</w:t>
      </w:r>
      <w:r w:rsidRPr="00536B80">
        <w:rPr>
          <w:rFonts w:cs="Times New Roman"/>
          <w:b/>
          <w:noProof/>
          <w:szCs w:val="24"/>
        </w:rPr>
        <w:t xml:space="preserve">he Gov’t </w:t>
      </w:r>
      <w:r>
        <w:rPr>
          <w:rFonts w:cs="Times New Roman"/>
          <w:b/>
          <w:noProof/>
          <w:szCs w:val="24"/>
        </w:rPr>
        <w:t xml:space="preserve">provided </w:t>
      </w:r>
      <w:r w:rsidRPr="00536B80">
        <w:rPr>
          <w:rFonts w:cs="Times New Roman"/>
          <w:b/>
          <w:noProof/>
          <w:szCs w:val="24"/>
        </w:rPr>
        <w:t>a corrected Attachment 2</w:t>
      </w:r>
      <w:r>
        <w:rPr>
          <w:rFonts w:cs="Times New Roman"/>
          <w:b/>
          <w:noProof/>
          <w:szCs w:val="24"/>
        </w:rPr>
        <w:t xml:space="preserve"> with Amendment 03</w:t>
      </w:r>
      <w:r w:rsidRPr="00536B80">
        <w:rPr>
          <w:rFonts w:cs="Times New Roman"/>
          <w:b/>
          <w:noProof/>
          <w:szCs w:val="24"/>
        </w:rPr>
        <w:t>.</w:t>
      </w:r>
    </w:p>
    <w:p w:rsidR="00DB4CA3" w:rsidRPr="00FE77C5" w:rsidRDefault="00DB4CA3" w:rsidP="00DB4CA3">
      <w:pPr>
        <w:spacing w:after="0"/>
        <w:rPr>
          <w:rFonts w:cs="Times New Roman"/>
          <w:noProof/>
          <w:color w:val="FF0000"/>
          <w:szCs w:val="24"/>
        </w:rPr>
      </w:pPr>
    </w:p>
    <w:p w:rsidR="00E41295" w:rsidRDefault="00E41295" w:rsidP="00DB4CA3">
      <w:pPr>
        <w:spacing w:after="0"/>
        <w:rPr>
          <w:rFonts w:cs="Times New Roman"/>
          <w:noProof/>
          <w:szCs w:val="24"/>
        </w:rPr>
      </w:pPr>
      <w:r w:rsidRPr="009A7362">
        <w:rPr>
          <w:rFonts w:cs="Times New Roman"/>
          <w:noProof/>
          <w:szCs w:val="24"/>
        </w:rPr>
        <w:t xml:space="preserve">Please confirm that, in the event of conflict, the source shown on the Schedule of Items takes precedence.  </w:t>
      </w:r>
    </w:p>
    <w:p w:rsidR="00B8087F" w:rsidRPr="003940C2" w:rsidRDefault="00B8087F" w:rsidP="00DB4CA3">
      <w:pPr>
        <w:spacing w:after="0"/>
        <w:rPr>
          <w:rFonts w:cs="Times New Roman"/>
          <w:b/>
          <w:noProof/>
          <w:szCs w:val="24"/>
        </w:rPr>
      </w:pPr>
      <w:r w:rsidRPr="003940C2">
        <w:rPr>
          <w:rFonts w:cs="Times New Roman"/>
          <w:b/>
          <w:noProof/>
          <w:szCs w:val="24"/>
        </w:rPr>
        <w:t>Yes</w:t>
      </w:r>
    </w:p>
    <w:p w:rsidR="00DB4CA3" w:rsidRPr="00B8087F" w:rsidRDefault="00DB4CA3" w:rsidP="00DB4CA3">
      <w:pPr>
        <w:spacing w:after="0"/>
        <w:rPr>
          <w:rFonts w:cs="Times New Roman"/>
          <w:noProof/>
          <w:color w:val="FF0000"/>
          <w:szCs w:val="24"/>
        </w:rPr>
      </w:pPr>
    </w:p>
    <w:p w:rsidR="00C73EC2" w:rsidRDefault="00E41295" w:rsidP="00DB4CA3">
      <w:pPr>
        <w:spacing w:after="0" w:line="240" w:lineRule="auto"/>
        <w:rPr>
          <w:rFonts w:cs="Times New Roman"/>
          <w:noProof/>
          <w:szCs w:val="24"/>
        </w:rPr>
      </w:pPr>
      <w:r w:rsidRPr="009A7362">
        <w:rPr>
          <w:rFonts w:cs="Times New Roman"/>
          <w:noProof/>
          <w:szCs w:val="24"/>
        </w:rPr>
        <w:t>Is the reason for difference because the source on Attachment 14 represents current GEN II sourcing status, which does not necessarily reflect the sourcing status for this solicitation?</w:t>
      </w:r>
    </w:p>
    <w:p w:rsidR="00B8087F" w:rsidRPr="003940C2" w:rsidRDefault="00B8087F" w:rsidP="00DB4CA3">
      <w:pPr>
        <w:spacing w:after="0" w:line="240" w:lineRule="auto"/>
        <w:rPr>
          <w:rFonts w:cs="Times New Roman"/>
          <w:b/>
          <w:noProof/>
          <w:szCs w:val="24"/>
        </w:rPr>
      </w:pPr>
      <w:r w:rsidRPr="003940C2">
        <w:rPr>
          <w:rFonts w:cs="Times New Roman"/>
          <w:b/>
          <w:noProof/>
          <w:szCs w:val="24"/>
        </w:rPr>
        <w:t>The source will be corrected so no differences exist.</w:t>
      </w:r>
    </w:p>
    <w:p w:rsidR="00E41295" w:rsidRDefault="00E41295" w:rsidP="00E41295">
      <w:pPr>
        <w:spacing w:after="0"/>
        <w:rPr>
          <w:rFonts w:cs="Times New Roman"/>
          <w:noProof/>
          <w:szCs w:val="24"/>
        </w:rPr>
      </w:pPr>
    </w:p>
    <w:p w:rsidR="00E41295" w:rsidRDefault="00E41295" w:rsidP="00E41295">
      <w:pPr>
        <w:spacing w:after="0"/>
        <w:rPr>
          <w:rFonts w:cs="Times New Roman"/>
          <w:noProof/>
          <w:szCs w:val="24"/>
        </w:rPr>
      </w:pPr>
      <w:r>
        <w:rPr>
          <w:rFonts w:cs="Times New Roman"/>
          <w:noProof/>
          <w:szCs w:val="24"/>
        </w:rPr>
        <w:t>Attachment 14--</w:t>
      </w:r>
      <w:r w:rsidRPr="00E41295">
        <w:rPr>
          <w:rFonts w:cs="Times New Roman"/>
          <w:noProof/>
          <w:szCs w:val="24"/>
        </w:rPr>
        <w:t xml:space="preserve"> </w:t>
      </w:r>
      <w:r w:rsidRPr="00F2624A">
        <w:rPr>
          <w:rFonts w:cs="Times New Roman"/>
          <w:noProof/>
          <w:szCs w:val="24"/>
        </w:rPr>
        <w:t xml:space="preserve">Please </w:t>
      </w:r>
      <w:r>
        <w:rPr>
          <w:rFonts w:cs="Times New Roman"/>
          <w:noProof/>
          <w:szCs w:val="24"/>
        </w:rPr>
        <w:t xml:space="preserve">clarify whether </w:t>
      </w:r>
      <w:r w:rsidRPr="00F2624A">
        <w:rPr>
          <w:rFonts w:cs="Times New Roman"/>
          <w:noProof/>
          <w:szCs w:val="24"/>
        </w:rPr>
        <w:t xml:space="preserve">the quantity listed for the ADQ </w:t>
      </w:r>
      <w:r>
        <w:rPr>
          <w:rFonts w:cs="Times New Roman"/>
          <w:noProof/>
          <w:szCs w:val="24"/>
        </w:rPr>
        <w:t xml:space="preserve">is based on </w:t>
      </w:r>
      <w:r w:rsidRPr="00F2624A">
        <w:rPr>
          <w:rFonts w:cs="Times New Roman"/>
          <w:noProof/>
          <w:szCs w:val="24"/>
        </w:rPr>
        <w:t xml:space="preserve">the Unit of Issue listed in column G or if it </w:t>
      </w:r>
      <w:r>
        <w:rPr>
          <w:rFonts w:cs="Times New Roman"/>
          <w:noProof/>
          <w:szCs w:val="24"/>
        </w:rPr>
        <w:t>is based on a unit of issue of Each (one item per unit).</w:t>
      </w:r>
    </w:p>
    <w:p w:rsidR="0068176E" w:rsidRPr="003940C2" w:rsidRDefault="0068176E" w:rsidP="0068176E">
      <w:pPr>
        <w:spacing w:after="0"/>
        <w:rPr>
          <w:rFonts w:cs="Times New Roman"/>
          <w:b/>
          <w:noProof/>
          <w:color w:val="FF0000"/>
          <w:szCs w:val="24"/>
        </w:rPr>
      </w:pPr>
      <w:r w:rsidRPr="003940C2">
        <w:rPr>
          <w:rFonts w:cs="Times New Roman"/>
          <w:b/>
          <w:noProof/>
          <w:szCs w:val="24"/>
        </w:rPr>
        <w:t>Historical usage reflected in Attachment 14 is based on the Unit of Issue.</w:t>
      </w:r>
    </w:p>
    <w:p w:rsidR="00B8087F" w:rsidRDefault="00B8087F" w:rsidP="00E41295">
      <w:pPr>
        <w:spacing w:after="0"/>
        <w:rPr>
          <w:rFonts w:cs="Times New Roman"/>
          <w:noProof/>
          <w:szCs w:val="24"/>
        </w:rPr>
      </w:pPr>
    </w:p>
    <w:p w:rsidR="002C311F" w:rsidRDefault="002C311F" w:rsidP="002C311F">
      <w:pPr>
        <w:spacing w:after="0" w:line="240" w:lineRule="auto"/>
      </w:pPr>
      <w:r w:rsidRPr="002C311F">
        <w:rPr>
          <w:rFonts w:cs="Times New Roman"/>
          <w:noProof/>
          <w:szCs w:val="24"/>
        </w:rPr>
        <w:t>Attachment 21--</w:t>
      </w:r>
      <w:r w:rsidRPr="002C311F">
        <w:t xml:space="preserve"> </w:t>
      </w:r>
      <w:r>
        <w:t>Please explain the spreadsheet AV_Att21 OC ALC_160202, especially tabs “BSL Kitting AQ Sum and Last Del” and “Tanker with Consumption” in more detail. Will the Government please provide the difference is between these two tabs and explain each column?</w:t>
      </w:r>
    </w:p>
    <w:p w:rsidR="00B8087F" w:rsidRPr="003940C2" w:rsidRDefault="00B8087F" w:rsidP="002C311F">
      <w:pPr>
        <w:spacing w:after="0" w:line="240" w:lineRule="auto"/>
        <w:rPr>
          <w:b/>
        </w:rPr>
      </w:pPr>
      <w:r w:rsidRPr="003940C2">
        <w:rPr>
          <w:b/>
        </w:rPr>
        <w:t>Attachment 21 provides the kit configurations, items per kit, and expected usage per kit.  The kit levels for RFP submission that the Gen III contractor will be expected to have on hand is in Attachment 22.</w:t>
      </w:r>
    </w:p>
    <w:p w:rsidR="002C311F" w:rsidRDefault="002C311F" w:rsidP="00E41295">
      <w:pPr>
        <w:spacing w:after="0"/>
        <w:rPr>
          <w:rFonts w:cs="Times New Roman"/>
          <w:noProof/>
          <w:szCs w:val="24"/>
        </w:rPr>
      </w:pPr>
    </w:p>
    <w:p w:rsidR="00B63DB2" w:rsidRPr="0061635E" w:rsidRDefault="00B63DB2" w:rsidP="00B63DB2">
      <w:pPr>
        <w:spacing w:after="0" w:line="240" w:lineRule="auto"/>
        <w:rPr>
          <w:rFonts w:cs="Times New Roman"/>
          <w:szCs w:val="24"/>
        </w:rPr>
      </w:pPr>
      <w:r w:rsidRPr="0061635E">
        <w:t xml:space="preserve">Attachment 1--Does the total Estimated Annual Demand include the EAD for NSNs required to assemble the kits in the Kit LOMs? </w:t>
      </w:r>
    </w:p>
    <w:p w:rsidR="00B8087F" w:rsidRPr="0061635E" w:rsidRDefault="00B8087F" w:rsidP="00B63DB2">
      <w:pPr>
        <w:spacing w:after="0" w:line="240" w:lineRule="auto"/>
        <w:rPr>
          <w:b/>
        </w:rPr>
      </w:pPr>
      <w:r w:rsidRPr="0061635E">
        <w:rPr>
          <w:b/>
        </w:rPr>
        <w:t>Yes</w:t>
      </w:r>
    </w:p>
    <w:p w:rsidR="002C311F" w:rsidRDefault="002C311F" w:rsidP="00E41295">
      <w:pPr>
        <w:spacing w:after="0"/>
        <w:rPr>
          <w:rFonts w:cs="Times New Roman"/>
          <w:noProof/>
          <w:szCs w:val="24"/>
        </w:rPr>
      </w:pPr>
    </w:p>
    <w:p w:rsidR="0082137B" w:rsidRPr="0061635E" w:rsidRDefault="00245856" w:rsidP="00245856">
      <w:pPr>
        <w:spacing w:after="0" w:line="240" w:lineRule="auto"/>
        <w:rPr>
          <w:rFonts w:cs="Times New Roman"/>
          <w:noProof/>
          <w:szCs w:val="24"/>
        </w:rPr>
      </w:pPr>
      <w:r w:rsidRPr="0061635E">
        <w:rPr>
          <w:rFonts w:cs="Times New Roman"/>
          <w:noProof/>
          <w:szCs w:val="24"/>
        </w:rPr>
        <w:t>Amendment 0002 removed 61 NSNs from the Core List of Items that were indicated as requiring product verification testing.  Among the removed NSNs, six were indicated as requiring both first article testing and product verification testing. Fifty-five NSNs marked as requiring first article testing were removed from the Core List of Items, but two NSNs were not.  Were these two NSNs, 5365-01-270-2583 (QCC QAF) and 1650-00-288-5540 (QCC RCA) supposed to be removed from the Core List of Items as well?.</w:t>
      </w:r>
    </w:p>
    <w:p w:rsidR="00245856" w:rsidRDefault="00245856" w:rsidP="00245856">
      <w:pPr>
        <w:spacing w:after="0" w:line="240" w:lineRule="auto"/>
        <w:rPr>
          <w:b/>
        </w:rPr>
      </w:pPr>
      <w:r w:rsidRPr="0061635E">
        <w:rPr>
          <w:b/>
        </w:rPr>
        <w:t xml:space="preserve">No, these two NSNs are still </w:t>
      </w:r>
      <w:r w:rsidR="00424944" w:rsidRPr="0061635E">
        <w:rPr>
          <w:b/>
        </w:rPr>
        <w:t>part of the Core Lis of Items (Attachment 1)</w:t>
      </w:r>
      <w:r w:rsidRPr="0061635E">
        <w:rPr>
          <w:b/>
        </w:rPr>
        <w:t>.</w:t>
      </w:r>
      <w:r w:rsidR="00424944" w:rsidRPr="0061635E">
        <w:rPr>
          <w:b/>
        </w:rPr>
        <w:t xml:space="preserve">  A review of current internal data as of 25 </w:t>
      </w:r>
      <w:r w:rsidR="009A665D" w:rsidRPr="0061635E">
        <w:rPr>
          <w:b/>
        </w:rPr>
        <w:t>March</w:t>
      </w:r>
      <w:r w:rsidR="00424944" w:rsidRPr="0061635E">
        <w:rPr>
          <w:b/>
        </w:rPr>
        <w:t xml:space="preserve"> 2016 shows that </w:t>
      </w:r>
      <w:proofErr w:type="gramStart"/>
      <w:r w:rsidR="00424944" w:rsidRPr="0061635E">
        <w:rPr>
          <w:b/>
        </w:rPr>
        <w:t>neither NSN requires FAT and</w:t>
      </w:r>
      <w:proofErr w:type="gramEnd"/>
      <w:r w:rsidR="00424944" w:rsidRPr="0061635E">
        <w:rPr>
          <w:b/>
        </w:rPr>
        <w:t xml:space="preserve"> a review of the Quality Matrix at Attachment 4 of the RFP shows the same.</w:t>
      </w:r>
    </w:p>
    <w:p w:rsidR="00C94FEA" w:rsidRDefault="00C94FEA" w:rsidP="00245856">
      <w:pPr>
        <w:spacing w:after="0" w:line="240" w:lineRule="auto"/>
        <w:rPr>
          <w:b/>
        </w:rPr>
      </w:pPr>
    </w:p>
    <w:p w:rsidR="00C94FEA" w:rsidRPr="009054F1" w:rsidRDefault="00C94FEA" w:rsidP="00C94FEA">
      <w:pPr>
        <w:ind w:left="360" w:hanging="360"/>
        <w:rPr>
          <w:rFonts w:cs="Times New Roman"/>
          <w:szCs w:val="24"/>
        </w:rPr>
      </w:pPr>
      <w:r w:rsidRPr="009054F1">
        <w:rPr>
          <w:rFonts w:cs="Times New Roman"/>
          <w:szCs w:val="24"/>
        </w:rPr>
        <w:t>Amendment 0002 – Attachment 1 – Core List of Items</w:t>
      </w:r>
    </w:p>
    <w:p w:rsidR="00C94FEA" w:rsidRPr="009054F1" w:rsidRDefault="00C94FEA" w:rsidP="00C94FEA">
      <w:pPr>
        <w:spacing w:after="120"/>
        <w:jc w:val="both"/>
        <w:rPr>
          <w:rFonts w:cs="Times New Roman"/>
          <w:noProof/>
          <w:szCs w:val="24"/>
        </w:rPr>
      </w:pPr>
      <w:r w:rsidRPr="009054F1">
        <w:rPr>
          <w:rFonts w:cs="Times New Roman"/>
          <w:noProof/>
          <w:szCs w:val="24"/>
        </w:rPr>
        <w:t xml:space="preserve">The Core List of items in Amendment 2 contains 45 NSNs identified as General Electric items, which are either sourced to or designed by General Electric (GE) or joint venture CFM International, which is jointly owned by General Electric and SNECMA.  CAGEs are 07482, 07639, and 58828.  Per the attached response GE has refused to quote any of the 45 NSNs stating in part “…we offer replacement products for sale (under mutually-agreeable terms and conditions) to the operators themselves, their agents, and GE-authorized third parties …”, “…we do not believe that we can  pursue your request for a </w:t>
      </w:r>
      <w:r w:rsidRPr="009054F1">
        <w:rPr>
          <w:rFonts w:cs="Times New Roman"/>
          <w:noProof/>
          <w:szCs w:val="24"/>
        </w:rPr>
        <w:lastRenderedPageBreak/>
        <w:t>sales relationship at this time, since we believe that our own requirements and those of our customers are being adequately met by the distribution arrangements currently in place.” It is likely that GE will quote the incumbent contractor for this solicitation, other possible competitors, but not our company.  Therefore, we respectfully request that the following 45 NSNs sourced to GE be removed from the Core List of Items from Amendment 2 of the solicitation:</w:t>
      </w:r>
    </w:p>
    <w:tbl>
      <w:tblPr>
        <w:tblW w:w="8430" w:type="dxa"/>
        <w:tblLook w:val="04A0" w:firstRow="1" w:lastRow="0" w:firstColumn="1" w:lastColumn="0" w:noHBand="0" w:noVBand="1"/>
      </w:tblPr>
      <w:tblGrid>
        <w:gridCol w:w="2320"/>
        <w:gridCol w:w="2250"/>
        <w:gridCol w:w="2040"/>
        <w:gridCol w:w="1820"/>
      </w:tblGrid>
      <w:tr w:rsidR="009054F1" w:rsidRPr="009054F1" w:rsidTr="00712B05">
        <w:trPr>
          <w:trHeight w:val="315"/>
        </w:trPr>
        <w:tc>
          <w:tcPr>
            <w:tcW w:w="232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5310-01-450-2863</w:t>
            </w:r>
          </w:p>
        </w:tc>
        <w:tc>
          <w:tcPr>
            <w:tcW w:w="225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5315-01-336-9585</w:t>
            </w:r>
          </w:p>
        </w:tc>
        <w:tc>
          <w:tcPr>
            <w:tcW w:w="204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5306-01-215-3997</w:t>
            </w:r>
          </w:p>
        </w:tc>
        <w:tc>
          <w:tcPr>
            <w:tcW w:w="1820" w:type="dxa"/>
            <w:vMerge w:val="restart"/>
            <w:tcBorders>
              <w:top w:val="nil"/>
              <w:left w:val="nil"/>
              <w:right w:val="nil"/>
            </w:tcBorders>
            <w:vAlign w:val="center"/>
          </w:tcPr>
          <w:p w:rsidR="00C94FEA" w:rsidRPr="009054F1" w:rsidRDefault="00C94FEA" w:rsidP="00712B05">
            <w:pPr>
              <w:spacing w:after="0" w:line="240" w:lineRule="auto"/>
              <w:jc w:val="center"/>
              <w:rPr>
                <w:rFonts w:eastAsia="Times New Roman" w:cs="Times New Roman"/>
                <w:szCs w:val="24"/>
              </w:rPr>
            </w:pPr>
          </w:p>
        </w:tc>
      </w:tr>
      <w:tr w:rsidR="009054F1" w:rsidRPr="009054F1" w:rsidTr="00712B05">
        <w:trPr>
          <w:trHeight w:val="315"/>
        </w:trPr>
        <w:tc>
          <w:tcPr>
            <w:tcW w:w="232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5306-00-310-8630</w:t>
            </w:r>
          </w:p>
        </w:tc>
        <w:tc>
          <w:tcPr>
            <w:tcW w:w="225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3120-01-357-0159</w:t>
            </w:r>
          </w:p>
        </w:tc>
        <w:tc>
          <w:tcPr>
            <w:tcW w:w="204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5365-01-270-2583</w:t>
            </w:r>
          </w:p>
        </w:tc>
        <w:tc>
          <w:tcPr>
            <w:tcW w:w="1820" w:type="dxa"/>
            <w:vMerge/>
            <w:tcBorders>
              <w:left w:val="nil"/>
              <w:right w:val="nil"/>
            </w:tcBorders>
          </w:tcPr>
          <w:p w:rsidR="00C94FEA" w:rsidRPr="009054F1" w:rsidRDefault="00C94FEA" w:rsidP="00712B05">
            <w:pPr>
              <w:spacing w:after="0" w:line="240" w:lineRule="auto"/>
              <w:jc w:val="right"/>
              <w:rPr>
                <w:rFonts w:eastAsia="Times New Roman" w:cs="Times New Roman"/>
                <w:szCs w:val="24"/>
              </w:rPr>
            </w:pPr>
          </w:p>
        </w:tc>
      </w:tr>
      <w:tr w:rsidR="009054F1" w:rsidRPr="009054F1" w:rsidTr="00712B05">
        <w:trPr>
          <w:trHeight w:val="315"/>
        </w:trPr>
        <w:tc>
          <w:tcPr>
            <w:tcW w:w="232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5325-00-442-7616</w:t>
            </w:r>
          </w:p>
        </w:tc>
        <w:tc>
          <w:tcPr>
            <w:tcW w:w="225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5306-00-097-7305</w:t>
            </w:r>
          </w:p>
        </w:tc>
        <w:tc>
          <w:tcPr>
            <w:tcW w:w="204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5306-01-323-7933</w:t>
            </w:r>
          </w:p>
        </w:tc>
        <w:tc>
          <w:tcPr>
            <w:tcW w:w="1820" w:type="dxa"/>
            <w:vMerge/>
            <w:tcBorders>
              <w:left w:val="nil"/>
              <w:right w:val="nil"/>
            </w:tcBorders>
          </w:tcPr>
          <w:p w:rsidR="00C94FEA" w:rsidRPr="009054F1" w:rsidRDefault="00C94FEA" w:rsidP="00712B05">
            <w:pPr>
              <w:spacing w:after="0" w:line="240" w:lineRule="auto"/>
              <w:jc w:val="right"/>
              <w:rPr>
                <w:rFonts w:eastAsia="Times New Roman" w:cs="Times New Roman"/>
                <w:szCs w:val="24"/>
              </w:rPr>
            </w:pPr>
          </w:p>
        </w:tc>
      </w:tr>
      <w:tr w:rsidR="009054F1" w:rsidRPr="009054F1" w:rsidTr="00712B05">
        <w:trPr>
          <w:trHeight w:val="315"/>
        </w:trPr>
        <w:tc>
          <w:tcPr>
            <w:tcW w:w="232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5306-00-528-6636</w:t>
            </w:r>
          </w:p>
        </w:tc>
        <w:tc>
          <w:tcPr>
            <w:tcW w:w="225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2840-01-171-0872</w:t>
            </w:r>
          </w:p>
        </w:tc>
        <w:tc>
          <w:tcPr>
            <w:tcW w:w="204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5306-01-333-4661</w:t>
            </w:r>
          </w:p>
        </w:tc>
        <w:tc>
          <w:tcPr>
            <w:tcW w:w="1820" w:type="dxa"/>
            <w:vMerge/>
            <w:tcBorders>
              <w:left w:val="nil"/>
              <w:right w:val="nil"/>
            </w:tcBorders>
          </w:tcPr>
          <w:p w:rsidR="00C94FEA" w:rsidRPr="009054F1" w:rsidRDefault="00C94FEA" w:rsidP="00712B05">
            <w:pPr>
              <w:spacing w:after="0" w:line="240" w:lineRule="auto"/>
              <w:jc w:val="right"/>
              <w:rPr>
                <w:rFonts w:eastAsia="Times New Roman" w:cs="Times New Roman"/>
                <w:szCs w:val="24"/>
              </w:rPr>
            </w:pPr>
          </w:p>
        </w:tc>
      </w:tr>
      <w:tr w:rsidR="009054F1" w:rsidRPr="009054F1" w:rsidTr="00712B05">
        <w:trPr>
          <w:trHeight w:val="315"/>
        </w:trPr>
        <w:tc>
          <w:tcPr>
            <w:tcW w:w="232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5305-01-174-7044</w:t>
            </w:r>
          </w:p>
        </w:tc>
        <w:tc>
          <w:tcPr>
            <w:tcW w:w="225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5306-01-173-5032</w:t>
            </w:r>
          </w:p>
        </w:tc>
        <w:tc>
          <w:tcPr>
            <w:tcW w:w="204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2840-01-369-1662</w:t>
            </w:r>
          </w:p>
        </w:tc>
        <w:tc>
          <w:tcPr>
            <w:tcW w:w="1820" w:type="dxa"/>
            <w:vMerge/>
            <w:tcBorders>
              <w:left w:val="nil"/>
              <w:right w:val="nil"/>
            </w:tcBorders>
          </w:tcPr>
          <w:p w:rsidR="00C94FEA" w:rsidRPr="009054F1" w:rsidRDefault="00C94FEA" w:rsidP="00712B05">
            <w:pPr>
              <w:spacing w:after="0" w:line="240" w:lineRule="auto"/>
              <w:jc w:val="right"/>
              <w:rPr>
                <w:rFonts w:eastAsia="Times New Roman" w:cs="Times New Roman"/>
                <w:szCs w:val="24"/>
              </w:rPr>
            </w:pPr>
          </w:p>
        </w:tc>
      </w:tr>
      <w:tr w:rsidR="009054F1" w:rsidRPr="009054F1" w:rsidTr="00712B05">
        <w:trPr>
          <w:trHeight w:val="315"/>
        </w:trPr>
        <w:tc>
          <w:tcPr>
            <w:tcW w:w="232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5306-01-175-2767</w:t>
            </w:r>
          </w:p>
        </w:tc>
        <w:tc>
          <w:tcPr>
            <w:tcW w:w="225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5307-01-173-8575</w:t>
            </w:r>
          </w:p>
        </w:tc>
        <w:tc>
          <w:tcPr>
            <w:tcW w:w="204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5306-01-173-9537</w:t>
            </w:r>
          </w:p>
        </w:tc>
        <w:tc>
          <w:tcPr>
            <w:tcW w:w="1820" w:type="dxa"/>
            <w:vMerge/>
            <w:tcBorders>
              <w:left w:val="nil"/>
              <w:right w:val="nil"/>
            </w:tcBorders>
          </w:tcPr>
          <w:p w:rsidR="00C94FEA" w:rsidRPr="009054F1" w:rsidRDefault="00C94FEA" w:rsidP="00712B05">
            <w:pPr>
              <w:spacing w:after="0" w:line="240" w:lineRule="auto"/>
              <w:jc w:val="right"/>
              <w:rPr>
                <w:rFonts w:eastAsia="Times New Roman" w:cs="Times New Roman"/>
                <w:szCs w:val="24"/>
              </w:rPr>
            </w:pPr>
          </w:p>
        </w:tc>
      </w:tr>
      <w:tr w:rsidR="009054F1" w:rsidRPr="009054F1" w:rsidTr="00712B05">
        <w:trPr>
          <w:trHeight w:val="315"/>
        </w:trPr>
        <w:tc>
          <w:tcPr>
            <w:tcW w:w="232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5306-01-175-2769</w:t>
            </w:r>
          </w:p>
        </w:tc>
        <w:tc>
          <w:tcPr>
            <w:tcW w:w="225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5306-01-175-3619</w:t>
            </w:r>
          </w:p>
        </w:tc>
        <w:tc>
          <w:tcPr>
            <w:tcW w:w="204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5306-01-306-6194</w:t>
            </w:r>
          </w:p>
        </w:tc>
        <w:tc>
          <w:tcPr>
            <w:tcW w:w="1820" w:type="dxa"/>
            <w:vMerge/>
            <w:tcBorders>
              <w:left w:val="nil"/>
              <w:right w:val="nil"/>
            </w:tcBorders>
          </w:tcPr>
          <w:p w:rsidR="00C94FEA" w:rsidRPr="009054F1" w:rsidRDefault="00C94FEA" w:rsidP="00712B05">
            <w:pPr>
              <w:spacing w:after="0" w:line="240" w:lineRule="auto"/>
              <w:jc w:val="right"/>
              <w:rPr>
                <w:rFonts w:eastAsia="Times New Roman" w:cs="Times New Roman"/>
                <w:szCs w:val="24"/>
              </w:rPr>
            </w:pPr>
          </w:p>
        </w:tc>
      </w:tr>
      <w:tr w:rsidR="009054F1" w:rsidRPr="009054F1" w:rsidTr="00712B05">
        <w:trPr>
          <w:trHeight w:val="315"/>
        </w:trPr>
        <w:tc>
          <w:tcPr>
            <w:tcW w:w="232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5306-01-175-2770</w:t>
            </w:r>
          </w:p>
        </w:tc>
        <w:tc>
          <w:tcPr>
            <w:tcW w:w="225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5315-01-175-6126</w:t>
            </w:r>
          </w:p>
        </w:tc>
        <w:tc>
          <w:tcPr>
            <w:tcW w:w="204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5306-01-174-2880</w:t>
            </w:r>
          </w:p>
        </w:tc>
        <w:tc>
          <w:tcPr>
            <w:tcW w:w="1820" w:type="dxa"/>
            <w:vMerge/>
            <w:tcBorders>
              <w:left w:val="nil"/>
              <w:right w:val="nil"/>
            </w:tcBorders>
          </w:tcPr>
          <w:p w:rsidR="00C94FEA" w:rsidRPr="009054F1" w:rsidRDefault="00C94FEA" w:rsidP="00712B05">
            <w:pPr>
              <w:spacing w:after="0" w:line="240" w:lineRule="auto"/>
              <w:jc w:val="right"/>
              <w:rPr>
                <w:rFonts w:eastAsia="Times New Roman" w:cs="Times New Roman"/>
                <w:szCs w:val="24"/>
              </w:rPr>
            </w:pPr>
          </w:p>
        </w:tc>
      </w:tr>
      <w:tr w:rsidR="009054F1" w:rsidRPr="009054F1" w:rsidTr="00712B05">
        <w:trPr>
          <w:trHeight w:val="315"/>
        </w:trPr>
        <w:tc>
          <w:tcPr>
            <w:tcW w:w="232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5305-01-175-2773</w:t>
            </w:r>
          </w:p>
        </w:tc>
        <w:tc>
          <w:tcPr>
            <w:tcW w:w="225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5306-01-176-1977</w:t>
            </w:r>
          </w:p>
        </w:tc>
        <w:tc>
          <w:tcPr>
            <w:tcW w:w="204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5340-01-175-3899</w:t>
            </w:r>
          </w:p>
        </w:tc>
        <w:tc>
          <w:tcPr>
            <w:tcW w:w="1820" w:type="dxa"/>
            <w:vMerge/>
            <w:tcBorders>
              <w:left w:val="nil"/>
              <w:right w:val="nil"/>
            </w:tcBorders>
          </w:tcPr>
          <w:p w:rsidR="00C94FEA" w:rsidRPr="009054F1" w:rsidRDefault="00C94FEA" w:rsidP="00712B05">
            <w:pPr>
              <w:spacing w:after="0" w:line="240" w:lineRule="auto"/>
              <w:jc w:val="right"/>
              <w:rPr>
                <w:rFonts w:eastAsia="Times New Roman" w:cs="Times New Roman"/>
                <w:szCs w:val="24"/>
              </w:rPr>
            </w:pPr>
          </w:p>
        </w:tc>
      </w:tr>
      <w:tr w:rsidR="009054F1" w:rsidRPr="009054F1" w:rsidTr="00712B05">
        <w:trPr>
          <w:trHeight w:val="315"/>
        </w:trPr>
        <w:tc>
          <w:tcPr>
            <w:tcW w:w="232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5306-01-175-3650</w:t>
            </w:r>
          </w:p>
        </w:tc>
        <w:tc>
          <w:tcPr>
            <w:tcW w:w="225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5340-01-178-3402</w:t>
            </w:r>
          </w:p>
        </w:tc>
        <w:tc>
          <w:tcPr>
            <w:tcW w:w="204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5306-01-172-4259</w:t>
            </w:r>
          </w:p>
        </w:tc>
        <w:tc>
          <w:tcPr>
            <w:tcW w:w="1820" w:type="dxa"/>
            <w:vMerge/>
            <w:tcBorders>
              <w:left w:val="nil"/>
              <w:right w:val="nil"/>
            </w:tcBorders>
          </w:tcPr>
          <w:p w:rsidR="00C94FEA" w:rsidRPr="009054F1" w:rsidRDefault="00C94FEA" w:rsidP="00712B05">
            <w:pPr>
              <w:spacing w:after="0" w:line="240" w:lineRule="auto"/>
              <w:jc w:val="right"/>
              <w:rPr>
                <w:rFonts w:eastAsia="Times New Roman" w:cs="Times New Roman"/>
                <w:szCs w:val="24"/>
              </w:rPr>
            </w:pPr>
          </w:p>
        </w:tc>
      </w:tr>
      <w:tr w:rsidR="009054F1" w:rsidRPr="009054F1" w:rsidTr="00712B05">
        <w:trPr>
          <w:trHeight w:val="315"/>
        </w:trPr>
        <w:tc>
          <w:tcPr>
            <w:tcW w:w="232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5315-01-175-3920</w:t>
            </w:r>
          </w:p>
        </w:tc>
        <w:tc>
          <w:tcPr>
            <w:tcW w:w="225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5306-01-188-9184</w:t>
            </w:r>
          </w:p>
        </w:tc>
        <w:tc>
          <w:tcPr>
            <w:tcW w:w="204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5306-01-175-3620</w:t>
            </w:r>
          </w:p>
        </w:tc>
        <w:tc>
          <w:tcPr>
            <w:tcW w:w="1820" w:type="dxa"/>
            <w:vMerge/>
            <w:tcBorders>
              <w:left w:val="nil"/>
              <w:right w:val="nil"/>
            </w:tcBorders>
          </w:tcPr>
          <w:p w:rsidR="00C94FEA" w:rsidRPr="009054F1" w:rsidRDefault="00C94FEA" w:rsidP="00712B05">
            <w:pPr>
              <w:spacing w:after="0" w:line="240" w:lineRule="auto"/>
              <w:jc w:val="right"/>
              <w:rPr>
                <w:rFonts w:eastAsia="Times New Roman" w:cs="Times New Roman"/>
                <w:szCs w:val="24"/>
              </w:rPr>
            </w:pPr>
          </w:p>
        </w:tc>
      </w:tr>
      <w:tr w:rsidR="009054F1" w:rsidRPr="009054F1" w:rsidTr="00712B05">
        <w:trPr>
          <w:trHeight w:val="315"/>
        </w:trPr>
        <w:tc>
          <w:tcPr>
            <w:tcW w:w="232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5306-01-182-2285</w:t>
            </w:r>
          </w:p>
        </w:tc>
        <w:tc>
          <w:tcPr>
            <w:tcW w:w="225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5306-01-190-1508</w:t>
            </w:r>
          </w:p>
        </w:tc>
        <w:tc>
          <w:tcPr>
            <w:tcW w:w="204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5310-01-184-8607</w:t>
            </w:r>
          </w:p>
        </w:tc>
        <w:tc>
          <w:tcPr>
            <w:tcW w:w="1820" w:type="dxa"/>
            <w:vMerge/>
            <w:tcBorders>
              <w:left w:val="nil"/>
              <w:right w:val="nil"/>
            </w:tcBorders>
          </w:tcPr>
          <w:p w:rsidR="00C94FEA" w:rsidRPr="009054F1" w:rsidRDefault="00C94FEA" w:rsidP="00712B05">
            <w:pPr>
              <w:spacing w:after="0" w:line="240" w:lineRule="auto"/>
              <w:jc w:val="right"/>
              <w:rPr>
                <w:rFonts w:eastAsia="Times New Roman" w:cs="Times New Roman"/>
                <w:szCs w:val="24"/>
              </w:rPr>
            </w:pPr>
          </w:p>
        </w:tc>
      </w:tr>
      <w:tr w:rsidR="009054F1" w:rsidRPr="009054F1" w:rsidTr="00712B05">
        <w:trPr>
          <w:trHeight w:val="315"/>
        </w:trPr>
        <w:tc>
          <w:tcPr>
            <w:tcW w:w="232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5306-01-187-3834</w:t>
            </w:r>
          </w:p>
        </w:tc>
        <w:tc>
          <w:tcPr>
            <w:tcW w:w="225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5306-01-190-1711</w:t>
            </w:r>
          </w:p>
        </w:tc>
        <w:tc>
          <w:tcPr>
            <w:tcW w:w="204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5310-00-894-9327</w:t>
            </w:r>
          </w:p>
        </w:tc>
        <w:tc>
          <w:tcPr>
            <w:tcW w:w="1820" w:type="dxa"/>
            <w:vMerge/>
            <w:tcBorders>
              <w:left w:val="nil"/>
              <w:right w:val="nil"/>
            </w:tcBorders>
          </w:tcPr>
          <w:p w:rsidR="00C94FEA" w:rsidRPr="009054F1" w:rsidRDefault="00C94FEA" w:rsidP="00712B05">
            <w:pPr>
              <w:spacing w:after="0" w:line="240" w:lineRule="auto"/>
              <w:jc w:val="right"/>
              <w:rPr>
                <w:rFonts w:eastAsia="Times New Roman" w:cs="Times New Roman"/>
                <w:szCs w:val="24"/>
              </w:rPr>
            </w:pPr>
          </w:p>
        </w:tc>
      </w:tr>
      <w:tr w:rsidR="009054F1" w:rsidRPr="009054F1" w:rsidTr="00712B05">
        <w:trPr>
          <w:trHeight w:val="315"/>
        </w:trPr>
        <w:tc>
          <w:tcPr>
            <w:tcW w:w="232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5306-01-214-2759</w:t>
            </w:r>
          </w:p>
        </w:tc>
        <w:tc>
          <w:tcPr>
            <w:tcW w:w="225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5306-01-190-1713</w:t>
            </w:r>
          </w:p>
        </w:tc>
        <w:tc>
          <w:tcPr>
            <w:tcW w:w="204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5340-00-920-7300</w:t>
            </w:r>
          </w:p>
        </w:tc>
        <w:tc>
          <w:tcPr>
            <w:tcW w:w="1820" w:type="dxa"/>
            <w:vMerge/>
            <w:tcBorders>
              <w:left w:val="nil"/>
              <w:right w:val="nil"/>
            </w:tcBorders>
          </w:tcPr>
          <w:p w:rsidR="00C94FEA" w:rsidRPr="009054F1" w:rsidRDefault="00C94FEA" w:rsidP="00712B05">
            <w:pPr>
              <w:spacing w:after="0" w:line="240" w:lineRule="auto"/>
              <w:jc w:val="right"/>
              <w:rPr>
                <w:rFonts w:eastAsia="Times New Roman" w:cs="Times New Roman"/>
                <w:szCs w:val="24"/>
              </w:rPr>
            </w:pPr>
          </w:p>
        </w:tc>
      </w:tr>
      <w:tr w:rsidR="009054F1" w:rsidRPr="009054F1" w:rsidTr="00712B05">
        <w:trPr>
          <w:trHeight w:val="315"/>
        </w:trPr>
        <w:tc>
          <w:tcPr>
            <w:tcW w:w="232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5307-01-326-1998</w:t>
            </w:r>
          </w:p>
        </w:tc>
        <w:tc>
          <w:tcPr>
            <w:tcW w:w="225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5315-01-192-3867</w:t>
            </w:r>
          </w:p>
        </w:tc>
        <w:tc>
          <w:tcPr>
            <w:tcW w:w="2040" w:type="dxa"/>
            <w:tcBorders>
              <w:top w:val="nil"/>
              <w:left w:val="nil"/>
              <w:bottom w:val="nil"/>
              <w:right w:val="nil"/>
            </w:tcBorders>
            <w:shd w:val="clear" w:color="auto" w:fill="auto"/>
            <w:noWrap/>
            <w:vAlign w:val="center"/>
            <w:hideMark/>
          </w:tcPr>
          <w:p w:rsidR="00C94FEA" w:rsidRPr="009054F1" w:rsidRDefault="00C94FEA" w:rsidP="00712B05">
            <w:pPr>
              <w:spacing w:after="0" w:line="240" w:lineRule="auto"/>
              <w:jc w:val="right"/>
              <w:rPr>
                <w:rFonts w:eastAsia="Times New Roman" w:cs="Times New Roman"/>
                <w:szCs w:val="24"/>
              </w:rPr>
            </w:pPr>
            <w:r w:rsidRPr="009054F1">
              <w:rPr>
                <w:rFonts w:eastAsia="Times New Roman" w:cs="Times New Roman"/>
                <w:szCs w:val="24"/>
              </w:rPr>
              <w:t>5306-01-341-8747</w:t>
            </w:r>
          </w:p>
        </w:tc>
        <w:tc>
          <w:tcPr>
            <w:tcW w:w="1820" w:type="dxa"/>
            <w:vMerge/>
            <w:tcBorders>
              <w:left w:val="nil"/>
              <w:bottom w:val="nil"/>
              <w:right w:val="nil"/>
            </w:tcBorders>
          </w:tcPr>
          <w:p w:rsidR="00C94FEA" w:rsidRPr="009054F1" w:rsidRDefault="00C94FEA" w:rsidP="00712B05">
            <w:pPr>
              <w:spacing w:after="0" w:line="240" w:lineRule="auto"/>
              <w:jc w:val="right"/>
              <w:rPr>
                <w:rFonts w:eastAsia="Times New Roman" w:cs="Times New Roman"/>
                <w:szCs w:val="24"/>
              </w:rPr>
            </w:pPr>
          </w:p>
        </w:tc>
      </w:tr>
    </w:tbl>
    <w:p w:rsidR="00C94FEA" w:rsidRPr="009054F1" w:rsidRDefault="009054F1" w:rsidP="00245856">
      <w:pPr>
        <w:spacing w:after="0" w:line="240" w:lineRule="auto"/>
        <w:rPr>
          <w:b/>
        </w:rPr>
      </w:pPr>
      <w:r w:rsidRPr="009054F1">
        <w:rPr>
          <w:b/>
        </w:rPr>
        <w:t>The Gov’t would recommend that an</w:t>
      </w:r>
      <w:r>
        <w:rPr>
          <w:b/>
        </w:rPr>
        <w:t>y</w:t>
      </w:r>
      <w:r w:rsidRPr="009054F1">
        <w:rPr>
          <w:b/>
        </w:rPr>
        <w:t xml:space="preserve"> potential offeror for the GEN III contract should reach out and purchase these items from an authorized GE/CFM distributor.</w:t>
      </w:r>
      <w:r>
        <w:rPr>
          <w:b/>
        </w:rPr>
        <w:t xml:space="preserve">  If you are unable to obtain pricing on any items in Attachment 1, please provide that information to the Gov’t via your proposal.</w:t>
      </w:r>
    </w:p>
    <w:p w:rsidR="00066FA4" w:rsidRPr="009054F1" w:rsidRDefault="00066FA4" w:rsidP="00A275B6">
      <w:pPr>
        <w:spacing w:after="0"/>
        <w:rPr>
          <w:rFonts w:cs="Times New Roman"/>
          <w:szCs w:val="24"/>
        </w:rPr>
      </w:pPr>
    </w:p>
    <w:p w:rsidR="00290D84" w:rsidRPr="009054F1" w:rsidRDefault="00290D84" w:rsidP="00A275B6">
      <w:pPr>
        <w:spacing w:after="0"/>
        <w:rPr>
          <w:rFonts w:cs="Times New Roman"/>
          <w:szCs w:val="24"/>
        </w:rPr>
      </w:pPr>
      <w:r w:rsidRPr="009054F1">
        <w:rPr>
          <w:rFonts w:cs="Times New Roman"/>
          <w:szCs w:val="24"/>
        </w:rPr>
        <w:t>In addition to attachment 24, is DLA going to add a section to page 61 of the RFP and to the PWS to incorporate the 8 hour bin management criteria added to attachment 12?</w:t>
      </w:r>
    </w:p>
    <w:p w:rsidR="00A275B6" w:rsidRPr="009054F1" w:rsidRDefault="00A275B6" w:rsidP="00A275B6">
      <w:pPr>
        <w:spacing w:after="0"/>
        <w:rPr>
          <w:rFonts w:cs="Times New Roman"/>
          <w:b/>
          <w:szCs w:val="24"/>
        </w:rPr>
      </w:pPr>
      <w:r w:rsidRPr="009054F1">
        <w:rPr>
          <w:rFonts w:cs="Times New Roman"/>
          <w:b/>
          <w:szCs w:val="24"/>
        </w:rPr>
        <w:t xml:space="preserve">The Gov’t will not be changing page 61, but has updated Attachment 12 to show the 8 </w:t>
      </w:r>
      <w:proofErr w:type="spellStart"/>
      <w:r w:rsidRPr="009054F1">
        <w:rPr>
          <w:rFonts w:cs="Times New Roman"/>
          <w:b/>
          <w:szCs w:val="24"/>
        </w:rPr>
        <w:t>hr</w:t>
      </w:r>
      <w:proofErr w:type="spellEnd"/>
      <w:r w:rsidRPr="009054F1">
        <w:rPr>
          <w:rFonts w:cs="Times New Roman"/>
          <w:b/>
          <w:szCs w:val="24"/>
        </w:rPr>
        <w:t xml:space="preserve"> bin management fee at WR-OLC.</w:t>
      </w:r>
    </w:p>
    <w:p w:rsidR="00290D84" w:rsidRPr="00290D84" w:rsidRDefault="00290D84" w:rsidP="00290D84">
      <w:pPr>
        <w:rPr>
          <w:rFonts w:cs="Times New Roman"/>
          <w:color w:val="00B0F0"/>
          <w:szCs w:val="24"/>
        </w:rPr>
      </w:pPr>
    </w:p>
    <w:p w:rsidR="00290D84" w:rsidRPr="001002FE" w:rsidRDefault="00290D84" w:rsidP="00245856">
      <w:pPr>
        <w:spacing w:after="0" w:line="240" w:lineRule="auto"/>
        <w:rPr>
          <w:rFonts w:cs="Times New Roman"/>
          <w:szCs w:val="24"/>
        </w:rPr>
      </w:pPr>
      <w:r w:rsidRPr="001002FE">
        <w:rPr>
          <w:rFonts w:cs="Times New Roman"/>
          <w:szCs w:val="24"/>
        </w:rPr>
        <w:t>The example payment schedule in attachment 13 divides the transition price from attachment 12 in equal increments. Will DLA update attachment 13 post award based upon an approved milestone payment plan that was submitted by the offeror?</w:t>
      </w:r>
    </w:p>
    <w:p w:rsidR="00290D84" w:rsidRPr="001002FE" w:rsidRDefault="00290D84" w:rsidP="00245856">
      <w:pPr>
        <w:spacing w:after="0" w:line="240" w:lineRule="auto"/>
        <w:rPr>
          <w:rFonts w:cs="Times New Roman"/>
          <w:b/>
          <w:szCs w:val="24"/>
        </w:rPr>
      </w:pPr>
      <w:r w:rsidRPr="001002FE">
        <w:rPr>
          <w:rFonts w:cs="Times New Roman"/>
          <w:b/>
          <w:szCs w:val="24"/>
        </w:rPr>
        <w:t>Yes</w:t>
      </w:r>
    </w:p>
    <w:p w:rsidR="00290D84" w:rsidRDefault="00290D84" w:rsidP="00245856">
      <w:pPr>
        <w:spacing w:after="0" w:line="240" w:lineRule="auto"/>
        <w:rPr>
          <w:rFonts w:cs="Times New Roman"/>
          <w:b/>
          <w:color w:val="FF0000"/>
          <w:szCs w:val="24"/>
        </w:rPr>
      </w:pPr>
    </w:p>
    <w:p w:rsidR="00290D84" w:rsidRPr="001002FE" w:rsidRDefault="00290D84" w:rsidP="00245856">
      <w:pPr>
        <w:spacing w:after="0" w:line="240" w:lineRule="auto"/>
        <w:rPr>
          <w:rFonts w:cs="Times New Roman"/>
          <w:szCs w:val="24"/>
        </w:rPr>
      </w:pPr>
      <w:r w:rsidRPr="001002FE">
        <w:rPr>
          <w:rFonts w:cs="Times New Roman"/>
          <w:szCs w:val="24"/>
        </w:rPr>
        <w:t>The schedule of items has 1,869 NSNs identified as market basket and attachment 1 has 1,870.  Is DLA going to update the SOI or attachment 1 to make the market basket and SOI NSNs consistent?</w:t>
      </w:r>
    </w:p>
    <w:p w:rsidR="00290D84" w:rsidRPr="001002FE" w:rsidRDefault="00290D84" w:rsidP="00245856">
      <w:pPr>
        <w:spacing w:after="0" w:line="240" w:lineRule="auto"/>
        <w:rPr>
          <w:rFonts w:cs="Times New Roman"/>
          <w:b/>
          <w:szCs w:val="24"/>
        </w:rPr>
      </w:pPr>
      <w:proofErr w:type="gramStart"/>
      <w:r w:rsidRPr="001002FE">
        <w:rPr>
          <w:rFonts w:cs="Times New Roman"/>
          <w:b/>
          <w:szCs w:val="24"/>
        </w:rPr>
        <w:t>Attac</w:t>
      </w:r>
      <w:r w:rsidR="000A00B3" w:rsidRPr="001002FE">
        <w:rPr>
          <w:rFonts w:cs="Times New Roman"/>
          <w:b/>
          <w:szCs w:val="24"/>
        </w:rPr>
        <w:t>hment 1 with 1870 NSNs are</w:t>
      </w:r>
      <w:proofErr w:type="gramEnd"/>
      <w:r w:rsidR="000A00B3" w:rsidRPr="001002FE">
        <w:rPr>
          <w:rFonts w:cs="Times New Roman"/>
          <w:b/>
          <w:szCs w:val="24"/>
        </w:rPr>
        <w:t xml:space="preserve"> the NSNs that need to be </w:t>
      </w:r>
      <w:r w:rsidR="001B7E54" w:rsidRPr="001002FE">
        <w:rPr>
          <w:rFonts w:cs="Times New Roman"/>
          <w:b/>
          <w:szCs w:val="24"/>
        </w:rPr>
        <w:t>priced with your proposal.</w:t>
      </w:r>
    </w:p>
    <w:p w:rsidR="001B7E54" w:rsidRDefault="001B7E54" w:rsidP="00245856">
      <w:pPr>
        <w:spacing w:after="0" w:line="240" w:lineRule="auto"/>
        <w:rPr>
          <w:rFonts w:cs="Times New Roman"/>
          <w:b/>
          <w:color w:val="FF0000"/>
          <w:szCs w:val="24"/>
        </w:rPr>
      </w:pPr>
    </w:p>
    <w:p w:rsidR="001B7E54" w:rsidRPr="001002FE" w:rsidRDefault="001B7E54" w:rsidP="00245856">
      <w:pPr>
        <w:spacing w:after="0" w:line="240" w:lineRule="auto"/>
        <w:rPr>
          <w:rFonts w:cs="Times New Roman"/>
          <w:szCs w:val="24"/>
        </w:rPr>
      </w:pPr>
      <w:r w:rsidRPr="001002FE">
        <w:rPr>
          <w:rFonts w:cs="Times New Roman"/>
          <w:szCs w:val="24"/>
        </w:rPr>
        <w:t xml:space="preserve">Amendment 03--Replace the following on page 45 of the RFP WITH:  Destination:  Delivery shall be directly to a Customer or to a DLA (DDC) distribution location DoDAAC within the Contiguous United States and the District of Columbia, excluding Alaska and Hawaii.   (Similar language in Item 39)  Based on this change, is the contractor now expected to ship WWD orders to OCONUS locations?  If so, who will be the exporter of record? </w:t>
      </w:r>
    </w:p>
    <w:p w:rsidR="00841023" w:rsidRPr="001002FE" w:rsidRDefault="001002FE" w:rsidP="00245856">
      <w:pPr>
        <w:spacing w:after="0" w:line="240" w:lineRule="auto"/>
        <w:rPr>
          <w:rFonts w:cs="Times New Roman"/>
          <w:b/>
          <w:szCs w:val="24"/>
        </w:rPr>
      </w:pPr>
      <w:r w:rsidRPr="001002FE">
        <w:rPr>
          <w:rFonts w:cs="Times New Roman"/>
          <w:b/>
          <w:szCs w:val="24"/>
        </w:rPr>
        <w:lastRenderedPageBreak/>
        <w:t xml:space="preserve">The </w:t>
      </w:r>
      <w:r>
        <w:rPr>
          <w:rFonts w:cs="Times New Roman"/>
          <w:b/>
          <w:szCs w:val="24"/>
        </w:rPr>
        <w:t xml:space="preserve">change </w:t>
      </w:r>
      <w:r w:rsidRPr="001002FE">
        <w:rPr>
          <w:rFonts w:cs="Times New Roman"/>
          <w:b/>
          <w:szCs w:val="24"/>
        </w:rPr>
        <w:t xml:space="preserve">still states that it will be shipped to a </w:t>
      </w:r>
      <w:r w:rsidRPr="001002FE">
        <w:rPr>
          <w:rFonts w:cs="Times New Roman"/>
          <w:b/>
          <w:szCs w:val="24"/>
        </w:rPr>
        <w:t>Customer or to a DLA (DDC) distribution location DoDAAC within the Contiguous United States and the District of Columbia, excluding Alaska and Hawaii</w:t>
      </w:r>
      <w:r w:rsidRPr="001002FE">
        <w:rPr>
          <w:rFonts w:cs="Times New Roman"/>
          <w:b/>
          <w:szCs w:val="24"/>
        </w:rPr>
        <w:t xml:space="preserve">, so there are no orders for OCONUS locations. </w:t>
      </w:r>
    </w:p>
    <w:p w:rsidR="001B7E54" w:rsidRPr="001B7E54" w:rsidRDefault="001B7E54" w:rsidP="00245856">
      <w:pPr>
        <w:spacing w:after="0" w:line="240" w:lineRule="auto"/>
        <w:rPr>
          <w:rFonts w:cs="Times New Roman"/>
          <w:color w:val="00B0F0"/>
          <w:szCs w:val="24"/>
        </w:rPr>
      </w:pPr>
      <w:r>
        <w:rPr>
          <w:rFonts w:cs="Times New Roman"/>
          <w:szCs w:val="24"/>
        </w:rPr>
        <w:t xml:space="preserve"> </w:t>
      </w:r>
    </w:p>
    <w:p w:rsidR="001B7E54" w:rsidRPr="001002FE" w:rsidRDefault="001B7E54" w:rsidP="00245856">
      <w:pPr>
        <w:spacing w:after="0" w:line="240" w:lineRule="auto"/>
        <w:rPr>
          <w:rFonts w:cs="Times New Roman"/>
          <w:szCs w:val="24"/>
        </w:rPr>
      </w:pPr>
      <w:r w:rsidRPr="001002FE">
        <w:t>Amendment 03--</w:t>
      </w:r>
      <w:r w:rsidRPr="001002FE">
        <w:rPr>
          <w:rFonts w:cs="Times New Roman"/>
          <w:szCs w:val="24"/>
        </w:rPr>
        <w:t>“Any offers of surplus, material produced as an “acceptable alternative,” from a source that is not designated as approved by the Government, or an offer that is not in line in any way with technical requirements of the item must be sent to the Contracting Officer or Contracting Officer designee for review and approval before placement of spot buy.  Does “surplus” refer to government surplus material?  Does processing and approval time by DLA count as “Government delay” in providing relief from metrics and disincentives?</w:t>
      </w:r>
    </w:p>
    <w:p w:rsidR="001B7E54" w:rsidRPr="001002FE" w:rsidRDefault="001B7E54" w:rsidP="00245856">
      <w:pPr>
        <w:spacing w:after="0" w:line="240" w:lineRule="auto"/>
        <w:rPr>
          <w:b/>
        </w:rPr>
      </w:pPr>
      <w:r w:rsidRPr="001002FE">
        <w:rPr>
          <w:rFonts w:cs="Times New Roman"/>
          <w:b/>
          <w:szCs w:val="24"/>
        </w:rPr>
        <w:t>“Surplus” refers government or manufacture over run</w:t>
      </w:r>
      <w:r w:rsidR="001002FE">
        <w:rPr>
          <w:rFonts w:cs="Times New Roman"/>
          <w:b/>
          <w:szCs w:val="24"/>
        </w:rPr>
        <w:t xml:space="preserve"> from an approved manufacturer.  Request for metric relief would be reviewed on a case by case basis; however, generally the processing and approval time by DLA will not be counted as a Gov’t delay.  </w:t>
      </w:r>
    </w:p>
    <w:p w:rsidR="001B7E54" w:rsidRPr="001B7E54" w:rsidRDefault="001B7E54">
      <w:pPr>
        <w:spacing w:after="0" w:line="240" w:lineRule="auto"/>
        <w:rPr>
          <w:b/>
          <w:color w:val="00B0F0"/>
        </w:rPr>
      </w:pPr>
    </w:p>
    <w:sectPr w:rsidR="001B7E54" w:rsidRPr="001B7E54" w:rsidSect="00ED705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46249"/>
    <w:multiLevelType w:val="hybridMultilevel"/>
    <w:tmpl w:val="51C217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23"/>
    <w:rsid w:val="00002C23"/>
    <w:rsid w:val="00026931"/>
    <w:rsid w:val="0006473E"/>
    <w:rsid w:val="00066FA4"/>
    <w:rsid w:val="000730D6"/>
    <w:rsid w:val="00092CBA"/>
    <w:rsid w:val="000A00B3"/>
    <w:rsid w:val="000D262F"/>
    <w:rsid w:val="000E5B24"/>
    <w:rsid w:val="001002FE"/>
    <w:rsid w:val="0013152C"/>
    <w:rsid w:val="001467CE"/>
    <w:rsid w:val="00180A80"/>
    <w:rsid w:val="0019023B"/>
    <w:rsid w:val="001B7E54"/>
    <w:rsid w:val="00227DBE"/>
    <w:rsid w:val="00236BFA"/>
    <w:rsid w:val="002429B7"/>
    <w:rsid w:val="00245856"/>
    <w:rsid w:val="00255A3D"/>
    <w:rsid w:val="00290D84"/>
    <w:rsid w:val="002C311F"/>
    <w:rsid w:val="002D7BBB"/>
    <w:rsid w:val="00321647"/>
    <w:rsid w:val="003326E8"/>
    <w:rsid w:val="003940C2"/>
    <w:rsid w:val="003B387A"/>
    <w:rsid w:val="003C58A4"/>
    <w:rsid w:val="00413DD6"/>
    <w:rsid w:val="00424944"/>
    <w:rsid w:val="00473988"/>
    <w:rsid w:val="00501E5D"/>
    <w:rsid w:val="00525065"/>
    <w:rsid w:val="00536B80"/>
    <w:rsid w:val="00573CFB"/>
    <w:rsid w:val="005B206E"/>
    <w:rsid w:val="005C6FA9"/>
    <w:rsid w:val="005D5E3F"/>
    <w:rsid w:val="005E1EE4"/>
    <w:rsid w:val="005E6193"/>
    <w:rsid w:val="0061635E"/>
    <w:rsid w:val="00653E9F"/>
    <w:rsid w:val="0068176E"/>
    <w:rsid w:val="00693882"/>
    <w:rsid w:val="00760305"/>
    <w:rsid w:val="007879F5"/>
    <w:rsid w:val="0079547D"/>
    <w:rsid w:val="007B75F8"/>
    <w:rsid w:val="007C767B"/>
    <w:rsid w:val="007E40BB"/>
    <w:rsid w:val="0082137B"/>
    <w:rsid w:val="00841023"/>
    <w:rsid w:val="00846920"/>
    <w:rsid w:val="008875F9"/>
    <w:rsid w:val="009054F1"/>
    <w:rsid w:val="00916536"/>
    <w:rsid w:val="0098282E"/>
    <w:rsid w:val="00986124"/>
    <w:rsid w:val="009A665D"/>
    <w:rsid w:val="009B2984"/>
    <w:rsid w:val="009C5EB0"/>
    <w:rsid w:val="00A275B6"/>
    <w:rsid w:val="00A430A6"/>
    <w:rsid w:val="00A6382D"/>
    <w:rsid w:val="00A669F1"/>
    <w:rsid w:val="00AF02B7"/>
    <w:rsid w:val="00B04E00"/>
    <w:rsid w:val="00B1355C"/>
    <w:rsid w:val="00B14720"/>
    <w:rsid w:val="00B476C6"/>
    <w:rsid w:val="00B63DB2"/>
    <w:rsid w:val="00B8087F"/>
    <w:rsid w:val="00BA6B1C"/>
    <w:rsid w:val="00C20590"/>
    <w:rsid w:val="00C40F35"/>
    <w:rsid w:val="00C436D1"/>
    <w:rsid w:val="00C73EC2"/>
    <w:rsid w:val="00C94FEA"/>
    <w:rsid w:val="00D56E4F"/>
    <w:rsid w:val="00D7756B"/>
    <w:rsid w:val="00DB4CA3"/>
    <w:rsid w:val="00E32821"/>
    <w:rsid w:val="00E41295"/>
    <w:rsid w:val="00E72CE1"/>
    <w:rsid w:val="00ED705E"/>
    <w:rsid w:val="00EE119C"/>
    <w:rsid w:val="00EE59A3"/>
    <w:rsid w:val="00F069D8"/>
    <w:rsid w:val="00F611BE"/>
    <w:rsid w:val="00FE6972"/>
    <w:rsid w:val="00FE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2C23"/>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002C23"/>
    <w:rPr>
      <w:rFonts w:ascii="Calibri" w:hAnsi="Calibri"/>
      <w:sz w:val="22"/>
      <w:szCs w:val="21"/>
    </w:rPr>
  </w:style>
  <w:style w:type="paragraph" w:styleId="BodyText">
    <w:name w:val="Body Text"/>
    <w:basedOn w:val="Normal"/>
    <w:link w:val="BodyTextChar"/>
    <w:uiPriority w:val="99"/>
    <w:unhideWhenUsed/>
    <w:rsid w:val="00C73EC2"/>
    <w:pPr>
      <w:autoSpaceDE w:val="0"/>
      <w:autoSpaceDN w:val="0"/>
      <w:adjustRightInd w:val="0"/>
      <w:spacing w:after="0" w:line="240" w:lineRule="auto"/>
    </w:pPr>
    <w:rPr>
      <w:rFonts w:cs="Times New Roman"/>
      <w:szCs w:val="24"/>
    </w:rPr>
  </w:style>
  <w:style w:type="character" w:customStyle="1" w:styleId="BodyTextChar">
    <w:name w:val="Body Text Char"/>
    <w:basedOn w:val="DefaultParagraphFont"/>
    <w:link w:val="BodyText"/>
    <w:uiPriority w:val="99"/>
    <w:rsid w:val="00C73EC2"/>
    <w:rPr>
      <w:rFonts w:cs="Times New Roman"/>
      <w:szCs w:val="24"/>
    </w:rPr>
  </w:style>
  <w:style w:type="paragraph" w:styleId="ListParagraph">
    <w:name w:val="List Paragraph"/>
    <w:basedOn w:val="Normal"/>
    <w:uiPriority w:val="34"/>
    <w:qFormat/>
    <w:rsid w:val="002C311F"/>
    <w:pPr>
      <w:spacing w:after="160" w:line="256" w:lineRule="auto"/>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3B387A"/>
    <w:rPr>
      <w:sz w:val="16"/>
      <w:szCs w:val="16"/>
    </w:rPr>
  </w:style>
  <w:style w:type="paragraph" w:styleId="CommentText">
    <w:name w:val="annotation text"/>
    <w:basedOn w:val="Normal"/>
    <w:link w:val="CommentTextChar"/>
    <w:uiPriority w:val="99"/>
    <w:semiHidden/>
    <w:unhideWhenUsed/>
    <w:rsid w:val="003B387A"/>
    <w:pPr>
      <w:spacing w:line="240" w:lineRule="auto"/>
    </w:pPr>
    <w:rPr>
      <w:sz w:val="20"/>
      <w:szCs w:val="20"/>
    </w:rPr>
  </w:style>
  <w:style w:type="character" w:customStyle="1" w:styleId="CommentTextChar">
    <w:name w:val="Comment Text Char"/>
    <w:basedOn w:val="DefaultParagraphFont"/>
    <w:link w:val="CommentText"/>
    <w:uiPriority w:val="99"/>
    <w:semiHidden/>
    <w:rsid w:val="003B387A"/>
    <w:rPr>
      <w:sz w:val="20"/>
      <w:szCs w:val="20"/>
    </w:rPr>
  </w:style>
  <w:style w:type="paragraph" w:styleId="CommentSubject">
    <w:name w:val="annotation subject"/>
    <w:basedOn w:val="CommentText"/>
    <w:next w:val="CommentText"/>
    <w:link w:val="CommentSubjectChar"/>
    <w:uiPriority w:val="99"/>
    <w:semiHidden/>
    <w:unhideWhenUsed/>
    <w:rsid w:val="003B387A"/>
    <w:rPr>
      <w:b/>
      <w:bCs/>
    </w:rPr>
  </w:style>
  <w:style w:type="character" w:customStyle="1" w:styleId="CommentSubjectChar">
    <w:name w:val="Comment Subject Char"/>
    <w:basedOn w:val="CommentTextChar"/>
    <w:link w:val="CommentSubject"/>
    <w:uiPriority w:val="99"/>
    <w:semiHidden/>
    <w:rsid w:val="003B387A"/>
    <w:rPr>
      <w:b/>
      <w:bCs/>
      <w:sz w:val="20"/>
      <w:szCs w:val="20"/>
    </w:rPr>
  </w:style>
  <w:style w:type="paragraph" w:styleId="BalloonText">
    <w:name w:val="Balloon Text"/>
    <w:basedOn w:val="Normal"/>
    <w:link w:val="BalloonTextChar"/>
    <w:uiPriority w:val="99"/>
    <w:semiHidden/>
    <w:unhideWhenUsed/>
    <w:rsid w:val="003B3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87A"/>
    <w:rPr>
      <w:rFonts w:ascii="Tahoma" w:hAnsi="Tahoma" w:cs="Tahoma"/>
      <w:sz w:val="16"/>
      <w:szCs w:val="16"/>
    </w:rPr>
  </w:style>
  <w:style w:type="table" w:styleId="TableGrid">
    <w:name w:val="Table Grid"/>
    <w:basedOn w:val="TableNormal"/>
    <w:uiPriority w:val="39"/>
    <w:rsid w:val="00290D8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2C23"/>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002C23"/>
    <w:rPr>
      <w:rFonts w:ascii="Calibri" w:hAnsi="Calibri"/>
      <w:sz w:val="22"/>
      <w:szCs w:val="21"/>
    </w:rPr>
  </w:style>
  <w:style w:type="paragraph" w:styleId="BodyText">
    <w:name w:val="Body Text"/>
    <w:basedOn w:val="Normal"/>
    <w:link w:val="BodyTextChar"/>
    <w:uiPriority w:val="99"/>
    <w:unhideWhenUsed/>
    <w:rsid w:val="00C73EC2"/>
    <w:pPr>
      <w:autoSpaceDE w:val="0"/>
      <w:autoSpaceDN w:val="0"/>
      <w:adjustRightInd w:val="0"/>
      <w:spacing w:after="0" w:line="240" w:lineRule="auto"/>
    </w:pPr>
    <w:rPr>
      <w:rFonts w:cs="Times New Roman"/>
      <w:szCs w:val="24"/>
    </w:rPr>
  </w:style>
  <w:style w:type="character" w:customStyle="1" w:styleId="BodyTextChar">
    <w:name w:val="Body Text Char"/>
    <w:basedOn w:val="DefaultParagraphFont"/>
    <w:link w:val="BodyText"/>
    <w:uiPriority w:val="99"/>
    <w:rsid w:val="00C73EC2"/>
    <w:rPr>
      <w:rFonts w:cs="Times New Roman"/>
      <w:szCs w:val="24"/>
    </w:rPr>
  </w:style>
  <w:style w:type="paragraph" w:styleId="ListParagraph">
    <w:name w:val="List Paragraph"/>
    <w:basedOn w:val="Normal"/>
    <w:uiPriority w:val="34"/>
    <w:qFormat/>
    <w:rsid w:val="002C311F"/>
    <w:pPr>
      <w:spacing w:after="160" w:line="256" w:lineRule="auto"/>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3B387A"/>
    <w:rPr>
      <w:sz w:val="16"/>
      <w:szCs w:val="16"/>
    </w:rPr>
  </w:style>
  <w:style w:type="paragraph" w:styleId="CommentText">
    <w:name w:val="annotation text"/>
    <w:basedOn w:val="Normal"/>
    <w:link w:val="CommentTextChar"/>
    <w:uiPriority w:val="99"/>
    <w:semiHidden/>
    <w:unhideWhenUsed/>
    <w:rsid w:val="003B387A"/>
    <w:pPr>
      <w:spacing w:line="240" w:lineRule="auto"/>
    </w:pPr>
    <w:rPr>
      <w:sz w:val="20"/>
      <w:szCs w:val="20"/>
    </w:rPr>
  </w:style>
  <w:style w:type="character" w:customStyle="1" w:styleId="CommentTextChar">
    <w:name w:val="Comment Text Char"/>
    <w:basedOn w:val="DefaultParagraphFont"/>
    <w:link w:val="CommentText"/>
    <w:uiPriority w:val="99"/>
    <w:semiHidden/>
    <w:rsid w:val="003B387A"/>
    <w:rPr>
      <w:sz w:val="20"/>
      <w:szCs w:val="20"/>
    </w:rPr>
  </w:style>
  <w:style w:type="paragraph" w:styleId="CommentSubject">
    <w:name w:val="annotation subject"/>
    <w:basedOn w:val="CommentText"/>
    <w:next w:val="CommentText"/>
    <w:link w:val="CommentSubjectChar"/>
    <w:uiPriority w:val="99"/>
    <w:semiHidden/>
    <w:unhideWhenUsed/>
    <w:rsid w:val="003B387A"/>
    <w:rPr>
      <w:b/>
      <w:bCs/>
    </w:rPr>
  </w:style>
  <w:style w:type="character" w:customStyle="1" w:styleId="CommentSubjectChar">
    <w:name w:val="Comment Subject Char"/>
    <w:basedOn w:val="CommentTextChar"/>
    <w:link w:val="CommentSubject"/>
    <w:uiPriority w:val="99"/>
    <w:semiHidden/>
    <w:rsid w:val="003B387A"/>
    <w:rPr>
      <w:b/>
      <w:bCs/>
      <w:sz w:val="20"/>
      <w:szCs w:val="20"/>
    </w:rPr>
  </w:style>
  <w:style w:type="paragraph" w:styleId="BalloonText">
    <w:name w:val="Balloon Text"/>
    <w:basedOn w:val="Normal"/>
    <w:link w:val="BalloonTextChar"/>
    <w:uiPriority w:val="99"/>
    <w:semiHidden/>
    <w:unhideWhenUsed/>
    <w:rsid w:val="003B3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87A"/>
    <w:rPr>
      <w:rFonts w:ascii="Tahoma" w:hAnsi="Tahoma" w:cs="Tahoma"/>
      <w:sz w:val="16"/>
      <w:szCs w:val="16"/>
    </w:rPr>
  </w:style>
  <w:style w:type="table" w:styleId="TableGrid">
    <w:name w:val="Table Grid"/>
    <w:basedOn w:val="TableNormal"/>
    <w:uiPriority w:val="39"/>
    <w:rsid w:val="00290D8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3847">
      <w:bodyDiv w:val="1"/>
      <w:marLeft w:val="0"/>
      <w:marRight w:val="0"/>
      <w:marTop w:val="0"/>
      <w:marBottom w:val="0"/>
      <w:divBdr>
        <w:top w:val="none" w:sz="0" w:space="0" w:color="auto"/>
        <w:left w:val="none" w:sz="0" w:space="0" w:color="auto"/>
        <w:bottom w:val="none" w:sz="0" w:space="0" w:color="auto"/>
        <w:right w:val="none" w:sz="0" w:space="0" w:color="auto"/>
      </w:divBdr>
    </w:div>
    <w:div w:id="571937075">
      <w:bodyDiv w:val="1"/>
      <w:marLeft w:val="0"/>
      <w:marRight w:val="0"/>
      <w:marTop w:val="0"/>
      <w:marBottom w:val="0"/>
      <w:divBdr>
        <w:top w:val="none" w:sz="0" w:space="0" w:color="auto"/>
        <w:left w:val="none" w:sz="0" w:space="0" w:color="auto"/>
        <w:bottom w:val="none" w:sz="0" w:space="0" w:color="auto"/>
        <w:right w:val="none" w:sz="0" w:space="0" w:color="auto"/>
      </w:divBdr>
    </w:div>
    <w:div w:id="587622651">
      <w:bodyDiv w:val="1"/>
      <w:marLeft w:val="0"/>
      <w:marRight w:val="0"/>
      <w:marTop w:val="0"/>
      <w:marBottom w:val="0"/>
      <w:divBdr>
        <w:top w:val="none" w:sz="0" w:space="0" w:color="auto"/>
        <w:left w:val="none" w:sz="0" w:space="0" w:color="auto"/>
        <w:bottom w:val="none" w:sz="0" w:space="0" w:color="auto"/>
        <w:right w:val="none" w:sz="0" w:space="0" w:color="auto"/>
      </w:divBdr>
    </w:div>
    <w:div w:id="938486935">
      <w:bodyDiv w:val="1"/>
      <w:marLeft w:val="0"/>
      <w:marRight w:val="0"/>
      <w:marTop w:val="0"/>
      <w:marBottom w:val="0"/>
      <w:divBdr>
        <w:top w:val="none" w:sz="0" w:space="0" w:color="auto"/>
        <w:left w:val="none" w:sz="0" w:space="0" w:color="auto"/>
        <w:bottom w:val="none" w:sz="0" w:space="0" w:color="auto"/>
        <w:right w:val="none" w:sz="0" w:space="0" w:color="auto"/>
      </w:divBdr>
    </w:div>
    <w:div w:id="947005747">
      <w:bodyDiv w:val="1"/>
      <w:marLeft w:val="0"/>
      <w:marRight w:val="0"/>
      <w:marTop w:val="0"/>
      <w:marBottom w:val="0"/>
      <w:divBdr>
        <w:top w:val="none" w:sz="0" w:space="0" w:color="auto"/>
        <w:left w:val="none" w:sz="0" w:space="0" w:color="auto"/>
        <w:bottom w:val="none" w:sz="0" w:space="0" w:color="auto"/>
        <w:right w:val="none" w:sz="0" w:space="0" w:color="auto"/>
      </w:divBdr>
    </w:div>
    <w:div w:id="1717654316">
      <w:bodyDiv w:val="1"/>
      <w:marLeft w:val="0"/>
      <w:marRight w:val="0"/>
      <w:marTop w:val="0"/>
      <w:marBottom w:val="0"/>
      <w:divBdr>
        <w:top w:val="none" w:sz="0" w:space="0" w:color="auto"/>
        <w:left w:val="none" w:sz="0" w:space="0" w:color="auto"/>
        <w:bottom w:val="none" w:sz="0" w:space="0" w:color="auto"/>
        <w:right w:val="none" w:sz="0" w:space="0" w:color="auto"/>
      </w:divBdr>
    </w:div>
    <w:div w:id="184805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7EA8D-C09A-4A96-B825-72B8870E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4256</Words>
  <Characters>24263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28463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dc:creator>
  <cp:lastModifiedBy>DLA</cp:lastModifiedBy>
  <cp:revision>28</cp:revision>
  <dcterms:created xsi:type="dcterms:W3CDTF">2016-04-08T16:55:00Z</dcterms:created>
  <dcterms:modified xsi:type="dcterms:W3CDTF">2016-04-08T19:01:00Z</dcterms:modified>
</cp:coreProperties>
</file>