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3538" w14:textId="77777777" w:rsidR="00FA3079" w:rsidRPr="00FA3079" w:rsidRDefault="00FA3079" w:rsidP="00FA3079">
      <w:pPr>
        <w:jc w:val="center"/>
      </w:pPr>
      <w:r w:rsidRPr="00FA3079">
        <w:rPr>
          <w:color w:val="000000"/>
          <w:sz w:val="27"/>
          <w:szCs w:val="27"/>
        </w:rPr>
        <w:t>DAAN-13-01</w:t>
      </w:r>
    </w:p>
    <w:p w14:paraId="3880979C" w14:textId="32354F13" w:rsidR="00FA3079" w:rsidRPr="00FA3079" w:rsidRDefault="00FA3079" w:rsidP="00FA3079">
      <w:pPr>
        <w:spacing w:before="100" w:beforeAutospacing="1" w:after="100" w:afterAutospacing="1"/>
        <w:jc w:val="center"/>
        <w:rPr>
          <w:color w:val="000000"/>
          <w:sz w:val="27"/>
          <w:szCs w:val="27"/>
        </w:rPr>
      </w:pPr>
      <w:r w:rsidRPr="00FA3079">
        <w:rPr>
          <w:color w:val="000000"/>
          <w:sz w:val="27"/>
          <w:szCs w:val="27"/>
        </w:rPr>
        <w:t>Evaluation and Award for Simplified Acquisitions (</w:t>
      </w:r>
      <w:r w:rsidR="008F48A1">
        <w:rPr>
          <w:color w:val="000000"/>
          <w:sz w:val="27"/>
          <w:szCs w:val="27"/>
        </w:rPr>
        <w:t xml:space="preserve">August </w:t>
      </w:r>
      <w:r w:rsidR="007B38B0">
        <w:rPr>
          <w:color w:val="000000"/>
          <w:sz w:val="27"/>
          <w:szCs w:val="27"/>
        </w:rPr>
        <w:t>2024</w:t>
      </w:r>
      <w:r w:rsidRPr="00FA3079">
        <w:rPr>
          <w:color w:val="000000"/>
          <w:sz w:val="27"/>
          <w:szCs w:val="27"/>
        </w:rPr>
        <w:t>)</w:t>
      </w:r>
    </w:p>
    <w:p w14:paraId="38451596"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(a) AWARD. The Government intends to evaluate quotations. The award will be made to the quoter whose quote conforms to the terms and conditions of the solicitation and represents the best value to the Government. Therefore, award may be made to other than the lowest priced or the highest technically rated quote.</w:t>
      </w:r>
    </w:p>
    <w:p w14:paraId="4D59F422"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(b) RELATIVE IMPORTANCE AND TRADE-OFFS. The Government will base the determination of best value on a comparative assessment of the quoters' prices, past performance, and the other evaluation factors identified elsewhere in this solicitation. The determination of best value also considers the relative importance of the evaluation factors. All evaluation factors, when combined, are:</w:t>
      </w:r>
    </w:p>
    <w:p w14:paraId="0EF791A0"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significantly more important than cost or price. As other evaluation factors become more equal, the evaluated cost or price becomes more important.</w:t>
      </w:r>
    </w:p>
    <w:p w14:paraId="4A9A4F5C"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approximately equal to cost or price; or</w:t>
      </w:r>
    </w:p>
    <w:p w14:paraId="1CE36B05"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significantly less important than cost or price. As the evaluated cost/price becomes more equal, relative importance of all other evaluation factors becomes more significant.</w:t>
      </w:r>
    </w:p>
    <w:p w14:paraId="5B8D5630"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The final award decision may involve a trade-off among cost or price and the non-price factors. Factors that may be considered in the trade-off process include, but are not limited to:</w:t>
      </w:r>
    </w:p>
    <w:p w14:paraId="58305231"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Item criticality and weapons system application</w:t>
      </w:r>
    </w:p>
    <w:p w14:paraId="50CE0B13"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Current inventory status</w:t>
      </w:r>
    </w:p>
    <w:p w14:paraId="0B8BB99D"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Historical delivery or quality problems</w:t>
      </w:r>
    </w:p>
    <w:p w14:paraId="0A5C6A1F"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Concerns over limited supply sources and industrial base</w:t>
      </w:r>
    </w:p>
    <w:p w14:paraId="165FCF93"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Benefits from obtaining new sources</w:t>
      </w:r>
    </w:p>
    <w:p w14:paraId="74AB0999"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xml:space="preserve">(c) COST OR PRICE. The Government will evaluate the quoted cost or price. The Government will add any other cost or price evaluation factors identified elsewhere in this solicitation (e.g., Buy American Act or FOB Origin transportation costs) to arrive at the quoter's evaluated cost or price. The evaluated cost or price will be used in </w:t>
      </w:r>
      <w:r w:rsidRPr="00FA3079">
        <w:rPr>
          <w:color w:val="000000"/>
          <w:sz w:val="27"/>
          <w:szCs w:val="27"/>
        </w:rPr>
        <w:lastRenderedPageBreak/>
        <w:t>conjunction with the other non-price factors to determine the best value to the Government.</w:t>
      </w:r>
    </w:p>
    <w:p w14:paraId="609C328F"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(d) PAST PERFORMANCE. Past performance includes, but is not limited to, the quoter's record of conforming to contract requirements and standards of good workmanship; adherence to contract schedules, including the administrative aspects of performance; the quoter's reputation for reasonable and cooperative behavior and commitment to customer satisfaction; and generally, the quoter's business-like concern for the customer's interest.</w:t>
      </w:r>
    </w:p>
    <w:p w14:paraId="634C7B14"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(1) The Supplier Performance Risk System (SPRS) is the current term for past performance that is formerly known as Past Performance Information Retrieval System –</w:t>
      </w:r>
    </w:p>
    <w:p w14:paraId="081A9406" w14:textId="2A67A403" w:rsidR="00FA3079" w:rsidRPr="00FA3079" w:rsidRDefault="00FA3079" w:rsidP="00FA3079">
      <w:pPr>
        <w:spacing w:before="100" w:beforeAutospacing="1" w:after="100" w:afterAutospacing="1"/>
        <w:rPr>
          <w:color w:val="000000"/>
          <w:sz w:val="27"/>
          <w:szCs w:val="27"/>
        </w:rPr>
      </w:pPr>
      <w:r w:rsidRPr="00FA3079">
        <w:rPr>
          <w:color w:val="000000"/>
          <w:sz w:val="27"/>
          <w:szCs w:val="27"/>
        </w:rPr>
        <w:t>Statistical Reporting (SPRS), as applicable, will be used to evaluate quality and past performance on DLA awards (refer to Procurement Note L08).</w:t>
      </w:r>
    </w:p>
    <w:p w14:paraId="7EAD50EA"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subfactors, SPRS assessments (as applicable) will be weighed most heavily. Historical quality history and delivery schedule compliance (not captured in SPRS) will be weighed more heavily than the remaining past performance subfactors. All other non-price evaluation factors specified in this solicitation weigh equally, unless otherwise indicated.</w:t>
      </w:r>
    </w:p>
    <w:p w14:paraId="5A061DB0"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SPRS Assessments ( PROC NOTE L08)</w:t>
      </w:r>
    </w:p>
    <w:p w14:paraId="37ADCC5E"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Historical Quality (not captured in SPRS)</w:t>
      </w:r>
    </w:p>
    <w:p w14:paraId="21860D6A"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Historical Delivery Schedule Compliance (not captured in SPRS)</w:t>
      </w:r>
    </w:p>
    <w:p w14:paraId="2EBD5820"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 ] Other (specify):</w:t>
      </w:r>
    </w:p>
    <w:p w14:paraId="30EA9B71" w14:textId="77777777" w:rsidR="00FA3079" w:rsidRPr="00FA3079" w:rsidRDefault="00FA3079" w:rsidP="00FA3079">
      <w:pPr>
        <w:spacing w:before="100" w:beforeAutospacing="1" w:after="100" w:afterAutospacing="1"/>
        <w:rPr>
          <w:color w:val="000000"/>
          <w:sz w:val="27"/>
          <w:szCs w:val="27"/>
        </w:rPr>
      </w:pPr>
      <w:r w:rsidRPr="00FA3079">
        <w:rPr>
          <w:color w:val="000000"/>
          <w:sz w:val="27"/>
          <w:szCs w:val="27"/>
        </w:rPr>
        <w:t>(End of Notice)</w:t>
      </w:r>
    </w:p>
    <w:p w14:paraId="335A1365" w14:textId="77777777" w:rsidR="00FA3079" w:rsidRPr="00FA3079" w:rsidRDefault="00FA3079" w:rsidP="00FA3079"/>
    <w:p w14:paraId="3673800C" w14:textId="77777777" w:rsidR="005E2750" w:rsidRPr="00FA3079" w:rsidRDefault="005E2750" w:rsidP="00FA3079"/>
    <w:sectPr w:rsidR="005E2750" w:rsidRPr="00FA3079" w:rsidSect="00FA3079">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888228"/>
      <w:docPartObj>
        <w:docPartGallery w:val="Page Numbers (Bottom of Page)"/>
        <w:docPartUnique/>
      </w:docPartObj>
    </w:sdtPr>
    <w:sdtEndPr>
      <w:rPr>
        <w:noProof/>
      </w:rPr>
    </w:sdtEndPr>
    <w:sdtContent>
      <w:p w14:paraId="21A6DF43" w14:textId="77777777" w:rsidR="007B38B0" w:rsidRDefault="007B38B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9CFD174" w14:textId="77777777" w:rsidR="007B38B0" w:rsidRDefault="007B38B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9C"/>
    <w:rsid w:val="005E2750"/>
    <w:rsid w:val="007B38B0"/>
    <w:rsid w:val="008F48A1"/>
    <w:rsid w:val="00936C9A"/>
    <w:rsid w:val="00AC5BEC"/>
    <w:rsid w:val="00FA139C"/>
    <w:rsid w:val="00FA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C491"/>
  <w15:chartTrackingRefBased/>
  <w15:docId w15:val="{50873259-76A3-44B4-B9E9-FA1D7F354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39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A139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A13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A13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A13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FA13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FA13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FA13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FA13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FA139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39C"/>
    <w:rPr>
      <w:rFonts w:eastAsiaTheme="majorEastAsia" w:cstheme="majorBidi"/>
      <w:color w:val="272727" w:themeColor="text1" w:themeTint="D8"/>
    </w:rPr>
  </w:style>
  <w:style w:type="paragraph" w:styleId="Title">
    <w:name w:val="Title"/>
    <w:basedOn w:val="Normal"/>
    <w:next w:val="Normal"/>
    <w:link w:val="TitleChar"/>
    <w:uiPriority w:val="10"/>
    <w:qFormat/>
    <w:rsid w:val="00FA139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A1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3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A1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39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FA139C"/>
    <w:rPr>
      <w:i/>
      <w:iCs/>
      <w:color w:val="404040" w:themeColor="text1" w:themeTint="BF"/>
    </w:rPr>
  </w:style>
  <w:style w:type="paragraph" w:styleId="ListParagraph">
    <w:name w:val="List Paragraph"/>
    <w:basedOn w:val="Normal"/>
    <w:uiPriority w:val="34"/>
    <w:qFormat/>
    <w:rsid w:val="00FA139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FA139C"/>
    <w:rPr>
      <w:i/>
      <w:iCs/>
      <w:color w:val="0F4761" w:themeColor="accent1" w:themeShade="BF"/>
    </w:rPr>
  </w:style>
  <w:style w:type="paragraph" w:styleId="IntenseQuote">
    <w:name w:val="Intense Quote"/>
    <w:basedOn w:val="Normal"/>
    <w:next w:val="Normal"/>
    <w:link w:val="IntenseQuoteChar"/>
    <w:uiPriority w:val="30"/>
    <w:qFormat/>
    <w:rsid w:val="00FA13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FA139C"/>
    <w:rPr>
      <w:i/>
      <w:iCs/>
      <w:color w:val="0F4761" w:themeColor="accent1" w:themeShade="BF"/>
    </w:rPr>
  </w:style>
  <w:style w:type="character" w:styleId="IntenseReference">
    <w:name w:val="Intense Reference"/>
    <w:basedOn w:val="DefaultParagraphFont"/>
    <w:uiPriority w:val="32"/>
    <w:qFormat/>
    <w:rsid w:val="00FA139C"/>
    <w:rPr>
      <w:b/>
      <w:bCs/>
      <w:smallCaps/>
      <w:color w:val="0F4761" w:themeColor="accent1" w:themeShade="BF"/>
      <w:spacing w:val="5"/>
    </w:rPr>
  </w:style>
  <w:style w:type="paragraph" w:styleId="Footer">
    <w:name w:val="footer"/>
    <w:basedOn w:val="Normal"/>
    <w:link w:val="FooterChar"/>
    <w:uiPriority w:val="99"/>
    <w:unhideWhenUsed/>
    <w:rsid w:val="00FA3079"/>
    <w:pPr>
      <w:tabs>
        <w:tab w:val="center" w:pos="4680"/>
        <w:tab w:val="right" w:pos="9360"/>
      </w:tabs>
    </w:pPr>
  </w:style>
  <w:style w:type="character" w:customStyle="1" w:styleId="FooterChar">
    <w:name w:val="Footer Char"/>
    <w:basedOn w:val="DefaultParagraphFont"/>
    <w:link w:val="Footer"/>
    <w:uiPriority w:val="99"/>
    <w:rsid w:val="00FA307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34412">
      <w:bodyDiv w:val="1"/>
      <w:marLeft w:val="0"/>
      <w:marRight w:val="0"/>
      <w:marTop w:val="0"/>
      <w:marBottom w:val="0"/>
      <w:divBdr>
        <w:top w:val="none" w:sz="0" w:space="0" w:color="auto"/>
        <w:left w:val="none" w:sz="0" w:space="0" w:color="auto"/>
        <w:bottom w:val="none" w:sz="0" w:space="0" w:color="auto"/>
        <w:right w:val="none" w:sz="0" w:space="0" w:color="auto"/>
      </w:divBdr>
      <w:divsChild>
        <w:div w:id="1500004211">
          <w:marLeft w:val="0"/>
          <w:marRight w:val="0"/>
          <w:marTop w:val="240"/>
          <w:marBottom w:val="240"/>
          <w:divBdr>
            <w:top w:val="none" w:sz="0" w:space="0" w:color="auto"/>
            <w:left w:val="none" w:sz="0" w:space="0" w:color="auto"/>
            <w:bottom w:val="none" w:sz="0" w:space="0" w:color="auto"/>
            <w:right w:val="none" w:sz="0" w:space="0" w:color="auto"/>
          </w:divBdr>
        </w:div>
        <w:div w:id="1257519678">
          <w:marLeft w:val="0"/>
          <w:marRight w:val="0"/>
          <w:marTop w:val="240"/>
          <w:marBottom w:val="240"/>
          <w:divBdr>
            <w:top w:val="none" w:sz="0" w:space="0" w:color="auto"/>
            <w:left w:val="none" w:sz="0" w:space="0" w:color="auto"/>
            <w:bottom w:val="none" w:sz="0" w:space="0" w:color="auto"/>
            <w:right w:val="none" w:sz="0" w:space="0" w:color="auto"/>
          </w:divBdr>
        </w:div>
        <w:div w:id="207658">
          <w:marLeft w:val="0"/>
          <w:marRight w:val="0"/>
          <w:marTop w:val="240"/>
          <w:marBottom w:val="240"/>
          <w:divBdr>
            <w:top w:val="none" w:sz="0" w:space="0" w:color="auto"/>
            <w:left w:val="none" w:sz="0" w:space="0" w:color="auto"/>
            <w:bottom w:val="none" w:sz="0" w:space="0" w:color="auto"/>
            <w:right w:val="none" w:sz="0" w:space="0" w:color="auto"/>
          </w:divBdr>
        </w:div>
        <w:div w:id="270666817">
          <w:marLeft w:val="0"/>
          <w:marRight w:val="0"/>
          <w:marTop w:val="240"/>
          <w:marBottom w:val="240"/>
          <w:divBdr>
            <w:top w:val="none" w:sz="0" w:space="0" w:color="auto"/>
            <w:left w:val="none" w:sz="0" w:space="0" w:color="auto"/>
            <w:bottom w:val="none" w:sz="0" w:space="0" w:color="auto"/>
            <w:right w:val="none" w:sz="0" w:space="0" w:color="auto"/>
          </w:divBdr>
        </w:div>
        <w:div w:id="504250123">
          <w:marLeft w:val="0"/>
          <w:marRight w:val="0"/>
          <w:marTop w:val="240"/>
          <w:marBottom w:val="240"/>
          <w:divBdr>
            <w:top w:val="none" w:sz="0" w:space="0" w:color="auto"/>
            <w:left w:val="none" w:sz="0" w:space="0" w:color="auto"/>
            <w:bottom w:val="none" w:sz="0" w:space="0" w:color="auto"/>
            <w:right w:val="none" w:sz="0" w:space="0" w:color="auto"/>
          </w:divBdr>
        </w:div>
        <w:div w:id="814445579">
          <w:marLeft w:val="0"/>
          <w:marRight w:val="0"/>
          <w:marTop w:val="240"/>
          <w:marBottom w:val="240"/>
          <w:divBdr>
            <w:top w:val="none" w:sz="0" w:space="0" w:color="auto"/>
            <w:left w:val="none" w:sz="0" w:space="0" w:color="auto"/>
            <w:bottom w:val="none" w:sz="0" w:space="0" w:color="auto"/>
            <w:right w:val="none" w:sz="0" w:space="0" w:color="auto"/>
          </w:divBdr>
        </w:div>
        <w:div w:id="58984004">
          <w:marLeft w:val="0"/>
          <w:marRight w:val="0"/>
          <w:marTop w:val="240"/>
          <w:marBottom w:val="240"/>
          <w:divBdr>
            <w:top w:val="none" w:sz="0" w:space="0" w:color="auto"/>
            <w:left w:val="none" w:sz="0" w:space="0" w:color="auto"/>
            <w:bottom w:val="none" w:sz="0" w:space="0" w:color="auto"/>
            <w:right w:val="none" w:sz="0" w:space="0" w:color="auto"/>
          </w:divBdr>
        </w:div>
        <w:div w:id="1912689705">
          <w:marLeft w:val="0"/>
          <w:marRight w:val="0"/>
          <w:marTop w:val="240"/>
          <w:marBottom w:val="240"/>
          <w:divBdr>
            <w:top w:val="none" w:sz="0" w:space="0" w:color="auto"/>
            <w:left w:val="none" w:sz="0" w:space="0" w:color="auto"/>
            <w:bottom w:val="none" w:sz="0" w:space="0" w:color="auto"/>
            <w:right w:val="none" w:sz="0" w:space="0" w:color="auto"/>
          </w:divBdr>
        </w:div>
        <w:div w:id="997923521">
          <w:marLeft w:val="0"/>
          <w:marRight w:val="0"/>
          <w:marTop w:val="240"/>
          <w:marBottom w:val="240"/>
          <w:divBdr>
            <w:top w:val="none" w:sz="0" w:space="0" w:color="auto"/>
            <w:left w:val="none" w:sz="0" w:space="0" w:color="auto"/>
            <w:bottom w:val="none" w:sz="0" w:space="0" w:color="auto"/>
            <w:right w:val="none" w:sz="0" w:space="0" w:color="auto"/>
          </w:divBdr>
        </w:div>
        <w:div w:id="1752239473">
          <w:marLeft w:val="0"/>
          <w:marRight w:val="0"/>
          <w:marTop w:val="240"/>
          <w:marBottom w:val="240"/>
          <w:divBdr>
            <w:top w:val="none" w:sz="0" w:space="0" w:color="auto"/>
            <w:left w:val="none" w:sz="0" w:space="0" w:color="auto"/>
            <w:bottom w:val="none" w:sz="0" w:space="0" w:color="auto"/>
            <w:right w:val="none" w:sz="0" w:space="0" w:color="auto"/>
          </w:divBdr>
        </w:div>
        <w:div w:id="1080099240">
          <w:marLeft w:val="0"/>
          <w:marRight w:val="0"/>
          <w:marTop w:val="240"/>
          <w:marBottom w:val="240"/>
          <w:divBdr>
            <w:top w:val="none" w:sz="0" w:space="0" w:color="auto"/>
            <w:left w:val="none" w:sz="0" w:space="0" w:color="auto"/>
            <w:bottom w:val="none" w:sz="0" w:space="0" w:color="auto"/>
            <w:right w:val="none" w:sz="0" w:space="0" w:color="auto"/>
          </w:divBdr>
        </w:div>
        <w:div w:id="17436110">
          <w:marLeft w:val="0"/>
          <w:marRight w:val="0"/>
          <w:marTop w:val="240"/>
          <w:marBottom w:val="240"/>
          <w:divBdr>
            <w:top w:val="none" w:sz="0" w:space="0" w:color="auto"/>
            <w:left w:val="none" w:sz="0" w:space="0" w:color="auto"/>
            <w:bottom w:val="none" w:sz="0" w:space="0" w:color="auto"/>
            <w:right w:val="none" w:sz="0" w:space="0" w:color="auto"/>
          </w:divBdr>
        </w:div>
        <w:div w:id="774207169">
          <w:marLeft w:val="0"/>
          <w:marRight w:val="0"/>
          <w:marTop w:val="240"/>
          <w:marBottom w:val="240"/>
          <w:divBdr>
            <w:top w:val="none" w:sz="0" w:space="0" w:color="auto"/>
            <w:left w:val="none" w:sz="0" w:space="0" w:color="auto"/>
            <w:bottom w:val="none" w:sz="0" w:space="0" w:color="auto"/>
            <w:right w:val="none" w:sz="0" w:space="0" w:color="auto"/>
          </w:divBdr>
        </w:div>
        <w:div w:id="1865945092">
          <w:marLeft w:val="0"/>
          <w:marRight w:val="0"/>
          <w:marTop w:val="240"/>
          <w:marBottom w:val="240"/>
          <w:divBdr>
            <w:top w:val="none" w:sz="0" w:space="0" w:color="auto"/>
            <w:left w:val="none" w:sz="0" w:space="0" w:color="auto"/>
            <w:bottom w:val="none" w:sz="0" w:space="0" w:color="auto"/>
            <w:right w:val="none" w:sz="0" w:space="0" w:color="auto"/>
          </w:divBdr>
        </w:div>
        <w:div w:id="2104718280">
          <w:marLeft w:val="0"/>
          <w:marRight w:val="0"/>
          <w:marTop w:val="240"/>
          <w:marBottom w:val="240"/>
          <w:divBdr>
            <w:top w:val="none" w:sz="0" w:space="0" w:color="auto"/>
            <w:left w:val="none" w:sz="0" w:space="0" w:color="auto"/>
            <w:bottom w:val="none" w:sz="0" w:space="0" w:color="auto"/>
            <w:right w:val="none" w:sz="0" w:space="0" w:color="auto"/>
          </w:divBdr>
        </w:div>
        <w:div w:id="1472210762">
          <w:marLeft w:val="0"/>
          <w:marRight w:val="0"/>
          <w:marTop w:val="240"/>
          <w:marBottom w:val="240"/>
          <w:divBdr>
            <w:top w:val="none" w:sz="0" w:space="0" w:color="auto"/>
            <w:left w:val="none" w:sz="0" w:space="0" w:color="auto"/>
            <w:bottom w:val="none" w:sz="0" w:space="0" w:color="auto"/>
            <w:right w:val="none" w:sz="0" w:space="0" w:color="auto"/>
          </w:divBdr>
        </w:div>
        <w:div w:id="1710374414">
          <w:marLeft w:val="0"/>
          <w:marRight w:val="0"/>
          <w:marTop w:val="240"/>
          <w:marBottom w:val="240"/>
          <w:divBdr>
            <w:top w:val="none" w:sz="0" w:space="0" w:color="auto"/>
            <w:left w:val="none" w:sz="0" w:space="0" w:color="auto"/>
            <w:bottom w:val="none" w:sz="0" w:space="0" w:color="auto"/>
            <w:right w:val="none" w:sz="0" w:space="0" w:color="auto"/>
          </w:divBdr>
        </w:div>
        <w:div w:id="842166604">
          <w:marLeft w:val="0"/>
          <w:marRight w:val="0"/>
          <w:marTop w:val="240"/>
          <w:marBottom w:val="240"/>
          <w:divBdr>
            <w:top w:val="none" w:sz="0" w:space="0" w:color="auto"/>
            <w:left w:val="none" w:sz="0" w:space="0" w:color="auto"/>
            <w:bottom w:val="none" w:sz="0" w:space="0" w:color="auto"/>
            <w:right w:val="none" w:sz="0" w:space="0" w:color="auto"/>
          </w:divBdr>
        </w:div>
        <w:div w:id="429275811">
          <w:marLeft w:val="0"/>
          <w:marRight w:val="0"/>
          <w:marTop w:val="240"/>
          <w:marBottom w:val="240"/>
          <w:divBdr>
            <w:top w:val="none" w:sz="0" w:space="0" w:color="auto"/>
            <w:left w:val="none" w:sz="0" w:space="0" w:color="auto"/>
            <w:bottom w:val="none" w:sz="0" w:space="0" w:color="auto"/>
            <w:right w:val="none" w:sz="0" w:space="0" w:color="auto"/>
          </w:divBdr>
        </w:div>
        <w:div w:id="660155554">
          <w:marLeft w:val="0"/>
          <w:marRight w:val="0"/>
          <w:marTop w:val="240"/>
          <w:marBottom w:val="240"/>
          <w:divBdr>
            <w:top w:val="none" w:sz="0" w:space="0" w:color="auto"/>
            <w:left w:val="none" w:sz="0" w:space="0" w:color="auto"/>
            <w:bottom w:val="none" w:sz="0" w:space="0" w:color="auto"/>
            <w:right w:val="none" w:sz="0" w:space="0" w:color="auto"/>
          </w:divBdr>
        </w:div>
        <w:div w:id="1349140619">
          <w:marLeft w:val="0"/>
          <w:marRight w:val="0"/>
          <w:marTop w:val="240"/>
          <w:marBottom w:val="240"/>
          <w:divBdr>
            <w:top w:val="none" w:sz="0" w:space="0" w:color="auto"/>
            <w:left w:val="none" w:sz="0" w:space="0" w:color="auto"/>
            <w:bottom w:val="none" w:sz="0" w:space="0" w:color="auto"/>
            <w:right w:val="none" w:sz="0" w:space="0" w:color="auto"/>
          </w:divBdr>
        </w:div>
        <w:div w:id="833644457">
          <w:marLeft w:val="0"/>
          <w:marRight w:val="0"/>
          <w:marTop w:val="240"/>
          <w:marBottom w:val="240"/>
          <w:divBdr>
            <w:top w:val="none" w:sz="0" w:space="0" w:color="auto"/>
            <w:left w:val="none" w:sz="0" w:space="0" w:color="auto"/>
            <w:bottom w:val="none" w:sz="0" w:space="0" w:color="auto"/>
            <w:right w:val="none" w:sz="0" w:space="0" w:color="auto"/>
          </w:divBdr>
        </w:div>
        <w:div w:id="147968651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Michelle L CIV DLA AVIATION (USA)</dc:creator>
  <cp:keywords/>
  <dc:description/>
  <cp:lastModifiedBy>Watson, Michelle L CIV DLA AVIATION (USA)</cp:lastModifiedBy>
  <cp:revision>6</cp:revision>
  <dcterms:created xsi:type="dcterms:W3CDTF">2024-08-05T13:13:00Z</dcterms:created>
  <dcterms:modified xsi:type="dcterms:W3CDTF">2024-08-05T13:25:00Z</dcterms:modified>
</cp:coreProperties>
</file>