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4765"/>
        <w:gridCol w:w="2041"/>
        <w:gridCol w:w="1469"/>
        <w:gridCol w:w="979"/>
        <w:gridCol w:w="3454"/>
      </w:tblGrid>
      <w:tr w:rsidR="0077613A" w:rsidRPr="009E426F" w:rsidTr="00DE65F6">
        <w:trPr>
          <w:cantSplit/>
          <w:tblHeader/>
        </w:trPr>
        <w:tc>
          <w:tcPr>
            <w:tcW w:w="720" w:type="dxa"/>
            <w:tcBorders>
              <w:left w:val="single" w:sz="4" w:space="0" w:color="auto"/>
            </w:tcBorders>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No</w:t>
            </w:r>
          </w:p>
        </w:tc>
        <w:tc>
          <w:tcPr>
            <w:tcW w:w="1440" w:type="dxa"/>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Reference</w:t>
            </w:r>
          </w:p>
        </w:tc>
        <w:tc>
          <w:tcPr>
            <w:tcW w:w="4765" w:type="dxa"/>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Action Item</w:t>
            </w:r>
          </w:p>
        </w:tc>
        <w:tc>
          <w:tcPr>
            <w:tcW w:w="2041" w:type="dxa"/>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Responsibility</w:t>
            </w:r>
          </w:p>
        </w:tc>
        <w:tc>
          <w:tcPr>
            <w:tcW w:w="1469" w:type="dxa"/>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Target Due Date</w:t>
            </w:r>
          </w:p>
        </w:tc>
        <w:tc>
          <w:tcPr>
            <w:tcW w:w="979" w:type="dxa"/>
            <w:shd w:val="clear" w:color="auto" w:fill="FFFFFF" w:themeFill="background1"/>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Status</w:t>
            </w:r>
          </w:p>
        </w:tc>
        <w:tc>
          <w:tcPr>
            <w:tcW w:w="3454" w:type="dxa"/>
          </w:tcPr>
          <w:p w:rsidR="002021FB" w:rsidRPr="009E426F" w:rsidRDefault="002021FB" w:rsidP="00DE65F6">
            <w:pPr>
              <w:spacing w:before="20" w:after="20"/>
              <w:jc w:val="center"/>
              <w:rPr>
                <w:rFonts w:ascii="Arial" w:hAnsi="Arial" w:cs="Arial"/>
                <w:b/>
                <w:sz w:val="22"/>
                <w:szCs w:val="22"/>
              </w:rPr>
            </w:pPr>
            <w:r w:rsidRPr="009E426F">
              <w:rPr>
                <w:rFonts w:ascii="Arial" w:hAnsi="Arial" w:cs="Arial"/>
                <w:b/>
                <w:sz w:val="22"/>
                <w:szCs w:val="22"/>
              </w:rPr>
              <w:t>Notes</w:t>
            </w:r>
          </w:p>
        </w:tc>
      </w:tr>
      <w:tr w:rsidR="009E426F" w:rsidRPr="009E426F" w:rsidTr="00DE65F6">
        <w:trPr>
          <w:cantSplit/>
        </w:trPr>
        <w:tc>
          <w:tcPr>
            <w:tcW w:w="720" w:type="dxa"/>
            <w:shd w:val="clear" w:color="auto" w:fill="F2F2F2" w:themeFill="background1" w:themeFillShade="F2"/>
          </w:tcPr>
          <w:p w:rsidR="009E426F" w:rsidRPr="00DE65F6" w:rsidRDefault="009E426F" w:rsidP="00DE65F6">
            <w:pPr>
              <w:pStyle w:val="ListParagraph"/>
              <w:numPr>
                <w:ilvl w:val="0"/>
                <w:numId w:val="19"/>
              </w:numPr>
              <w:spacing w:before="20" w:after="20"/>
              <w:jc w:val="center"/>
              <w:rPr>
                <w:rFonts w:ascii="Arial" w:hAnsi="Arial" w:cs="Arial"/>
                <w:b/>
                <w:i/>
                <w:color w:val="A6A6A6" w:themeColor="background1" w:themeShade="A6"/>
              </w:rPr>
            </w:pPr>
            <w:r w:rsidRPr="00DE65F6">
              <w:rPr>
                <w:rFonts w:ascii="Arial" w:hAnsi="Arial" w:cs="Arial"/>
                <w:b/>
                <w:i/>
                <w:color w:val="A6A6A6" w:themeColor="background1" w:themeShade="A6"/>
              </w:rPr>
              <w:t>1</w:t>
            </w:r>
          </w:p>
        </w:tc>
        <w:tc>
          <w:tcPr>
            <w:tcW w:w="1440" w:type="dxa"/>
            <w:shd w:val="clear" w:color="auto" w:fill="F2F2F2" w:themeFill="background1" w:themeFillShade="F2"/>
          </w:tcPr>
          <w:p w:rsidR="009E426F" w:rsidRPr="00DE65F6" w:rsidRDefault="004E02CA"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Joint PRC 17-2 Minutes Topic </w:t>
            </w:r>
            <w:r w:rsidR="00DA47F0" w:rsidRPr="00DE65F6">
              <w:rPr>
                <w:rFonts w:ascii="Arial" w:hAnsi="Arial" w:cs="Arial"/>
                <w:i/>
                <w:color w:val="A6A6A6" w:themeColor="background1" w:themeShade="A6"/>
                <w:sz w:val="22"/>
                <w:szCs w:val="22"/>
              </w:rPr>
              <w:t>1</w:t>
            </w:r>
          </w:p>
        </w:tc>
        <w:tc>
          <w:tcPr>
            <w:tcW w:w="4765" w:type="dxa"/>
            <w:shd w:val="clear" w:color="auto" w:fill="F2F2F2" w:themeFill="background1" w:themeFillShade="F2"/>
          </w:tcPr>
          <w:p w:rsidR="009E426F" w:rsidRPr="00DE65F6" w:rsidRDefault="004E02CA" w:rsidP="00DE65F6">
            <w:pPr>
              <w:tabs>
                <w:tab w:val="left" w:pos="0"/>
              </w:tabs>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EBSO to provide status of outstanding ADC 1240 Official PRC Appointment Letters for each </w:t>
            </w:r>
            <w:r w:rsidR="00DA47F0" w:rsidRPr="00DE65F6">
              <w:rPr>
                <w:rFonts w:ascii="Arial" w:hAnsi="Arial" w:cs="Arial"/>
                <w:i/>
                <w:color w:val="A6A6A6" w:themeColor="background1" w:themeShade="A6"/>
                <w:sz w:val="22"/>
                <w:szCs w:val="22"/>
              </w:rPr>
              <w:t xml:space="preserve">Supply, SDR and JPIWG (all) </w:t>
            </w:r>
            <w:r w:rsidRPr="00DE65F6">
              <w:rPr>
                <w:rFonts w:ascii="Arial" w:hAnsi="Arial" w:cs="Arial"/>
                <w:i/>
                <w:color w:val="A6A6A6" w:themeColor="background1" w:themeShade="A6"/>
                <w:sz w:val="22"/>
                <w:szCs w:val="22"/>
              </w:rPr>
              <w:t>PRC by organization</w:t>
            </w:r>
            <w:r w:rsidR="00DA47F0" w:rsidRPr="00DE65F6">
              <w:rPr>
                <w:rFonts w:ascii="Arial" w:hAnsi="Arial" w:cs="Arial"/>
                <w:i/>
                <w:color w:val="A6A6A6" w:themeColor="background1" w:themeShade="A6"/>
                <w:sz w:val="22"/>
                <w:szCs w:val="22"/>
              </w:rPr>
              <w:t xml:space="preserve"> to the respective Primary and Alternate representatives.</w:t>
            </w:r>
          </w:p>
        </w:tc>
        <w:tc>
          <w:tcPr>
            <w:tcW w:w="2041" w:type="dxa"/>
            <w:shd w:val="clear" w:color="auto" w:fill="F2F2F2" w:themeFill="background1" w:themeFillShade="F2"/>
          </w:tcPr>
          <w:p w:rsidR="009E426F" w:rsidRPr="00DE65F6" w:rsidRDefault="009E426F"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EBSO</w:t>
            </w:r>
          </w:p>
        </w:tc>
        <w:tc>
          <w:tcPr>
            <w:tcW w:w="1469" w:type="dxa"/>
            <w:shd w:val="clear" w:color="auto" w:fill="F2F2F2" w:themeFill="background1" w:themeFillShade="F2"/>
          </w:tcPr>
          <w:p w:rsidR="009E426F" w:rsidRPr="00DE65F6" w:rsidRDefault="008118DA"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19 Feb</w:t>
            </w:r>
            <w:r w:rsidR="003062DE" w:rsidRPr="00DE65F6">
              <w:rPr>
                <w:rFonts w:ascii="Arial" w:hAnsi="Arial" w:cs="Arial"/>
                <w:i/>
                <w:color w:val="A6A6A6" w:themeColor="background1" w:themeShade="A6"/>
                <w:sz w:val="22"/>
                <w:szCs w:val="22"/>
              </w:rPr>
              <w:t xml:space="preserve"> </w:t>
            </w:r>
            <w:r w:rsidR="009E426F" w:rsidRPr="00DE65F6">
              <w:rPr>
                <w:rFonts w:ascii="Arial" w:hAnsi="Arial" w:cs="Arial"/>
                <w:i/>
                <w:color w:val="A6A6A6" w:themeColor="background1" w:themeShade="A6"/>
                <w:sz w:val="22"/>
                <w:szCs w:val="22"/>
              </w:rPr>
              <w:t>201</w:t>
            </w:r>
            <w:r w:rsidRPr="00DE65F6">
              <w:rPr>
                <w:rFonts w:ascii="Arial" w:hAnsi="Arial" w:cs="Arial"/>
                <w:i/>
                <w:color w:val="A6A6A6" w:themeColor="background1" w:themeShade="A6"/>
                <w:sz w:val="22"/>
                <w:szCs w:val="22"/>
              </w:rPr>
              <w:t>8</w:t>
            </w:r>
          </w:p>
        </w:tc>
        <w:tc>
          <w:tcPr>
            <w:tcW w:w="979" w:type="dxa"/>
            <w:shd w:val="clear" w:color="auto" w:fill="F2F2F2" w:themeFill="background1" w:themeFillShade="F2"/>
          </w:tcPr>
          <w:p w:rsidR="009E426F" w:rsidRPr="00DE65F6" w:rsidRDefault="00DE65F6"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9E426F" w:rsidRPr="00DE65F6" w:rsidRDefault="00DA47F0"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Air Force </w:t>
            </w:r>
            <w:r w:rsidR="00F20DB0" w:rsidRPr="00DE65F6">
              <w:rPr>
                <w:rFonts w:ascii="Arial" w:hAnsi="Arial" w:cs="Arial"/>
                <w:i/>
                <w:color w:val="A6A6A6" w:themeColor="background1" w:themeShade="A6"/>
                <w:sz w:val="22"/>
                <w:szCs w:val="22"/>
              </w:rPr>
              <w:t>provided letters</w:t>
            </w:r>
            <w:r w:rsidRPr="00DE65F6">
              <w:rPr>
                <w:rFonts w:ascii="Arial" w:hAnsi="Arial" w:cs="Arial"/>
                <w:i/>
                <w:color w:val="A6A6A6" w:themeColor="background1" w:themeShade="A6"/>
                <w:sz w:val="22"/>
                <w:szCs w:val="22"/>
              </w:rPr>
              <w:t xml:space="preserve">.  Navy to use ADC </w:t>
            </w:r>
            <w:r w:rsidR="001232B9" w:rsidRPr="00DE65F6">
              <w:rPr>
                <w:rFonts w:ascii="Arial" w:hAnsi="Arial" w:cs="Arial"/>
                <w:i/>
                <w:color w:val="A6A6A6" w:themeColor="background1" w:themeShade="A6"/>
                <w:sz w:val="22"/>
                <w:szCs w:val="22"/>
              </w:rPr>
              <w:t>1</w:t>
            </w:r>
            <w:r w:rsidRPr="00DE65F6">
              <w:rPr>
                <w:rFonts w:ascii="Arial" w:hAnsi="Arial" w:cs="Arial"/>
                <w:i/>
                <w:color w:val="A6A6A6" w:themeColor="background1" w:themeShade="A6"/>
                <w:sz w:val="22"/>
                <w:szCs w:val="22"/>
              </w:rPr>
              <w:t>240 as official tasker to request letters internally within Navy.</w:t>
            </w:r>
            <w:r w:rsidR="001232B9" w:rsidRPr="00DE65F6">
              <w:rPr>
                <w:rFonts w:ascii="Arial" w:hAnsi="Arial" w:cs="Arial"/>
                <w:i/>
                <w:color w:val="A6A6A6" w:themeColor="background1" w:themeShade="A6"/>
                <w:sz w:val="22"/>
                <w:szCs w:val="22"/>
              </w:rPr>
              <w:t xml:space="preserve">  Refer to final meeting minutes to see </w:t>
            </w:r>
            <w:r w:rsidR="004D080C" w:rsidRPr="00DE65F6">
              <w:rPr>
                <w:rFonts w:ascii="Arial" w:hAnsi="Arial" w:cs="Arial"/>
                <w:i/>
                <w:color w:val="A6A6A6" w:themeColor="background1" w:themeShade="A6"/>
                <w:sz w:val="22"/>
                <w:szCs w:val="22"/>
              </w:rPr>
              <w:t xml:space="preserve">list of outstanding Component letters still due.  </w:t>
            </w:r>
          </w:p>
          <w:p w:rsidR="00DE65F6" w:rsidRPr="00DE65F6" w:rsidRDefault="00DE65F6"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Official Appointment Letters are on file and the official PDC response template is in use by all.</w:t>
            </w:r>
          </w:p>
        </w:tc>
      </w:tr>
      <w:tr w:rsidR="004E02CA" w:rsidRPr="003C6940" w:rsidTr="00126FD6">
        <w:trPr>
          <w:cantSplit/>
        </w:trPr>
        <w:tc>
          <w:tcPr>
            <w:tcW w:w="720" w:type="dxa"/>
            <w:shd w:val="clear" w:color="auto" w:fill="F2F2F2" w:themeFill="background1" w:themeFillShade="F2"/>
          </w:tcPr>
          <w:p w:rsidR="004E02CA" w:rsidRPr="00126FD6" w:rsidRDefault="004E02CA" w:rsidP="00DE65F6">
            <w:pPr>
              <w:pStyle w:val="ListParagraph"/>
              <w:numPr>
                <w:ilvl w:val="0"/>
                <w:numId w:val="19"/>
              </w:numPr>
              <w:spacing w:before="20" w:after="20"/>
              <w:jc w:val="center"/>
              <w:rPr>
                <w:rFonts w:ascii="Arial" w:hAnsi="Arial" w:cs="Arial"/>
                <w:b/>
                <w:i/>
                <w:color w:val="A6A6A6" w:themeColor="background1" w:themeShade="A6"/>
              </w:rPr>
            </w:pPr>
            <w:r w:rsidRPr="00126FD6">
              <w:rPr>
                <w:rFonts w:ascii="Arial" w:hAnsi="Arial" w:cs="Arial"/>
                <w:b/>
                <w:i/>
                <w:color w:val="A6A6A6" w:themeColor="background1" w:themeShade="A6"/>
              </w:rPr>
              <w:t>2</w:t>
            </w:r>
          </w:p>
        </w:tc>
        <w:tc>
          <w:tcPr>
            <w:tcW w:w="1440" w:type="dxa"/>
            <w:shd w:val="clear" w:color="auto" w:fill="F2F2F2" w:themeFill="background1" w:themeFillShade="F2"/>
          </w:tcPr>
          <w:p w:rsidR="004E02CA" w:rsidRPr="00126FD6" w:rsidRDefault="004E02CA"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Joint PRC 17-2 Minutes Topic </w:t>
            </w:r>
            <w:r w:rsidR="009D5DB9" w:rsidRPr="00126FD6">
              <w:rPr>
                <w:rFonts w:ascii="Arial" w:hAnsi="Arial" w:cs="Arial"/>
                <w:i/>
                <w:color w:val="A6A6A6" w:themeColor="background1" w:themeShade="A6"/>
                <w:sz w:val="22"/>
                <w:szCs w:val="22"/>
              </w:rPr>
              <w:t>2</w:t>
            </w:r>
            <w:r w:rsidR="00AC4BAE" w:rsidRPr="00126FD6">
              <w:rPr>
                <w:rFonts w:ascii="Arial" w:hAnsi="Arial" w:cs="Arial"/>
                <w:i/>
                <w:color w:val="A6A6A6" w:themeColor="background1" w:themeShade="A6"/>
                <w:sz w:val="22"/>
                <w:szCs w:val="22"/>
              </w:rPr>
              <w:t xml:space="preserve"> </w:t>
            </w:r>
          </w:p>
        </w:tc>
        <w:tc>
          <w:tcPr>
            <w:tcW w:w="4765" w:type="dxa"/>
            <w:shd w:val="clear" w:color="auto" w:fill="F2F2F2" w:themeFill="background1" w:themeFillShade="F2"/>
          </w:tcPr>
          <w:p w:rsidR="004E02CA" w:rsidRPr="00126FD6" w:rsidRDefault="00394598"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Navy to identify system constraints on use of the original or ICP-provided document number for PQDR returns.</w:t>
            </w:r>
          </w:p>
        </w:tc>
        <w:tc>
          <w:tcPr>
            <w:tcW w:w="2041" w:type="dxa"/>
            <w:shd w:val="clear" w:color="auto" w:fill="F2F2F2" w:themeFill="background1" w:themeFillShade="F2"/>
          </w:tcPr>
          <w:p w:rsidR="004E02CA" w:rsidRPr="00126FD6" w:rsidRDefault="00CA0332"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Navy Supply/SDR</w:t>
            </w:r>
          </w:p>
        </w:tc>
        <w:tc>
          <w:tcPr>
            <w:tcW w:w="1469" w:type="dxa"/>
            <w:shd w:val="clear" w:color="auto" w:fill="F2F2F2" w:themeFill="background1" w:themeFillShade="F2"/>
          </w:tcPr>
          <w:p w:rsidR="004E02CA" w:rsidRPr="00126FD6" w:rsidRDefault="008118DA"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19 Feb 2018</w:t>
            </w:r>
          </w:p>
        </w:tc>
        <w:tc>
          <w:tcPr>
            <w:tcW w:w="979" w:type="dxa"/>
            <w:tcBorders>
              <w:bottom w:val="single" w:sz="4" w:space="0" w:color="auto"/>
            </w:tcBorders>
            <w:shd w:val="clear" w:color="auto" w:fill="F2F2F2" w:themeFill="background1" w:themeFillShade="F2"/>
          </w:tcPr>
          <w:p w:rsidR="004E02CA" w:rsidRPr="00126FD6" w:rsidRDefault="00126FD6"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4E02CA" w:rsidRPr="00126FD6" w:rsidRDefault="00CA0332"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See Ben Breen</w:t>
            </w:r>
            <w:r w:rsidR="0088389B" w:rsidRPr="00126FD6">
              <w:rPr>
                <w:rFonts w:ascii="Arial" w:hAnsi="Arial" w:cs="Arial"/>
                <w:i/>
                <w:color w:val="A6A6A6" w:themeColor="background1" w:themeShade="A6"/>
                <w:sz w:val="22"/>
                <w:szCs w:val="22"/>
              </w:rPr>
              <w:t>.  Air Force confirms that system can use original document number for directed returns.</w:t>
            </w:r>
          </w:p>
          <w:p w:rsidR="001967E7" w:rsidRPr="00126FD6" w:rsidRDefault="001967E7"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6/11/19 -Navy, Simon Hernandez -After researching about Item 2 in the Action Item Tracker – Joint Supply, SDR, JPIWG PRC 17-2 Meeting (November 15-16, 2017) (system on use of the original or ICP-provided document number for PQDR returns), we found out the following:</w:t>
            </w:r>
          </w:p>
          <w:p w:rsidR="001967E7" w:rsidRPr="00126FD6" w:rsidRDefault="001967E7"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-If the RDO is created within Navy ERP, a PMRC will be generated.  If the fleet turn in material into the nearest DD for a PQDR, Navy ERP will not create a PMRC to send to DLA/storage center because Navy ERP does not have </w:t>
            </w:r>
            <w:r w:rsidRPr="00126FD6">
              <w:rPr>
                <w:rFonts w:ascii="Arial" w:hAnsi="Arial" w:cs="Arial"/>
                <w:i/>
                <w:color w:val="A6A6A6" w:themeColor="background1" w:themeShade="A6"/>
                <w:sz w:val="22"/>
                <w:szCs w:val="22"/>
              </w:rPr>
              <w:lastRenderedPageBreak/>
              <w:t>visibility.  The exception to this is, if the ship is a Navy Working Capital Fund ship.  In this case, Navy ERP has full visibility of the inventory and an RDO would be created, thus the PMRC.</w:t>
            </w:r>
          </w:p>
          <w:p w:rsidR="001967E7" w:rsidRPr="00126FD6" w:rsidRDefault="001967E7"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-There is a system limitation with Navy ERP in regards to the PMRC.  Since non- Navy Working Capital Fund ships do not report their inventory to Navy ERP, Navy ERP cannot send a PMRC to the DD notifying them to expect an asset.  </w:t>
            </w:r>
          </w:p>
          <w:p w:rsidR="001967E7" w:rsidRPr="00126FD6" w:rsidRDefault="001967E7"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 I received a recommendation to eliminate the problem above.  Develop a process where the PMRC is manually created upon notification of a ship establishing a PQDR/turn in.  We will look into this possible solution with more detail in the near future. </w:t>
            </w:r>
          </w:p>
        </w:tc>
      </w:tr>
      <w:tr w:rsidR="00D87385" w:rsidRPr="009E426F" w:rsidTr="00126FD6">
        <w:trPr>
          <w:cantSplit/>
        </w:trPr>
        <w:tc>
          <w:tcPr>
            <w:tcW w:w="720" w:type="dxa"/>
            <w:shd w:val="clear" w:color="auto" w:fill="F2F2F2" w:themeFill="background1" w:themeFillShade="F2"/>
          </w:tcPr>
          <w:p w:rsidR="00D87385" w:rsidRPr="00126FD6" w:rsidRDefault="00D87385" w:rsidP="00DE65F6">
            <w:pPr>
              <w:pStyle w:val="ListParagraph"/>
              <w:numPr>
                <w:ilvl w:val="0"/>
                <w:numId w:val="19"/>
              </w:numPr>
              <w:spacing w:before="20" w:after="20"/>
              <w:jc w:val="center"/>
              <w:rPr>
                <w:rFonts w:ascii="Arial" w:hAnsi="Arial" w:cs="Arial"/>
                <w:b/>
                <w:i/>
                <w:color w:val="A6A6A6" w:themeColor="background1" w:themeShade="A6"/>
              </w:rPr>
            </w:pPr>
          </w:p>
        </w:tc>
        <w:tc>
          <w:tcPr>
            <w:tcW w:w="1440" w:type="dxa"/>
            <w:shd w:val="clear" w:color="auto" w:fill="F2F2F2" w:themeFill="background1" w:themeFillShade="F2"/>
          </w:tcPr>
          <w:p w:rsidR="00D87385" w:rsidRPr="00126FD6" w:rsidRDefault="00D87385"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Joint PRC 17-2 Minutes Topic 2</w:t>
            </w:r>
          </w:p>
        </w:tc>
        <w:tc>
          <w:tcPr>
            <w:tcW w:w="4765" w:type="dxa"/>
            <w:shd w:val="clear" w:color="auto" w:fill="F2F2F2" w:themeFill="background1" w:themeFillShade="F2"/>
          </w:tcPr>
          <w:p w:rsidR="00D87385" w:rsidRPr="00126FD6" w:rsidRDefault="00394598" w:rsidP="00DE65F6">
            <w:pPr>
              <w:tabs>
                <w:tab w:val="left" w:pos="0"/>
              </w:tabs>
              <w:spacing w:after="1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DLA Distribution to provide training for the correct processing of PQDR exhibits to ensure that the PQDR RCN is recorded and the SDR cites Discrepancy Code Q11.</w:t>
            </w:r>
          </w:p>
        </w:tc>
        <w:tc>
          <w:tcPr>
            <w:tcW w:w="2041" w:type="dxa"/>
            <w:shd w:val="clear" w:color="auto" w:fill="F2F2F2" w:themeFill="background1" w:themeFillShade="F2"/>
          </w:tcPr>
          <w:p w:rsidR="00D87385" w:rsidRPr="00126FD6" w:rsidRDefault="00394598"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DLA Distribution</w:t>
            </w:r>
          </w:p>
        </w:tc>
        <w:tc>
          <w:tcPr>
            <w:tcW w:w="1469" w:type="dxa"/>
            <w:shd w:val="clear" w:color="auto" w:fill="F2F2F2" w:themeFill="background1" w:themeFillShade="F2"/>
          </w:tcPr>
          <w:p w:rsidR="00D87385" w:rsidRPr="00126FD6" w:rsidRDefault="008118DA"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19 Feb 2018</w:t>
            </w:r>
          </w:p>
        </w:tc>
        <w:tc>
          <w:tcPr>
            <w:tcW w:w="979" w:type="dxa"/>
            <w:shd w:val="clear" w:color="auto" w:fill="F2F2F2" w:themeFill="background1" w:themeFillShade="F2"/>
          </w:tcPr>
          <w:p w:rsidR="00D87385" w:rsidRPr="00126FD6" w:rsidRDefault="00126FD6" w:rsidP="00DE65F6">
            <w:pPr>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D87385" w:rsidRPr="00126FD6" w:rsidRDefault="00126FD6"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No Response</w:t>
            </w:r>
          </w:p>
        </w:tc>
      </w:tr>
      <w:tr w:rsidR="0075744F" w:rsidRPr="009E426F" w:rsidTr="00DE65F6">
        <w:trPr>
          <w:cantSplit/>
        </w:trPr>
        <w:tc>
          <w:tcPr>
            <w:tcW w:w="720" w:type="dxa"/>
            <w:shd w:val="clear" w:color="auto" w:fill="F2F2F2" w:themeFill="background1" w:themeFillShade="F2"/>
          </w:tcPr>
          <w:p w:rsidR="0075744F" w:rsidRPr="00D10085" w:rsidRDefault="0075744F" w:rsidP="00DE65F6">
            <w:pPr>
              <w:pStyle w:val="ListParagraph"/>
              <w:numPr>
                <w:ilvl w:val="0"/>
                <w:numId w:val="19"/>
              </w:numPr>
              <w:spacing w:before="20" w:after="20"/>
              <w:jc w:val="center"/>
              <w:rPr>
                <w:rFonts w:ascii="Arial" w:hAnsi="Arial" w:cs="Arial"/>
                <w:b/>
              </w:rPr>
            </w:pPr>
          </w:p>
        </w:tc>
        <w:tc>
          <w:tcPr>
            <w:tcW w:w="1440" w:type="dxa"/>
            <w:shd w:val="clear" w:color="auto" w:fill="F2F2F2" w:themeFill="background1" w:themeFillShade="F2"/>
          </w:tcPr>
          <w:p w:rsidR="0075744F" w:rsidRPr="00DE65F6" w:rsidRDefault="0075744F"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Joint PRC 17-2 Minutes Topic 2</w:t>
            </w:r>
          </w:p>
        </w:tc>
        <w:tc>
          <w:tcPr>
            <w:tcW w:w="4765" w:type="dxa"/>
            <w:shd w:val="clear" w:color="auto" w:fill="F2F2F2" w:themeFill="background1" w:themeFillShade="F2"/>
          </w:tcPr>
          <w:p w:rsidR="0075744F" w:rsidRPr="00DE65F6" w:rsidRDefault="00AB696B" w:rsidP="00DE65F6">
            <w:pPr>
              <w:tabs>
                <w:tab w:val="left" w:pos="0"/>
              </w:tabs>
              <w:spacing w:after="1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DLA to submit a draft PDC to document the interim solution for use of a barcode label to receipt into DLA ownership a PQDR exhibit returned to DLA by the Military Services, despite a PMR and/or document number directing receipt to the Military Service.</w:t>
            </w:r>
          </w:p>
        </w:tc>
        <w:tc>
          <w:tcPr>
            <w:tcW w:w="2041" w:type="dxa"/>
            <w:shd w:val="clear" w:color="auto" w:fill="F2F2F2" w:themeFill="background1" w:themeFillShade="F2"/>
          </w:tcPr>
          <w:p w:rsidR="0075744F" w:rsidRPr="00DE65F6" w:rsidRDefault="0075744F"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DLA HQ</w:t>
            </w:r>
          </w:p>
        </w:tc>
        <w:tc>
          <w:tcPr>
            <w:tcW w:w="1469" w:type="dxa"/>
            <w:shd w:val="clear" w:color="auto" w:fill="F2F2F2" w:themeFill="background1" w:themeFillShade="F2"/>
          </w:tcPr>
          <w:p w:rsidR="0075744F" w:rsidRPr="00DE65F6" w:rsidRDefault="008118DA"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19 Feb 2018</w:t>
            </w:r>
          </w:p>
        </w:tc>
        <w:tc>
          <w:tcPr>
            <w:tcW w:w="979" w:type="dxa"/>
            <w:shd w:val="clear" w:color="auto" w:fill="F2F2F2" w:themeFill="background1" w:themeFillShade="F2"/>
          </w:tcPr>
          <w:p w:rsidR="0075744F" w:rsidRPr="00DE65F6" w:rsidRDefault="00DE65F6" w:rsidP="00DE65F6">
            <w:pPr>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75744F" w:rsidRPr="00DE65F6" w:rsidRDefault="00DE65F6"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DLA submitted PDC 1356, DLA Distribution PQDR Exhibit Return Label.  Labels already in </w:t>
            </w:r>
            <w:r>
              <w:rPr>
                <w:rFonts w:ascii="Arial" w:hAnsi="Arial" w:cs="Arial"/>
                <w:i/>
                <w:color w:val="A6A6A6" w:themeColor="background1" w:themeShade="A6"/>
                <w:sz w:val="22"/>
                <w:szCs w:val="22"/>
              </w:rPr>
              <w:t xml:space="preserve">use at DLA Distribution Centers.  George </w:t>
            </w:r>
            <w:proofErr w:type="spellStart"/>
            <w:r>
              <w:rPr>
                <w:rFonts w:ascii="Arial" w:hAnsi="Arial" w:cs="Arial"/>
                <w:i/>
                <w:color w:val="A6A6A6" w:themeColor="background1" w:themeShade="A6"/>
                <w:sz w:val="22"/>
                <w:szCs w:val="22"/>
              </w:rPr>
              <w:t>Berkery</w:t>
            </w:r>
            <w:proofErr w:type="spellEnd"/>
            <w:r>
              <w:rPr>
                <w:rFonts w:ascii="Arial" w:hAnsi="Arial" w:cs="Arial"/>
                <w:i/>
                <w:color w:val="A6A6A6" w:themeColor="background1" w:themeShade="A6"/>
                <w:sz w:val="22"/>
                <w:szCs w:val="22"/>
              </w:rPr>
              <w:t>/DLA TQ.</w:t>
            </w:r>
          </w:p>
        </w:tc>
      </w:tr>
      <w:tr w:rsidR="0075744F" w:rsidRPr="009E426F" w:rsidTr="00DE65F6">
        <w:trPr>
          <w:cantSplit/>
        </w:trPr>
        <w:tc>
          <w:tcPr>
            <w:tcW w:w="720" w:type="dxa"/>
            <w:shd w:val="clear" w:color="auto" w:fill="F2F2F2" w:themeFill="background1" w:themeFillShade="F2"/>
          </w:tcPr>
          <w:p w:rsidR="0075744F" w:rsidRPr="00DE65F6" w:rsidRDefault="0075744F" w:rsidP="00DE65F6">
            <w:pPr>
              <w:pStyle w:val="ListParagraph"/>
              <w:numPr>
                <w:ilvl w:val="0"/>
                <w:numId w:val="19"/>
              </w:numPr>
              <w:spacing w:before="20" w:after="20"/>
              <w:jc w:val="center"/>
              <w:rPr>
                <w:rFonts w:ascii="Arial" w:hAnsi="Arial" w:cs="Arial"/>
                <w:b/>
                <w:i/>
                <w:color w:val="A6A6A6" w:themeColor="background1" w:themeShade="A6"/>
              </w:rPr>
            </w:pPr>
            <w:r w:rsidRPr="00DE65F6">
              <w:rPr>
                <w:rFonts w:ascii="Arial" w:hAnsi="Arial" w:cs="Arial"/>
                <w:b/>
                <w:i/>
                <w:color w:val="A6A6A6" w:themeColor="background1" w:themeShade="A6"/>
              </w:rPr>
              <w:t>3</w:t>
            </w:r>
          </w:p>
        </w:tc>
        <w:tc>
          <w:tcPr>
            <w:tcW w:w="1440" w:type="dxa"/>
            <w:shd w:val="clear" w:color="auto" w:fill="F2F2F2" w:themeFill="background1" w:themeFillShade="F2"/>
          </w:tcPr>
          <w:p w:rsidR="0075744F" w:rsidRPr="00DE65F6" w:rsidRDefault="0075744F"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Joint PRC 17-2 </w:t>
            </w:r>
            <w:r w:rsidRPr="00DE65F6">
              <w:rPr>
                <w:rFonts w:ascii="Arial" w:hAnsi="Arial" w:cs="Arial"/>
                <w:i/>
                <w:color w:val="A6A6A6" w:themeColor="background1" w:themeShade="A6"/>
                <w:sz w:val="22"/>
                <w:szCs w:val="22"/>
              </w:rPr>
              <w:lastRenderedPageBreak/>
              <w:t xml:space="preserve">Minutes Topic </w:t>
            </w:r>
            <w:r w:rsidR="00AC4BAE" w:rsidRPr="00DE65F6">
              <w:rPr>
                <w:rFonts w:ascii="Arial" w:hAnsi="Arial" w:cs="Arial"/>
                <w:i/>
                <w:color w:val="A6A6A6" w:themeColor="background1" w:themeShade="A6"/>
                <w:sz w:val="22"/>
                <w:szCs w:val="22"/>
              </w:rPr>
              <w:t>3</w:t>
            </w:r>
          </w:p>
        </w:tc>
        <w:tc>
          <w:tcPr>
            <w:tcW w:w="4765" w:type="dxa"/>
            <w:shd w:val="clear" w:color="auto" w:fill="F2F2F2" w:themeFill="background1" w:themeFillShade="F2"/>
          </w:tcPr>
          <w:p w:rsidR="0075744F" w:rsidRPr="00DE65F6" w:rsidRDefault="00745EA1" w:rsidP="00DE65F6">
            <w:pPr>
              <w:tabs>
                <w:tab w:val="left" w:pos="0"/>
              </w:tabs>
              <w:spacing w:after="1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lastRenderedPageBreak/>
              <w:t>Army to provide their timeline for implementation of ADCs 1198 and 1198A</w:t>
            </w:r>
          </w:p>
        </w:tc>
        <w:tc>
          <w:tcPr>
            <w:tcW w:w="2041" w:type="dxa"/>
            <w:shd w:val="clear" w:color="auto" w:fill="F2F2F2" w:themeFill="background1" w:themeFillShade="F2"/>
          </w:tcPr>
          <w:p w:rsidR="00F17A44" w:rsidRPr="00DE65F6" w:rsidRDefault="00F17A44"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Army Supply</w:t>
            </w:r>
          </w:p>
        </w:tc>
        <w:tc>
          <w:tcPr>
            <w:tcW w:w="1469" w:type="dxa"/>
            <w:shd w:val="clear" w:color="auto" w:fill="F2F2F2" w:themeFill="background1" w:themeFillShade="F2"/>
          </w:tcPr>
          <w:p w:rsidR="0075744F" w:rsidRPr="00DE65F6" w:rsidRDefault="00745EA1"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19</w:t>
            </w:r>
            <w:r w:rsidR="0075744F" w:rsidRPr="00DE65F6">
              <w:rPr>
                <w:rFonts w:ascii="Arial" w:hAnsi="Arial" w:cs="Arial"/>
                <w:i/>
                <w:color w:val="A6A6A6" w:themeColor="background1" w:themeShade="A6"/>
                <w:sz w:val="22"/>
                <w:szCs w:val="22"/>
              </w:rPr>
              <w:t xml:space="preserve"> </w:t>
            </w:r>
            <w:r w:rsidRPr="00DE65F6">
              <w:rPr>
                <w:rFonts w:ascii="Arial" w:hAnsi="Arial" w:cs="Arial"/>
                <w:i/>
                <w:color w:val="A6A6A6" w:themeColor="background1" w:themeShade="A6"/>
                <w:sz w:val="22"/>
                <w:szCs w:val="22"/>
              </w:rPr>
              <w:t>Feb 2018</w:t>
            </w:r>
          </w:p>
        </w:tc>
        <w:tc>
          <w:tcPr>
            <w:tcW w:w="979" w:type="dxa"/>
            <w:shd w:val="clear" w:color="auto" w:fill="F2F2F2" w:themeFill="background1" w:themeFillShade="F2"/>
          </w:tcPr>
          <w:p w:rsidR="0075744F" w:rsidRPr="00DE65F6" w:rsidRDefault="00DE65F6" w:rsidP="00DE65F6">
            <w:pPr>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75744F" w:rsidRPr="00DE65F6" w:rsidRDefault="00F17A44"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Army SDR -</w:t>
            </w:r>
            <w:r w:rsidR="00745EA1" w:rsidRPr="00DE65F6">
              <w:rPr>
                <w:rFonts w:ascii="Arial" w:hAnsi="Arial" w:cs="Arial"/>
                <w:i/>
                <w:color w:val="A6A6A6" w:themeColor="background1" w:themeShade="A6"/>
                <w:sz w:val="22"/>
                <w:szCs w:val="22"/>
              </w:rPr>
              <w:t xml:space="preserve">Per </w:t>
            </w:r>
            <w:proofErr w:type="spellStart"/>
            <w:r w:rsidR="00745EA1" w:rsidRPr="00DE65F6">
              <w:rPr>
                <w:rFonts w:ascii="Arial" w:hAnsi="Arial" w:cs="Arial"/>
                <w:i/>
                <w:color w:val="A6A6A6" w:themeColor="background1" w:themeShade="A6"/>
                <w:sz w:val="22"/>
                <w:szCs w:val="22"/>
              </w:rPr>
              <w:t>Chenita</w:t>
            </w:r>
            <w:proofErr w:type="spellEnd"/>
            <w:r w:rsidR="00745EA1" w:rsidRPr="00DE65F6">
              <w:rPr>
                <w:rFonts w:ascii="Arial" w:hAnsi="Arial" w:cs="Arial"/>
                <w:i/>
                <w:color w:val="A6A6A6" w:themeColor="background1" w:themeShade="A6"/>
                <w:sz w:val="22"/>
                <w:szCs w:val="22"/>
              </w:rPr>
              <w:t xml:space="preserve"> Starks 11/16/17 "At the current time we </w:t>
            </w:r>
            <w:r w:rsidR="00745EA1" w:rsidRPr="00DE65F6">
              <w:rPr>
                <w:rFonts w:ascii="Arial" w:hAnsi="Arial" w:cs="Arial"/>
                <w:i/>
                <w:color w:val="A6A6A6" w:themeColor="background1" w:themeShade="A6"/>
                <w:sz w:val="22"/>
                <w:szCs w:val="22"/>
              </w:rPr>
              <w:lastRenderedPageBreak/>
              <w:t>do not have an implementation date for ADC 1198A. However ADC 1198 is set for February 2018.  In order to be in sync with DLA we are aware that we need ADC 1198A and Draft PDC 1244."</w:t>
            </w:r>
          </w:p>
          <w:p w:rsidR="00156AD7" w:rsidRPr="00DE65F6" w:rsidRDefault="00156AD7" w:rsidP="00DE65F6">
            <w:pPr>
              <w:spacing w:before="20" w:after="20"/>
              <w:rPr>
                <w:rFonts w:ascii="Arial" w:hAnsi="Arial" w:cs="Arial"/>
                <w:i/>
                <w:color w:val="A6A6A6" w:themeColor="background1" w:themeShade="A6"/>
                <w:sz w:val="22"/>
                <w:szCs w:val="22"/>
              </w:rPr>
            </w:pPr>
            <w:r w:rsidRPr="00DE65F6">
              <w:rPr>
                <w:rFonts w:ascii="Arial" w:hAnsi="Arial" w:cs="Arial"/>
                <w:i/>
                <w:color w:val="A6A6A6" w:themeColor="background1" w:themeShade="A6"/>
                <w:sz w:val="22"/>
                <w:szCs w:val="22"/>
              </w:rPr>
              <w:t xml:space="preserve">4/25/19- </w:t>
            </w:r>
            <w:proofErr w:type="spellStart"/>
            <w:r w:rsidRPr="00DE65F6">
              <w:rPr>
                <w:rFonts w:ascii="Arial" w:hAnsi="Arial" w:cs="Arial"/>
                <w:i/>
                <w:color w:val="A6A6A6" w:themeColor="background1" w:themeShade="A6"/>
                <w:sz w:val="22"/>
                <w:szCs w:val="22"/>
              </w:rPr>
              <w:t>Chenita</w:t>
            </w:r>
            <w:proofErr w:type="spellEnd"/>
            <w:r w:rsidRPr="00DE65F6">
              <w:rPr>
                <w:rFonts w:ascii="Arial" w:hAnsi="Arial" w:cs="Arial"/>
                <w:i/>
                <w:color w:val="A6A6A6" w:themeColor="background1" w:themeShade="A6"/>
                <w:sz w:val="22"/>
                <w:szCs w:val="22"/>
              </w:rPr>
              <w:t xml:space="preserve"> Starks, Army SDR - Army is slated to implement ADC 1198 and 1198A along with ADC 1244 in July 2020.  DLA has already gone live in DEC 2018 and we working with them for all trader partner testing.  </w:t>
            </w:r>
          </w:p>
        </w:tc>
      </w:tr>
      <w:tr w:rsidR="0075744F" w:rsidRPr="009E426F" w:rsidTr="00126FD6">
        <w:trPr>
          <w:cantSplit/>
        </w:trPr>
        <w:tc>
          <w:tcPr>
            <w:tcW w:w="720" w:type="dxa"/>
            <w:shd w:val="clear" w:color="auto" w:fill="F2F2F2" w:themeFill="background1" w:themeFillShade="F2"/>
          </w:tcPr>
          <w:p w:rsidR="0075744F" w:rsidRPr="00126FD6" w:rsidRDefault="0075744F" w:rsidP="00DE65F6">
            <w:pPr>
              <w:pStyle w:val="ListParagraph"/>
              <w:numPr>
                <w:ilvl w:val="0"/>
                <w:numId w:val="19"/>
              </w:numPr>
              <w:spacing w:before="20" w:after="20"/>
              <w:jc w:val="center"/>
              <w:rPr>
                <w:rFonts w:ascii="Arial" w:hAnsi="Arial" w:cs="Arial"/>
                <w:b/>
                <w:i/>
                <w:color w:val="A6A6A6" w:themeColor="background1" w:themeShade="A6"/>
              </w:rPr>
            </w:pPr>
            <w:r w:rsidRPr="00126FD6">
              <w:rPr>
                <w:rFonts w:ascii="Arial" w:hAnsi="Arial" w:cs="Arial"/>
                <w:b/>
                <w:i/>
                <w:color w:val="A6A6A6" w:themeColor="background1" w:themeShade="A6"/>
              </w:rPr>
              <w:lastRenderedPageBreak/>
              <w:t>4</w:t>
            </w:r>
          </w:p>
        </w:tc>
        <w:tc>
          <w:tcPr>
            <w:tcW w:w="1440" w:type="dxa"/>
            <w:shd w:val="clear" w:color="auto" w:fill="F2F2F2" w:themeFill="background1" w:themeFillShade="F2"/>
          </w:tcPr>
          <w:p w:rsidR="0075744F" w:rsidRPr="00126FD6" w:rsidRDefault="0075744F"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Joint PRC 17-2 Minutes Topic </w:t>
            </w:r>
            <w:r w:rsidR="00FE3F9B" w:rsidRPr="00126FD6">
              <w:rPr>
                <w:rFonts w:ascii="Arial" w:hAnsi="Arial" w:cs="Arial"/>
                <w:i/>
                <w:color w:val="A6A6A6" w:themeColor="background1" w:themeShade="A6"/>
                <w:sz w:val="22"/>
                <w:szCs w:val="22"/>
              </w:rPr>
              <w:t>4</w:t>
            </w:r>
          </w:p>
        </w:tc>
        <w:tc>
          <w:tcPr>
            <w:tcW w:w="4765" w:type="dxa"/>
            <w:shd w:val="clear" w:color="auto" w:fill="F2F2F2" w:themeFill="background1" w:themeFillShade="F2"/>
          </w:tcPr>
          <w:p w:rsidR="0075744F" w:rsidRPr="00126FD6" w:rsidRDefault="004B3832"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Components to review their systems and determine if receiving transactions out of sequence is a concern. If determined to be a concern, Components to provide a possible course of action.</w:t>
            </w:r>
          </w:p>
        </w:tc>
        <w:tc>
          <w:tcPr>
            <w:tcW w:w="2041" w:type="dxa"/>
            <w:shd w:val="clear" w:color="auto" w:fill="F2F2F2" w:themeFill="background1" w:themeFillShade="F2"/>
          </w:tcPr>
          <w:p w:rsidR="0075744F" w:rsidRPr="00126FD6" w:rsidRDefault="00B145B6"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Components</w:t>
            </w:r>
            <w:r w:rsidR="00582912" w:rsidRPr="00126FD6">
              <w:rPr>
                <w:rFonts w:ascii="Arial" w:hAnsi="Arial" w:cs="Arial"/>
                <w:i/>
                <w:color w:val="A6A6A6" w:themeColor="background1" w:themeShade="A6"/>
                <w:sz w:val="22"/>
                <w:szCs w:val="22"/>
              </w:rPr>
              <w:t xml:space="preserve"> </w:t>
            </w:r>
            <w:r w:rsidR="00582912" w:rsidRPr="00126FD6">
              <w:rPr>
                <w:rFonts w:ascii="Arial" w:hAnsi="Arial" w:cs="Arial"/>
                <w:i/>
                <w:strike/>
                <w:color w:val="A6A6A6" w:themeColor="background1" w:themeShade="A6"/>
                <w:sz w:val="22"/>
                <w:szCs w:val="22"/>
              </w:rPr>
              <w:t>DLA</w:t>
            </w:r>
          </w:p>
        </w:tc>
        <w:tc>
          <w:tcPr>
            <w:tcW w:w="1469" w:type="dxa"/>
            <w:shd w:val="clear" w:color="auto" w:fill="F2F2F2" w:themeFill="background1" w:themeFillShade="F2"/>
          </w:tcPr>
          <w:p w:rsidR="0075744F" w:rsidRPr="00126FD6" w:rsidRDefault="008118DA"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19 Feb 2018</w:t>
            </w:r>
          </w:p>
        </w:tc>
        <w:tc>
          <w:tcPr>
            <w:tcW w:w="979" w:type="dxa"/>
            <w:shd w:val="clear" w:color="auto" w:fill="F2F2F2" w:themeFill="background1" w:themeFillShade="F2"/>
          </w:tcPr>
          <w:p w:rsidR="0075744F" w:rsidRPr="00126FD6" w:rsidRDefault="00126FD6" w:rsidP="00DE65F6">
            <w:pPr>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582912" w:rsidRPr="00126FD6" w:rsidRDefault="00582912" w:rsidP="00DE65F6">
            <w:pPr>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DLA TQ;</w:t>
            </w:r>
            <w:r w:rsidRPr="00126FD6">
              <w:rPr>
                <w:i/>
                <w:color w:val="A6A6A6" w:themeColor="background1" w:themeShade="A6"/>
              </w:rPr>
              <w:t xml:space="preserve"> </w:t>
            </w:r>
            <w:r w:rsidRPr="00126FD6">
              <w:rPr>
                <w:rFonts w:ascii="Arial" w:hAnsi="Arial" w:cs="Arial"/>
                <w:i/>
                <w:color w:val="A6A6A6" w:themeColor="background1" w:themeShade="A6"/>
                <w:sz w:val="22"/>
                <w:szCs w:val="22"/>
              </w:rPr>
              <w:t>EBS doesn’t have any issues with out of sync transactions.  I don’t believe this will have any impact on DSS as they are the generator of the discrepancy reports. April 26, 2018.</w:t>
            </w:r>
          </w:p>
          <w:p w:rsidR="0075744F" w:rsidRPr="00126FD6" w:rsidRDefault="00582912" w:rsidP="00DE65F6">
            <w:pPr>
              <w:spacing w:before="20" w:after="20"/>
              <w:rPr>
                <w:rFonts w:ascii="Arial" w:hAnsi="Arial" w:cs="Arial"/>
                <w:i/>
                <w:color w:val="A6A6A6" w:themeColor="background1" w:themeShade="A6"/>
                <w:sz w:val="22"/>
                <w:szCs w:val="22"/>
              </w:rPr>
            </w:pPr>
            <w:r w:rsidRPr="00126FD6">
              <w:rPr>
                <w:rFonts w:ascii="Arial" w:hAnsi="Arial" w:cs="Arial"/>
                <w:i/>
                <w:color w:val="A6A6A6" w:themeColor="background1" w:themeShade="A6"/>
                <w:sz w:val="22"/>
                <w:szCs w:val="22"/>
              </w:rPr>
              <w:t xml:space="preserve"> </w:t>
            </w:r>
          </w:p>
        </w:tc>
      </w:tr>
      <w:tr w:rsidR="0075744F" w:rsidRPr="009E426F" w:rsidTr="006C35FD">
        <w:trPr>
          <w:cantSplit/>
        </w:trPr>
        <w:tc>
          <w:tcPr>
            <w:tcW w:w="720" w:type="dxa"/>
            <w:shd w:val="clear" w:color="auto" w:fill="F2F2F2" w:themeFill="background1" w:themeFillShade="F2"/>
          </w:tcPr>
          <w:p w:rsidR="0075744F" w:rsidRPr="006C35FD" w:rsidRDefault="0075744F" w:rsidP="00DE65F6">
            <w:pPr>
              <w:pStyle w:val="ListParagraph"/>
              <w:numPr>
                <w:ilvl w:val="0"/>
                <w:numId w:val="19"/>
              </w:numPr>
              <w:spacing w:before="20" w:after="20"/>
              <w:jc w:val="center"/>
              <w:rPr>
                <w:rFonts w:ascii="Arial" w:hAnsi="Arial" w:cs="Arial"/>
                <w:b/>
                <w:i/>
                <w:color w:val="A6A6A6" w:themeColor="background1" w:themeShade="A6"/>
              </w:rPr>
            </w:pPr>
            <w:r w:rsidRPr="006C35FD">
              <w:rPr>
                <w:rFonts w:ascii="Arial" w:hAnsi="Arial" w:cs="Arial"/>
                <w:b/>
                <w:i/>
                <w:color w:val="A6A6A6" w:themeColor="background1" w:themeShade="A6"/>
              </w:rPr>
              <w:t>5</w:t>
            </w:r>
          </w:p>
        </w:tc>
        <w:tc>
          <w:tcPr>
            <w:tcW w:w="1440" w:type="dxa"/>
            <w:shd w:val="clear" w:color="auto" w:fill="F2F2F2" w:themeFill="background1" w:themeFillShade="F2"/>
          </w:tcPr>
          <w:p w:rsidR="0075744F" w:rsidRPr="006C35FD" w:rsidRDefault="0075744F" w:rsidP="00DE65F6">
            <w:pPr>
              <w:spacing w:before="20" w:after="20"/>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 xml:space="preserve">Joint PRC 17-2 Minutes Topic </w:t>
            </w:r>
            <w:r w:rsidR="00DE1D1C" w:rsidRPr="006C35FD">
              <w:rPr>
                <w:rFonts w:ascii="Arial" w:hAnsi="Arial" w:cs="Arial"/>
                <w:i/>
                <w:color w:val="A6A6A6" w:themeColor="background1" w:themeShade="A6"/>
                <w:sz w:val="22"/>
                <w:szCs w:val="22"/>
              </w:rPr>
              <w:t>5</w:t>
            </w:r>
            <w:r w:rsidRPr="006C35FD">
              <w:rPr>
                <w:rFonts w:ascii="Arial" w:hAnsi="Arial" w:cs="Arial"/>
                <w:i/>
                <w:color w:val="A6A6A6" w:themeColor="background1" w:themeShade="A6"/>
                <w:sz w:val="22"/>
                <w:szCs w:val="22"/>
              </w:rPr>
              <w:t xml:space="preserve"> </w:t>
            </w:r>
          </w:p>
        </w:tc>
        <w:tc>
          <w:tcPr>
            <w:tcW w:w="4765" w:type="dxa"/>
            <w:shd w:val="clear" w:color="auto" w:fill="F2F2F2" w:themeFill="background1" w:themeFillShade="F2"/>
          </w:tcPr>
          <w:p w:rsidR="0075744F" w:rsidRPr="006C35FD" w:rsidRDefault="002009D1" w:rsidP="00DE65F6">
            <w:pPr>
              <w:spacing w:before="20" w:after="20"/>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 xml:space="preserve">Army, Air Force, and Marine Corps to provide </w:t>
            </w:r>
            <w:bookmarkStart w:id="0" w:name="_GoBack"/>
            <w:bookmarkEnd w:id="0"/>
            <w:r w:rsidRPr="006C35FD">
              <w:rPr>
                <w:rFonts w:ascii="Arial" w:hAnsi="Arial" w:cs="Arial"/>
                <w:i/>
                <w:color w:val="A6A6A6" w:themeColor="background1" w:themeShade="A6"/>
                <w:sz w:val="22"/>
                <w:szCs w:val="22"/>
              </w:rPr>
              <w:t>an update on their use of the MRA Tool.</w:t>
            </w:r>
          </w:p>
        </w:tc>
        <w:tc>
          <w:tcPr>
            <w:tcW w:w="2041" w:type="dxa"/>
            <w:shd w:val="clear" w:color="auto" w:fill="F2F2F2" w:themeFill="background1" w:themeFillShade="F2"/>
          </w:tcPr>
          <w:p w:rsidR="0075744F" w:rsidRPr="006C35FD" w:rsidRDefault="002009D1" w:rsidP="00DE65F6">
            <w:pPr>
              <w:spacing w:before="20" w:after="20"/>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Army, Air Force, and Marine Corps</w:t>
            </w:r>
          </w:p>
        </w:tc>
        <w:tc>
          <w:tcPr>
            <w:tcW w:w="1469" w:type="dxa"/>
            <w:shd w:val="clear" w:color="auto" w:fill="F2F2F2" w:themeFill="background1" w:themeFillShade="F2"/>
          </w:tcPr>
          <w:p w:rsidR="0075744F" w:rsidRPr="006C35FD" w:rsidRDefault="008118DA" w:rsidP="00DE65F6">
            <w:pPr>
              <w:spacing w:before="20" w:after="20"/>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19 Feb 2018</w:t>
            </w:r>
          </w:p>
        </w:tc>
        <w:tc>
          <w:tcPr>
            <w:tcW w:w="979" w:type="dxa"/>
            <w:shd w:val="clear" w:color="auto" w:fill="F2F2F2" w:themeFill="background1" w:themeFillShade="F2"/>
          </w:tcPr>
          <w:p w:rsidR="0075744F" w:rsidRPr="006C35FD" w:rsidRDefault="006C35FD" w:rsidP="00DE65F6">
            <w:pPr>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Closed</w:t>
            </w:r>
          </w:p>
        </w:tc>
        <w:tc>
          <w:tcPr>
            <w:tcW w:w="3454" w:type="dxa"/>
            <w:shd w:val="clear" w:color="auto" w:fill="F2F2F2" w:themeFill="background1" w:themeFillShade="F2"/>
          </w:tcPr>
          <w:p w:rsidR="0075744F" w:rsidRPr="006C35FD" w:rsidRDefault="006C35FD" w:rsidP="00DE65F6">
            <w:pPr>
              <w:spacing w:before="20" w:after="20"/>
              <w:rPr>
                <w:rFonts w:ascii="Arial" w:hAnsi="Arial" w:cs="Arial"/>
                <w:i/>
                <w:color w:val="A6A6A6" w:themeColor="background1" w:themeShade="A6"/>
                <w:sz w:val="22"/>
                <w:szCs w:val="22"/>
              </w:rPr>
            </w:pPr>
            <w:r w:rsidRPr="006C35FD">
              <w:rPr>
                <w:rFonts w:ascii="Arial" w:hAnsi="Arial" w:cs="Arial"/>
                <w:i/>
                <w:color w:val="A6A6A6" w:themeColor="background1" w:themeShade="A6"/>
                <w:sz w:val="22"/>
                <w:szCs w:val="22"/>
              </w:rPr>
              <w:t>No response.</w:t>
            </w:r>
          </w:p>
        </w:tc>
      </w:tr>
      <w:tr w:rsidR="0075744F" w:rsidRPr="009E426F" w:rsidTr="00126FD6">
        <w:trPr>
          <w:cantSplit/>
        </w:trPr>
        <w:tc>
          <w:tcPr>
            <w:tcW w:w="720" w:type="dxa"/>
            <w:shd w:val="clear" w:color="auto" w:fill="F2F2F2" w:themeFill="background1" w:themeFillShade="F2"/>
          </w:tcPr>
          <w:p w:rsidR="0075744F" w:rsidRPr="00DD233C" w:rsidRDefault="0075744F" w:rsidP="00DE65F6">
            <w:pPr>
              <w:pStyle w:val="ListParagraph"/>
              <w:numPr>
                <w:ilvl w:val="0"/>
                <w:numId w:val="19"/>
              </w:numPr>
              <w:spacing w:before="20" w:after="20"/>
              <w:jc w:val="center"/>
              <w:rPr>
                <w:rFonts w:ascii="Arial" w:hAnsi="Arial" w:cs="Arial"/>
                <w:b/>
                <w:color w:val="808080" w:themeColor="background1" w:themeShade="80"/>
              </w:rPr>
            </w:pPr>
            <w:r w:rsidRPr="00DD233C">
              <w:rPr>
                <w:rFonts w:ascii="Arial" w:hAnsi="Arial" w:cs="Arial"/>
                <w:b/>
                <w:color w:val="808080" w:themeColor="background1" w:themeShade="80"/>
              </w:rPr>
              <w:t>6</w:t>
            </w:r>
          </w:p>
        </w:tc>
        <w:tc>
          <w:tcPr>
            <w:tcW w:w="1440" w:type="dxa"/>
            <w:shd w:val="clear" w:color="auto" w:fill="F2F2F2" w:themeFill="background1" w:themeFillShade="F2"/>
          </w:tcPr>
          <w:p w:rsidR="0075744F" w:rsidRPr="00DD233C" w:rsidRDefault="0075744F" w:rsidP="00DE65F6">
            <w:pPr>
              <w:spacing w:before="20" w:after="20"/>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 xml:space="preserve">Joint PRC 17-2 Minutes Topic </w:t>
            </w:r>
            <w:r w:rsidR="00EA6A87" w:rsidRPr="00DD233C">
              <w:rPr>
                <w:rFonts w:ascii="Arial" w:hAnsi="Arial" w:cs="Arial"/>
                <w:i/>
                <w:color w:val="808080" w:themeColor="background1" w:themeShade="80"/>
                <w:sz w:val="22"/>
                <w:szCs w:val="22"/>
              </w:rPr>
              <w:t>7</w:t>
            </w:r>
            <w:r w:rsidRPr="00DD233C">
              <w:rPr>
                <w:rFonts w:ascii="Arial" w:hAnsi="Arial" w:cs="Arial"/>
                <w:i/>
                <w:color w:val="808080" w:themeColor="background1" w:themeShade="80"/>
                <w:sz w:val="22"/>
                <w:szCs w:val="22"/>
              </w:rPr>
              <w:t xml:space="preserve"> </w:t>
            </w:r>
          </w:p>
        </w:tc>
        <w:tc>
          <w:tcPr>
            <w:tcW w:w="4765" w:type="dxa"/>
            <w:shd w:val="clear" w:color="auto" w:fill="F2F2F2" w:themeFill="background1" w:themeFillShade="F2"/>
          </w:tcPr>
          <w:p w:rsidR="0075744F" w:rsidRPr="00DD233C" w:rsidRDefault="004A77E3" w:rsidP="00DE65F6">
            <w:pPr>
              <w:tabs>
                <w:tab w:val="left" w:pos="0"/>
              </w:tabs>
              <w:spacing w:after="120"/>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DLA TQ to provide suspended metrics by locations to Mr. Moslak (Navy).</w:t>
            </w:r>
          </w:p>
        </w:tc>
        <w:tc>
          <w:tcPr>
            <w:tcW w:w="2041" w:type="dxa"/>
            <w:shd w:val="clear" w:color="auto" w:fill="F2F2F2" w:themeFill="background1" w:themeFillShade="F2"/>
          </w:tcPr>
          <w:p w:rsidR="0075744F" w:rsidRPr="00DD233C" w:rsidRDefault="004A77E3" w:rsidP="00DE65F6">
            <w:pPr>
              <w:spacing w:before="20" w:after="20"/>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DLA TQ</w:t>
            </w:r>
          </w:p>
        </w:tc>
        <w:tc>
          <w:tcPr>
            <w:tcW w:w="1469" w:type="dxa"/>
            <w:shd w:val="clear" w:color="auto" w:fill="F2F2F2" w:themeFill="background1" w:themeFillShade="F2"/>
          </w:tcPr>
          <w:p w:rsidR="0075744F" w:rsidRPr="00DD233C" w:rsidRDefault="008118DA" w:rsidP="00DE65F6">
            <w:pPr>
              <w:spacing w:before="20" w:after="20"/>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19 Feb 2018</w:t>
            </w:r>
          </w:p>
        </w:tc>
        <w:tc>
          <w:tcPr>
            <w:tcW w:w="979" w:type="dxa"/>
            <w:shd w:val="clear" w:color="auto" w:fill="F2F2F2" w:themeFill="background1" w:themeFillShade="F2"/>
          </w:tcPr>
          <w:p w:rsidR="0075744F" w:rsidRPr="00DD233C" w:rsidRDefault="00DD233C" w:rsidP="00DE65F6">
            <w:pPr>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Closed</w:t>
            </w:r>
          </w:p>
        </w:tc>
        <w:tc>
          <w:tcPr>
            <w:tcW w:w="3454" w:type="dxa"/>
            <w:shd w:val="clear" w:color="auto" w:fill="F2F2F2" w:themeFill="background1" w:themeFillShade="F2"/>
          </w:tcPr>
          <w:p w:rsidR="0075744F" w:rsidRDefault="00DD233C" w:rsidP="00DE65F6">
            <w:pPr>
              <w:spacing w:before="20" w:after="20"/>
              <w:rPr>
                <w:rFonts w:ascii="Arial" w:hAnsi="Arial" w:cs="Arial"/>
                <w:i/>
                <w:color w:val="808080" w:themeColor="background1" w:themeShade="80"/>
                <w:sz w:val="22"/>
                <w:szCs w:val="22"/>
              </w:rPr>
            </w:pPr>
            <w:r w:rsidRPr="00DD233C">
              <w:rPr>
                <w:rFonts w:ascii="Arial" w:hAnsi="Arial" w:cs="Arial"/>
                <w:i/>
                <w:color w:val="808080" w:themeColor="background1" w:themeShade="80"/>
                <w:sz w:val="22"/>
                <w:szCs w:val="22"/>
              </w:rPr>
              <w:t>Michael Sherwood has replaced Tom Moslak as Navy SDR Primary Representative.</w:t>
            </w:r>
          </w:p>
          <w:p w:rsidR="004E34D3" w:rsidRPr="00DD233C" w:rsidRDefault="004E34D3" w:rsidP="00DE65F6">
            <w:pPr>
              <w:spacing w:before="20" w:after="20"/>
              <w:rPr>
                <w:rFonts w:ascii="Arial" w:hAnsi="Arial" w:cs="Arial"/>
                <w:i/>
                <w:color w:val="808080" w:themeColor="background1" w:themeShade="80"/>
                <w:sz w:val="22"/>
                <w:szCs w:val="22"/>
              </w:rPr>
            </w:pPr>
            <w:r>
              <w:rPr>
                <w:rFonts w:ascii="Arial" w:hAnsi="Arial" w:cs="Arial"/>
                <w:i/>
                <w:color w:val="808080" w:themeColor="background1" w:themeShade="80"/>
                <w:sz w:val="22"/>
                <w:szCs w:val="22"/>
              </w:rPr>
              <w:t xml:space="preserve">DLA TQ IPT </w:t>
            </w:r>
          </w:p>
        </w:tc>
      </w:tr>
      <w:tr w:rsidR="0075744F" w:rsidRPr="009E426F" w:rsidTr="00DE65F6">
        <w:trPr>
          <w:cantSplit/>
        </w:trPr>
        <w:tc>
          <w:tcPr>
            <w:tcW w:w="720" w:type="dxa"/>
            <w:shd w:val="clear" w:color="auto" w:fill="FFFFFF" w:themeFill="background1"/>
          </w:tcPr>
          <w:p w:rsidR="0075744F" w:rsidRPr="0008067D" w:rsidRDefault="0075744F" w:rsidP="00DE65F6">
            <w:pPr>
              <w:pStyle w:val="ListParagraph"/>
              <w:numPr>
                <w:ilvl w:val="0"/>
                <w:numId w:val="19"/>
              </w:numPr>
              <w:spacing w:before="20" w:after="20"/>
              <w:jc w:val="center"/>
              <w:rPr>
                <w:rFonts w:ascii="Arial" w:hAnsi="Arial" w:cs="Arial"/>
                <w:b/>
                <w:i/>
              </w:rPr>
            </w:pPr>
            <w:r w:rsidRPr="0008067D">
              <w:rPr>
                <w:rFonts w:ascii="Arial" w:hAnsi="Arial" w:cs="Arial"/>
                <w:b/>
                <w:i/>
              </w:rPr>
              <w:t>7</w:t>
            </w:r>
          </w:p>
        </w:tc>
        <w:tc>
          <w:tcPr>
            <w:tcW w:w="1440" w:type="dxa"/>
          </w:tcPr>
          <w:p w:rsidR="0075744F" w:rsidRPr="0008067D" w:rsidRDefault="0075744F" w:rsidP="00DE65F6">
            <w:pPr>
              <w:spacing w:before="20" w:after="20"/>
              <w:rPr>
                <w:rFonts w:ascii="Arial" w:hAnsi="Arial" w:cs="Arial"/>
                <w:i/>
                <w:sz w:val="22"/>
                <w:szCs w:val="22"/>
              </w:rPr>
            </w:pPr>
            <w:r w:rsidRPr="0008067D">
              <w:rPr>
                <w:rFonts w:ascii="Arial" w:hAnsi="Arial" w:cs="Arial"/>
                <w:i/>
                <w:sz w:val="22"/>
                <w:szCs w:val="22"/>
              </w:rPr>
              <w:t xml:space="preserve">Joint PRC 17-2 </w:t>
            </w:r>
            <w:r w:rsidRPr="0008067D">
              <w:rPr>
                <w:rFonts w:ascii="Arial" w:hAnsi="Arial" w:cs="Arial"/>
                <w:i/>
                <w:sz w:val="22"/>
                <w:szCs w:val="22"/>
              </w:rPr>
              <w:lastRenderedPageBreak/>
              <w:t xml:space="preserve">Minutes Topic </w:t>
            </w:r>
            <w:r w:rsidR="00EA6A87" w:rsidRPr="0008067D">
              <w:rPr>
                <w:rFonts w:ascii="Arial" w:hAnsi="Arial" w:cs="Arial"/>
                <w:i/>
                <w:sz w:val="22"/>
                <w:szCs w:val="22"/>
              </w:rPr>
              <w:t>7</w:t>
            </w:r>
          </w:p>
        </w:tc>
        <w:tc>
          <w:tcPr>
            <w:tcW w:w="4765" w:type="dxa"/>
          </w:tcPr>
          <w:p w:rsidR="0075744F" w:rsidRPr="0008067D" w:rsidRDefault="00EA6A87" w:rsidP="00DE65F6">
            <w:pPr>
              <w:tabs>
                <w:tab w:val="left" w:pos="0"/>
              </w:tabs>
              <w:spacing w:after="120"/>
              <w:rPr>
                <w:rFonts w:ascii="Arial" w:hAnsi="Arial" w:cs="Arial"/>
                <w:i/>
              </w:rPr>
            </w:pPr>
            <w:r w:rsidRPr="0008067D">
              <w:rPr>
                <w:rFonts w:ascii="Arial" w:hAnsi="Arial" w:cs="Arial"/>
                <w:i/>
                <w:sz w:val="22"/>
                <w:szCs w:val="22"/>
              </w:rPr>
              <w:lastRenderedPageBreak/>
              <w:t>DLA TQ to develop new PDC that will add the photo attachment enhancement to the DLMS SQCR transaction functionality.</w:t>
            </w:r>
          </w:p>
        </w:tc>
        <w:tc>
          <w:tcPr>
            <w:tcW w:w="2041" w:type="dxa"/>
          </w:tcPr>
          <w:p w:rsidR="0075744F" w:rsidRPr="0008067D" w:rsidRDefault="00EA6A87" w:rsidP="00DE65F6">
            <w:pPr>
              <w:spacing w:before="20" w:after="20"/>
              <w:rPr>
                <w:rFonts w:ascii="Arial" w:hAnsi="Arial" w:cs="Arial"/>
                <w:i/>
                <w:sz w:val="22"/>
                <w:szCs w:val="22"/>
              </w:rPr>
            </w:pPr>
            <w:r w:rsidRPr="0008067D">
              <w:rPr>
                <w:rFonts w:ascii="Arial" w:hAnsi="Arial" w:cs="Arial"/>
                <w:i/>
                <w:sz w:val="22"/>
                <w:szCs w:val="22"/>
              </w:rPr>
              <w:t>DLA TQ</w:t>
            </w:r>
          </w:p>
        </w:tc>
        <w:tc>
          <w:tcPr>
            <w:tcW w:w="1469" w:type="dxa"/>
          </w:tcPr>
          <w:p w:rsidR="0075744F" w:rsidRPr="0008067D" w:rsidRDefault="0075744F" w:rsidP="00DE65F6">
            <w:pPr>
              <w:spacing w:before="20" w:after="20"/>
              <w:rPr>
                <w:rFonts w:ascii="Arial" w:hAnsi="Arial" w:cs="Arial"/>
                <w:i/>
                <w:sz w:val="22"/>
                <w:szCs w:val="22"/>
              </w:rPr>
            </w:pPr>
            <w:r w:rsidRPr="0008067D">
              <w:rPr>
                <w:rFonts w:ascii="Arial" w:hAnsi="Arial" w:cs="Arial"/>
                <w:i/>
                <w:sz w:val="22"/>
                <w:szCs w:val="22"/>
              </w:rPr>
              <w:t>17 Dec 2017</w:t>
            </w:r>
          </w:p>
        </w:tc>
        <w:tc>
          <w:tcPr>
            <w:tcW w:w="979" w:type="dxa"/>
            <w:shd w:val="clear" w:color="auto" w:fill="FFFFFF" w:themeFill="background1"/>
          </w:tcPr>
          <w:p w:rsidR="0075744F" w:rsidRPr="0008067D" w:rsidRDefault="0008067D" w:rsidP="00DE65F6">
            <w:pPr>
              <w:rPr>
                <w:rFonts w:ascii="Arial" w:hAnsi="Arial" w:cs="Arial"/>
                <w:i/>
                <w:sz w:val="22"/>
                <w:szCs w:val="22"/>
              </w:rPr>
            </w:pPr>
            <w:r w:rsidRPr="0008067D">
              <w:rPr>
                <w:rFonts w:ascii="Arial" w:hAnsi="Arial" w:cs="Arial"/>
                <w:i/>
                <w:sz w:val="22"/>
                <w:szCs w:val="22"/>
              </w:rPr>
              <w:t>On Hold at DLA</w:t>
            </w:r>
          </w:p>
        </w:tc>
        <w:tc>
          <w:tcPr>
            <w:tcW w:w="3454" w:type="dxa"/>
          </w:tcPr>
          <w:p w:rsidR="0075744F" w:rsidRPr="0008067D" w:rsidRDefault="0008067D" w:rsidP="00DE65F6">
            <w:pPr>
              <w:spacing w:before="20" w:after="20"/>
              <w:rPr>
                <w:rFonts w:ascii="Arial" w:hAnsi="Arial" w:cs="Arial"/>
                <w:i/>
                <w:sz w:val="22"/>
                <w:szCs w:val="22"/>
              </w:rPr>
            </w:pPr>
            <w:r w:rsidRPr="0008067D">
              <w:rPr>
                <w:rFonts w:ascii="Arial" w:hAnsi="Arial" w:cs="Arial"/>
                <w:i/>
                <w:sz w:val="22"/>
                <w:szCs w:val="22"/>
              </w:rPr>
              <w:t xml:space="preserve">DLA TQ:  This action item or topic is on hold until a decision is made on whether DLA EBS will utilize the WMS SAP system or </w:t>
            </w:r>
            <w:r w:rsidRPr="0008067D">
              <w:rPr>
                <w:rFonts w:ascii="Arial" w:hAnsi="Arial" w:cs="Arial"/>
                <w:i/>
                <w:sz w:val="22"/>
                <w:szCs w:val="22"/>
              </w:rPr>
              <w:lastRenderedPageBreak/>
              <w:t>continue to develop WEBSQCR/WEBSS via the DAAS team. We are in discussions now with J6 and SAP to determine the future of SDRs and SQCRs for DLA.</w:t>
            </w:r>
          </w:p>
        </w:tc>
      </w:tr>
      <w:tr w:rsidR="0075744F" w:rsidRPr="009E426F" w:rsidTr="00DE65F6">
        <w:trPr>
          <w:cantSplit/>
        </w:trPr>
        <w:tc>
          <w:tcPr>
            <w:tcW w:w="720" w:type="dxa"/>
            <w:shd w:val="clear" w:color="auto" w:fill="D9D9D9" w:themeFill="background1" w:themeFillShade="D9"/>
          </w:tcPr>
          <w:p w:rsidR="0075744F" w:rsidRPr="00D10085" w:rsidRDefault="0075744F" w:rsidP="00DE65F6">
            <w:pPr>
              <w:pStyle w:val="ListParagraph"/>
              <w:numPr>
                <w:ilvl w:val="0"/>
                <w:numId w:val="19"/>
              </w:numPr>
              <w:spacing w:before="20" w:after="20"/>
              <w:jc w:val="center"/>
              <w:rPr>
                <w:rFonts w:ascii="Arial" w:hAnsi="Arial" w:cs="Arial"/>
                <w:b/>
              </w:rPr>
            </w:pPr>
            <w:r w:rsidRPr="00D10085">
              <w:rPr>
                <w:rFonts w:ascii="Arial" w:hAnsi="Arial" w:cs="Arial"/>
                <w:b/>
              </w:rPr>
              <w:lastRenderedPageBreak/>
              <w:t>8</w:t>
            </w:r>
          </w:p>
        </w:tc>
        <w:tc>
          <w:tcPr>
            <w:tcW w:w="1440" w:type="dxa"/>
            <w:shd w:val="clear" w:color="auto" w:fill="D9D9D9" w:themeFill="background1" w:themeFillShade="D9"/>
          </w:tcPr>
          <w:p w:rsidR="0075744F" w:rsidRPr="007E16DC" w:rsidRDefault="0075744F" w:rsidP="00DE65F6">
            <w:pPr>
              <w:spacing w:before="20" w:after="20"/>
              <w:rPr>
                <w:rFonts w:ascii="Arial" w:hAnsi="Arial" w:cs="Arial"/>
                <w:i/>
                <w:color w:val="808080" w:themeColor="background1" w:themeShade="80"/>
                <w:sz w:val="22"/>
                <w:szCs w:val="22"/>
              </w:rPr>
            </w:pPr>
            <w:r w:rsidRPr="007E16DC">
              <w:rPr>
                <w:rFonts w:ascii="Arial" w:hAnsi="Arial" w:cs="Arial"/>
                <w:i/>
                <w:color w:val="808080" w:themeColor="background1" w:themeShade="80"/>
                <w:sz w:val="22"/>
                <w:szCs w:val="22"/>
              </w:rPr>
              <w:t>Joint PRC 17-2 Minutes Topic 7</w:t>
            </w:r>
          </w:p>
        </w:tc>
        <w:tc>
          <w:tcPr>
            <w:tcW w:w="4765" w:type="dxa"/>
            <w:shd w:val="clear" w:color="auto" w:fill="D9D9D9" w:themeFill="background1" w:themeFillShade="D9"/>
          </w:tcPr>
          <w:p w:rsidR="0075744F" w:rsidRPr="007E16DC" w:rsidRDefault="00AA6D58" w:rsidP="00DE65F6">
            <w:pPr>
              <w:tabs>
                <w:tab w:val="left" w:pos="0"/>
              </w:tabs>
              <w:spacing w:after="120"/>
              <w:rPr>
                <w:rFonts w:ascii="Arial" w:hAnsi="Arial" w:cs="Arial"/>
                <w:i/>
                <w:color w:val="808080" w:themeColor="background1" w:themeShade="80"/>
              </w:rPr>
            </w:pPr>
            <w:r w:rsidRPr="007E16DC">
              <w:rPr>
                <w:rFonts w:ascii="Arial" w:hAnsi="Arial" w:cs="Arial"/>
                <w:i/>
                <w:color w:val="808080" w:themeColor="background1" w:themeShade="80"/>
                <w:sz w:val="22"/>
                <w:szCs w:val="22"/>
              </w:rPr>
              <w:t>DLA to provide Kim Paumer and EBSO feedback on DLA resolution of Army FMS SDR with Action Code 3B. EBSO to review DLMS procedures to ensure requirements for review and appropriate action is documented.</w:t>
            </w:r>
          </w:p>
        </w:tc>
        <w:tc>
          <w:tcPr>
            <w:tcW w:w="2041" w:type="dxa"/>
            <w:shd w:val="clear" w:color="auto" w:fill="D9D9D9" w:themeFill="background1" w:themeFillShade="D9"/>
          </w:tcPr>
          <w:p w:rsidR="0075744F" w:rsidRPr="007E16DC" w:rsidRDefault="00AA6D58" w:rsidP="00DE65F6">
            <w:pPr>
              <w:spacing w:before="20" w:after="20"/>
              <w:rPr>
                <w:rFonts w:ascii="Arial" w:hAnsi="Arial" w:cs="Arial"/>
                <w:i/>
                <w:color w:val="808080" w:themeColor="background1" w:themeShade="80"/>
                <w:sz w:val="22"/>
                <w:szCs w:val="22"/>
              </w:rPr>
            </w:pPr>
            <w:r w:rsidRPr="007E16DC">
              <w:rPr>
                <w:rFonts w:ascii="Arial" w:hAnsi="Arial" w:cs="Arial"/>
                <w:i/>
                <w:color w:val="808080" w:themeColor="background1" w:themeShade="80"/>
                <w:sz w:val="22"/>
                <w:szCs w:val="22"/>
              </w:rPr>
              <w:t>DLA/EBSO</w:t>
            </w:r>
          </w:p>
        </w:tc>
        <w:tc>
          <w:tcPr>
            <w:tcW w:w="1469" w:type="dxa"/>
            <w:shd w:val="clear" w:color="auto" w:fill="D9D9D9" w:themeFill="background1" w:themeFillShade="D9"/>
          </w:tcPr>
          <w:p w:rsidR="0075744F" w:rsidRPr="007E16DC" w:rsidRDefault="0075744F" w:rsidP="00DE65F6">
            <w:pPr>
              <w:spacing w:before="20" w:after="20"/>
              <w:rPr>
                <w:rFonts w:ascii="Arial" w:hAnsi="Arial" w:cs="Arial"/>
                <w:i/>
                <w:color w:val="808080" w:themeColor="background1" w:themeShade="80"/>
                <w:sz w:val="22"/>
                <w:szCs w:val="22"/>
              </w:rPr>
            </w:pPr>
            <w:r w:rsidRPr="007E16DC">
              <w:rPr>
                <w:rFonts w:ascii="Arial" w:hAnsi="Arial" w:cs="Arial"/>
                <w:i/>
                <w:color w:val="808080" w:themeColor="background1" w:themeShade="80"/>
                <w:sz w:val="22"/>
                <w:szCs w:val="22"/>
              </w:rPr>
              <w:t>17 Dec 2017</w:t>
            </w:r>
          </w:p>
        </w:tc>
        <w:tc>
          <w:tcPr>
            <w:tcW w:w="979" w:type="dxa"/>
            <w:shd w:val="clear" w:color="auto" w:fill="D9D9D9" w:themeFill="background1" w:themeFillShade="D9"/>
          </w:tcPr>
          <w:p w:rsidR="0075744F" w:rsidRPr="007E16DC" w:rsidRDefault="007E16DC" w:rsidP="00DE65F6">
            <w:pPr>
              <w:rPr>
                <w:rFonts w:ascii="Arial" w:hAnsi="Arial" w:cs="Arial"/>
                <w:i/>
                <w:color w:val="808080" w:themeColor="background1" w:themeShade="80"/>
                <w:sz w:val="22"/>
                <w:szCs w:val="22"/>
              </w:rPr>
            </w:pPr>
            <w:r w:rsidRPr="007E16DC">
              <w:rPr>
                <w:rFonts w:ascii="Arial" w:hAnsi="Arial" w:cs="Arial"/>
                <w:i/>
                <w:color w:val="808080" w:themeColor="background1" w:themeShade="80"/>
                <w:sz w:val="22"/>
                <w:szCs w:val="22"/>
              </w:rPr>
              <w:t>Closed</w:t>
            </w:r>
          </w:p>
        </w:tc>
        <w:tc>
          <w:tcPr>
            <w:tcW w:w="3454" w:type="dxa"/>
            <w:shd w:val="clear" w:color="auto" w:fill="D9D9D9" w:themeFill="background1" w:themeFillShade="D9"/>
          </w:tcPr>
          <w:p w:rsidR="0075744F" w:rsidRPr="007E16DC" w:rsidRDefault="0075744F" w:rsidP="00DE65F6">
            <w:pPr>
              <w:spacing w:before="20" w:after="20"/>
              <w:rPr>
                <w:rFonts w:ascii="Arial" w:hAnsi="Arial" w:cs="Arial"/>
                <w:color w:val="808080" w:themeColor="background1" w:themeShade="80"/>
                <w:sz w:val="22"/>
                <w:szCs w:val="22"/>
              </w:rPr>
            </w:pPr>
          </w:p>
        </w:tc>
      </w:tr>
    </w:tbl>
    <w:p w:rsidR="00AF1E4F" w:rsidRPr="00DD24BC" w:rsidRDefault="00DE65F6">
      <w:pPr>
        <w:rPr>
          <w:sz w:val="2"/>
          <w:szCs w:val="2"/>
        </w:rPr>
      </w:pPr>
      <w:r>
        <w:rPr>
          <w:sz w:val="2"/>
          <w:szCs w:val="2"/>
        </w:rPr>
        <w:br w:type="textWrapping" w:clear="all"/>
      </w:r>
    </w:p>
    <w:sectPr w:rsidR="00AF1E4F" w:rsidRPr="00DD24BC" w:rsidSect="001510A1">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D7" w:rsidRDefault="00156AD7" w:rsidP="004431D1">
      <w:r>
        <w:separator/>
      </w:r>
    </w:p>
  </w:endnote>
  <w:endnote w:type="continuationSeparator" w:id="0">
    <w:p w:rsidR="00156AD7" w:rsidRDefault="00156AD7" w:rsidP="0044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AD7" w:rsidRDefault="00156AD7" w:rsidP="0005255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C35FD">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C35FD">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D7" w:rsidRDefault="00156AD7" w:rsidP="004431D1">
      <w:r>
        <w:separator/>
      </w:r>
    </w:p>
  </w:footnote>
  <w:footnote w:type="continuationSeparator" w:id="0">
    <w:p w:rsidR="00156AD7" w:rsidRDefault="00156AD7" w:rsidP="0044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AD7" w:rsidRDefault="00156AD7" w:rsidP="009E426F">
    <w:pPr>
      <w:spacing w:after="60"/>
      <w:jc w:val="center"/>
      <w:rPr>
        <w:rFonts w:ascii="Arial" w:hAnsi="Arial" w:cs="Arial"/>
        <w:b/>
      </w:rPr>
    </w:pPr>
  </w:p>
  <w:p w:rsidR="00156AD7" w:rsidRDefault="00156AD7" w:rsidP="009E426F">
    <w:pPr>
      <w:spacing w:after="60"/>
      <w:jc w:val="center"/>
      <w:rPr>
        <w:rFonts w:ascii="Arial" w:hAnsi="Arial" w:cs="Arial"/>
        <w:b/>
      </w:rPr>
    </w:pPr>
    <w:r>
      <w:rPr>
        <w:rFonts w:ascii="Arial" w:hAnsi="Arial" w:cs="Arial"/>
        <w:b/>
      </w:rPr>
      <w:t>Action Item Tracker – Joint Supply, SDR, JPIWG PRC 17-2 Meeting (November 15-16, 2017)</w:t>
    </w:r>
  </w:p>
  <w:p w:rsidR="00156AD7" w:rsidRDefault="00156AD7" w:rsidP="00C5447C">
    <w:pPr>
      <w:pStyle w:val="Header"/>
      <w:spacing w:after="120"/>
      <w:jc w:val="center"/>
      <w:rPr>
        <w:rFonts w:ascii="Arial" w:hAnsi="Arial" w:cs="Arial"/>
        <w:b/>
      </w:rPr>
    </w:pPr>
    <w:r w:rsidRPr="00E801A3">
      <w:rPr>
        <w:rFonts w:ascii="Arial" w:hAnsi="Arial" w:cs="Arial"/>
        <w:b/>
      </w:rPr>
      <w:t xml:space="preserve">Current </w:t>
    </w:r>
    <w:r>
      <w:rPr>
        <w:rFonts w:ascii="Arial" w:hAnsi="Arial" w:cs="Arial"/>
        <w:b/>
      </w:rPr>
      <w:t>a</w:t>
    </w:r>
    <w:r w:rsidRPr="00E801A3">
      <w:rPr>
        <w:rFonts w:ascii="Arial" w:hAnsi="Arial" w:cs="Arial"/>
        <w:b/>
      </w:rPr>
      <w:t xml:space="preserve">s of </w:t>
    </w:r>
    <w:r w:rsidR="00DE65F6">
      <w:rPr>
        <w:rFonts w:ascii="Arial" w:hAnsi="Arial" w:cs="Arial"/>
        <w:b/>
      </w:rPr>
      <w:t>October 4, 2019</w:t>
    </w:r>
  </w:p>
  <w:p w:rsidR="00156AD7" w:rsidRPr="0066651B" w:rsidRDefault="00156AD7" w:rsidP="009E426F">
    <w:pPr>
      <w:pStyle w:val="Header"/>
      <w:spacing w:after="240"/>
      <w:jc w:val="center"/>
      <w:rPr>
        <w:sz w:val="24"/>
        <w:szCs w:val="24"/>
      </w:rPr>
    </w:pPr>
    <w:r w:rsidRPr="0066651B">
      <w:rPr>
        <w:rFonts w:ascii="Arial" w:hAnsi="Arial" w:cs="Arial"/>
        <w:sz w:val="24"/>
        <w:szCs w:val="24"/>
      </w:rPr>
      <w:t xml:space="preserve">Joint PRC 17-2 Minutes: </w:t>
    </w:r>
    <w:hyperlink r:id="rId1" w:history="1">
      <w:r w:rsidRPr="0066651B">
        <w:rPr>
          <w:rStyle w:val="Hyperlink"/>
          <w:sz w:val="24"/>
          <w:szCs w:val="24"/>
        </w:rPr>
        <w:t>http://www.dla.mil/HQ/InformationOperations/DLMS/Archives/supply/</w:t>
      </w:r>
    </w:hyperlink>
    <w:r w:rsidRPr="0066651B">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43"/>
    <w:multiLevelType w:val="hybridMultilevel"/>
    <w:tmpl w:val="AE22D3C0"/>
    <w:lvl w:ilvl="0" w:tplc="CF6E6276">
      <w:start w:val="1"/>
      <w:numFmt w:val="lowerLetter"/>
      <w:lvlText w:val="%1."/>
      <w:lvlJc w:val="left"/>
      <w:pPr>
        <w:ind w:left="630" w:hanging="360"/>
      </w:pPr>
      <w:rPr>
        <w:rFonts w:hint="default"/>
        <w:b/>
        <w:color w:val="auto"/>
      </w:rPr>
    </w:lvl>
    <w:lvl w:ilvl="1" w:tplc="E3ACD5A8">
      <w:start w:val="1"/>
      <w:numFmt w:val="decimal"/>
      <w:lvlText w:val="(%2)"/>
      <w:lvlJc w:val="righ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17B"/>
    <w:multiLevelType w:val="hybridMultilevel"/>
    <w:tmpl w:val="7D247220"/>
    <w:lvl w:ilvl="0" w:tplc="9738A9E2">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F77D1"/>
    <w:multiLevelType w:val="hybridMultilevel"/>
    <w:tmpl w:val="D2F81576"/>
    <w:lvl w:ilvl="0" w:tplc="5E22C4DC">
      <w:start w:val="1"/>
      <w:numFmt w:val="decimal"/>
      <w:lvlText w:val="%1."/>
      <w:lvlJc w:val="center"/>
      <w:pPr>
        <w:ind w:left="810" w:hanging="360"/>
      </w:pPr>
      <w:rPr>
        <w:rFonts w:ascii="new" w:hAnsi="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384D"/>
    <w:multiLevelType w:val="hybridMultilevel"/>
    <w:tmpl w:val="561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B9A"/>
    <w:multiLevelType w:val="hybridMultilevel"/>
    <w:tmpl w:val="EAE04E26"/>
    <w:lvl w:ilvl="0" w:tplc="5AF49424">
      <w:start w:val="1"/>
      <w:numFmt w:val="bullet"/>
      <w:lvlText w:val="•"/>
      <w:lvlJc w:val="left"/>
      <w:pPr>
        <w:tabs>
          <w:tab w:val="num" w:pos="360"/>
        </w:tabs>
        <w:ind w:left="360" w:hanging="360"/>
      </w:pPr>
      <w:rPr>
        <w:rFonts w:ascii="Times New Roman" w:hAnsi="Times New Roman" w:hint="default"/>
      </w:rPr>
    </w:lvl>
    <w:lvl w:ilvl="1" w:tplc="D1EE346E">
      <w:start w:val="1355"/>
      <w:numFmt w:val="bullet"/>
      <w:lvlText w:val="–"/>
      <w:lvlJc w:val="left"/>
      <w:pPr>
        <w:tabs>
          <w:tab w:val="num" w:pos="1080"/>
        </w:tabs>
        <w:ind w:left="1080" w:hanging="360"/>
      </w:pPr>
      <w:rPr>
        <w:rFonts w:ascii="Times New Roman" w:hAnsi="Times New Roman" w:hint="default"/>
      </w:rPr>
    </w:lvl>
    <w:lvl w:ilvl="2" w:tplc="B32E670C" w:tentative="1">
      <w:start w:val="1"/>
      <w:numFmt w:val="bullet"/>
      <w:lvlText w:val="•"/>
      <w:lvlJc w:val="left"/>
      <w:pPr>
        <w:tabs>
          <w:tab w:val="num" w:pos="1800"/>
        </w:tabs>
        <w:ind w:left="1800" w:hanging="360"/>
      </w:pPr>
      <w:rPr>
        <w:rFonts w:ascii="Times New Roman" w:hAnsi="Times New Roman" w:hint="default"/>
      </w:rPr>
    </w:lvl>
    <w:lvl w:ilvl="3" w:tplc="956A7866" w:tentative="1">
      <w:start w:val="1"/>
      <w:numFmt w:val="bullet"/>
      <w:lvlText w:val="•"/>
      <w:lvlJc w:val="left"/>
      <w:pPr>
        <w:tabs>
          <w:tab w:val="num" w:pos="2520"/>
        </w:tabs>
        <w:ind w:left="2520" w:hanging="360"/>
      </w:pPr>
      <w:rPr>
        <w:rFonts w:ascii="Times New Roman" w:hAnsi="Times New Roman" w:hint="default"/>
      </w:rPr>
    </w:lvl>
    <w:lvl w:ilvl="4" w:tplc="872E6A5A" w:tentative="1">
      <w:start w:val="1"/>
      <w:numFmt w:val="bullet"/>
      <w:lvlText w:val="•"/>
      <w:lvlJc w:val="left"/>
      <w:pPr>
        <w:tabs>
          <w:tab w:val="num" w:pos="3240"/>
        </w:tabs>
        <w:ind w:left="3240" w:hanging="360"/>
      </w:pPr>
      <w:rPr>
        <w:rFonts w:ascii="Times New Roman" w:hAnsi="Times New Roman" w:hint="default"/>
      </w:rPr>
    </w:lvl>
    <w:lvl w:ilvl="5" w:tplc="70303D82" w:tentative="1">
      <w:start w:val="1"/>
      <w:numFmt w:val="bullet"/>
      <w:lvlText w:val="•"/>
      <w:lvlJc w:val="left"/>
      <w:pPr>
        <w:tabs>
          <w:tab w:val="num" w:pos="3960"/>
        </w:tabs>
        <w:ind w:left="3960" w:hanging="360"/>
      </w:pPr>
      <w:rPr>
        <w:rFonts w:ascii="Times New Roman" w:hAnsi="Times New Roman" w:hint="default"/>
      </w:rPr>
    </w:lvl>
    <w:lvl w:ilvl="6" w:tplc="ECEA4E7A" w:tentative="1">
      <w:start w:val="1"/>
      <w:numFmt w:val="bullet"/>
      <w:lvlText w:val="•"/>
      <w:lvlJc w:val="left"/>
      <w:pPr>
        <w:tabs>
          <w:tab w:val="num" w:pos="4680"/>
        </w:tabs>
        <w:ind w:left="4680" w:hanging="360"/>
      </w:pPr>
      <w:rPr>
        <w:rFonts w:ascii="Times New Roman" w:hAnsi="Times New Roman" w:hint="default"/>
      </w:rPr>
    </w:lvl>
    <w:lvl w:ilvl="7" w:tplc="2304D690" w:tentative="1">
      <w:start w:val="1"/>
      <w:numFmt w:val="bullet"/>
      <w:lvlText w:val="•"/>
      <w:lvlJc w:val="left"/>
      <w:pPr>
        <w:tabs>
          <w:tab w:val="num" w:pos="5400"/>
        </w:tabs>
        <w:ind w:left="5400" w:hanging="360"/>
      </w:pPr>
      <w:rPr>
        <w:rFonts w:ascii="Times New Roman" w:hAnsi="Times New Roman" w:hint="default"/>
      </w:rPr>
    </w:lvl>
    <w:lvl w:ilvl="8" w:tplc="EC26F676"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3111C9"/>
    <w:multiLevelType w:val="hybridMultilevel"/>
    <w:tmpl w:val="F61A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171F9"/>
    <w:multiLevelType w:val="hybridMultilevel"/>
    <w:tmpl w:val="57D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01B6C"/>
    <w:multiLevelType w:val="hybridMultilevel"/>
    <w:tmpl w:val="6C4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B37C8"/>
    <w:multiLevelType w:val="hybridMultilevel"/>
    <w:tmpl w:val="6D1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3E24"/>
    <w:multiLevelType w:val="hybridMultilevel"/>
    <w:tmpl w:val="E5544E2A"/>
    <w:lvl w:ilvl="0" w:tplc="9738A9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906D5"/>
    <w:multiLevelType w:val="hybridMultilevel"/>
    <w:tmpl w:val="A34E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C745F"/>
    <w:multiLevelType w:val="hybridMultilevel"/>
    <w:tmpl w:val="46B4D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741E0"/>
    <w:multiLevelType w:val="hybridMultilevel"/>
    <w:tmpl w:val="8BAA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05218"/>
    <w:multiLevelType w:val="hybridMultilevel"/>
    <w:tmpl w:val="627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C54D0"/>
    <w:multiLevelType w:val="hybridMultilevel"/>
    <w:tmpl w:val="CFAA38D2"/>
    <w:lvl w:ilvl="0" w:tplc="638080B8">
      <w:start w:val="1"/>
      <w:numFmt w:val="decimal"/>
      <w:lvlText w:val="(%1)"/>
      <w:lvlJc w:val="left"/>
      <w:pPr>
        <w:ind w:left="720" w:hanging="360"/>
      </w:pPr>
      <w:rPr>
        <w:rFonts w:hint="default"/>
        <w:b/>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110E4"/>
    <w:multiLevelType w:val="hybridMultilevel"/>
    <w:tmpl w:val="47D63DAE"/>
    <w:lvl w:ilvl="0" w:tplc="BE7046B6">
      <w:start w:val="22"/>
      <w:numFmt w:val="decimal"/>
      <w:lvlText w:val="%1"/>
      <w:lvlJc w:val="right"/>
      <w:pPr>
        <w:ind w:left="720" w:hanging="360"/>
      </w:pPr>
      <w:rPr>
        <w:rFonts w:hint="default"/>
        <w:b/>
        <w:i w:val="0"/>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260C"/>
    <w:multiLevelType w:val="hybridMultilevel"/>
    <w:tmpl w:val="CD6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525F1"/>
    <w:multiLevelType w:val="hybridMultilevel"/>
    <w:tmpl w:val="901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37982"/>
    <w:multiLevelType w:val="hybridMultilevel"/>
    <w:tmpl w:val="725E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7D03DD"/>
    <w:multiLevelType w:val="hybridMultilevel"/>
    <w:tmpl w:val="B7A8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3"/>
  </w:num>
  <w:num w:numId="5">
    <w:abstractNumId w:val="10"/>
  </w:num>
  <w:num w:numId="6">
    <w:abstractNumId w:val="16"/>
  </w:num>
  <w:num w:numId="7">
    <w:abstractNumId w:val="6"/>
  </w:num>
  <w:num w:numId="8">
    <w:abstractNumId w:val="7"/>
  </w:num>
  <w:num w:numId="9">
    <w:abstractNumId w:val="19"/>
  </w:num>
  <w:num w:numId="10">
    <w:abstractNumId w:val="9"/>
  </w:num>
  <w:num w:numId="11">
    <w:abstractNumId w:val="1"/>
  </w:num>
  <w:num w:numId="12">
    <w:abstractNumId w:val="11"/>
  </w:num>
  <w:num w:numId="13">
    <w:abstractNumId w:val="4"/>
  </w:num>
  <w:num w:numId="14">
    <w:abstractNumId w:val="0"/>
  </w:num>
  <w:num w:numId="15">
    <w:abstractNumId w:val="14"/>
  </w:num>
  <w:num w:numId="16">
    <w:abstractNumId w:val="15"/>
  </w:num>
  <w:num w:numId="17">
    <w:abstractNumId w:val="17"/>
  </w:num>
  <w:num w:numId="18">
    <w:abstractNumId w:val="18"/>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0F"/>
    <w:rsid w:val="00001858"/>
    <w:rsid w:val="000033D2"/>
    <w:rsid w:val="0000547A"/>
    <w:rsid w:val="000129AA"/>
    <w:rsid w:val="00012DD4"/>
    <w:rsid w:val="00015DD5"/>
    <w:rsid w:val="000160CF"/>
    <w:rsid w:val="00033CBC"/>
    <w:rsid w:val="00043652"/>
    <w:rsid w:val="00043814"/>
    <w:rsid w:val="00046168"/>
    <w:rsid w:val="00051312"/>
    <w:rsid w:val="00052556"/>
    <w:rsid w:val="000545C5"/>
    <w:rsid w:val="000619A4"/>
    <w:rsid w:val="0006312C"/>
    <w:rsid w:val="00063C8F"/>
    <w:rsid w:val="00064FD5"/>
    <w:rsid w:val="00073818"/>
    <w:rsid w:val="00075970"/>
    <w:rsid w:val="0007616C"/>
    <w:rsid w:val="000802AC"/>
    <w:rsid w:val="0008067D"/>
    <w:rsid w:val="00081455"/>
    <w:rsid w:val="000974A4"/>
    <w:rsid w:val="000B5BC2"/>
    <w:rsid w:val="000B61E7"/>
    <w:rsid w:val="000C0341"/>
    <w:rsid w:val="000C1F8F"/>
    <w:rsid w:val="000D3353"/>
    <w:rsid w:val="000D5CAA"/>
    <w:rsid w:val="000D6EA4"/>
    <w:rsid w:val="000E28A0"/>
    <w:rsid w:val="000E55BD"/>
    <w:rsid w:val="000F08F3"/>
    <w:rsid w:val="000F10D9"/>
    <w:rsid w:val="000F78BE"/>
    <w:rsid w:val="00106706"/>
    <w:rsid w:val="001141DC"/>
    <w:rsid w:val="00117F3B"/>
    <w:rsid w:val="001232B9"/>
    <w:rsid w:val="00126818"/>
    <w:rsid w:val="00126FD6"/>
    <w:rsid w:val="001369B1"/>
    <w:rsid w:val="00137140"/>
    <w:rsid w:val="001404F0"/>
    <w:rsid w:val="00140A4B"/>
    <w:rsid w:val="0014748A"/>
    <w:rsid w:val="00147C3A"/>
    <w:rsid w:val="00150443"/>
    <w:rsid w:val="001510A1"/>
    <w:rsid w:val="00156AD7"/>
    <w:rsid w:val="00156CF0"/>
    <w:rsid w:val="00157378"/>
    <w:rsid w:val="001613C3"/>
    <w:rsid w:val="001637DF"/>
    <w:rsid w:val="0016785D"/>
    <w:rsid w:val="001745F5"/>
    <w:rsid w:val="001746C3"/>
    <w:rsid w:val="00175EB4"/>
    <w:rsid w:val="001813C9"/>
    <w:rsid w:val="00181FF6"/>
    <w:rsid w:val="001821F8"/>
    <w:rsid w:val="00183788"/>
    <w:rsid w:val="001839BB"/>
    <w:rsid w:val="0018518E"/>
    <w:rsid w:val="00193031"/>
    <w:rsid w:val="0019358E"/>
    <w:rsid w:val="001967E7"/>
    <w:rsid w:val="001A2BF9"/>
    <w:rsid w:val="001B6124"/>
    <w:rsid w:val="001B6A20"/>
    <w:rsid w:val="001B7E44"/>
    <w:rsid w:val="001C19D9"/>
    <w:rsid w:val="001C76F7"/>
    <w:rsid w:val="001D3D65"/>
    <w:rsid w:val="001E64A5"/>
    <w:rsid w:val="001E7762"/>
    <w:rsid w:val="001F1A8B"/>
    <w:rsid w:val="001F205A"/>
    <w:rsid w:val="002009D1"/>
    <w:rsid w:val="002021FB"/>
    <w:rsid w:val="002026ED"/>
    <w:rsid w:val="0020379D"/>
    <w:rsid w:val="00203A2F"/>
    <w:rsid w:val="002058DD"/>
    <w:rsid w:val="00205994"/>
    <w:rsid w:val="002103DD"/>
    <w:rsid w:val="00212779"/>
    <w:rsid w:val="00212D21"/>
    <w:rsid w:val="00223B21"/>
    <w:rsid w:val="00236B8C"/>
    <w:rsid w:val="00245170"/>
    <w:rsid w:val="002470A8"/>
    <w:rsid w:val="00251441"/>
    <w:rsid w:val="002569A3"/>
    <w:rsid w:val="00266D9B"/>
    <w:rsid w:val="002676B0"/>
    <w:rsid w:val="00271A46"/>
    <w:rsid w:val="00272DCE"/>
    <w:rsid w:val="00273BE2"/>
    <w:rsid w:val="00274AE3"/>
    <w:rsid w:val="00277A07"/>
    <w:rsid w:val="00280B5E"/>
    <w:rsid w:val="00282303"/>
    <w:rsid w:val="0028247C"/>
    <w:rsid w:val="0028292B"/>
    <w:rsid w:val="00284EDA"/>
    <w:rsid w:val="002919BB"/>
    <w:rsid w:val="002938C1"/>
    <w:rsid w:val="00294A89"/>
    <w:rsid w:val="002A411A"/>
    <w:rsid w:val="002A5902"/>
    <w:rsid w:val="002A67F3"/>
    <w:rsid w:val="002B2814"/>
    <w:rsid w:val="002B2AB2"/>
    <w:rsid w:val="002B6161"/>
    <w:rsid w:val="002B63D0"/>
    <w:rsid w:val="002B6D7B"/>
    <w:rsid w:val="002B72EA"/>
    <w:rsid w:val="002B78B2"/>
    <w:rsid w:val="002C38A5"/>
    <w:rsid w:val="002C3BF6"/>
    <w:rsid w:val="002C70F4"/>
    <w:rsid w:val="002D30C3"/>
    <w:rsid w:val="002D3373"/>
    <w:rsid w:val="002D7667"/>
    <w:rsid w:val="002E1357"/>
    <w:rsid w:val="002E3CEE"/>
    <w:rsid w:val="002E5860"/>
    <w:rsid w:val="002E5A29"/>
    <w:rsid w:val="002E7673"/>
    <w:rsid w:val="002F2E97"/>
    <w:rsid w:val="002F4BC7"/>
    <w:rsid w:val="002F6A62"/>
    <w:rsid w:val="002F7B04"/>
    <w:rsid w:val="00300F8B"/>
    <w:rsid w:val="00304D7E"/>
    <w:rsid w:val="003062DE"/>
    <w:rsid w:val="003066F8"/>
    <w:rsid w:val="003103D8"/>
    <w:rsid w:val="003134EC"/>
    <w:rsid w:val="00314D26"/>
    <w:rsid w:val="0031757E"/>
    <w:rsid w:val="0032045B"/>
    <w:rsid w:val="003406D3"/>
    <w:rsid w:val="00340771"/>
    <w:rsid w:val="00340B1F"/>
    <w:rsid w:val="00341EC8"/>
    <w:rsid w:val="00344879"/>
    <w:rsid w:val="003469CB"/>
    <w:rsid w:val="003532EF"/>
    <w:rsid w:val="00354F62"/>
    <w:rsid w:val="00361033"/>
    <w:rsid w:val="00363C13"/>
    <w:rsid w:val="003666D6"/>
    <w:rsid w:val="00381D60"/>
    <w:rsid w:val="003826D1"/>
    <w:rsid w:val="00384366"/>
    <w:rsid w:val="003869C1"/>
    <w:rsid w:val="00393221"/>
    <w:rsid w:val="00394598"/>
    <w:rsid w:val="00394738"/>
    <w:rsid w:val="003A2BF9"/>
    <w:rsid w:val="003A38D3"/>
    <w:rsid w:val="003A51C8"/>
    <w:rsid w:val="003C10B7"/>
    <w:rsid w:val="003C241A"/>
    <w:rsid w:val="003C40E6"/>
    <w:rsid w:val="003C6940"/>
    <w:rsid w:val="003D652F"/>
    <w:rsid w:val="003D6815"/>
    <w:rsid w:val="003E6410"/>
    <w:rsid w:val="003E7132"/>
    <w:rsid w:val="003F1314"/>
    <w:rsid w:val="003F4842"/>
    <w:rsid w:val="003F6D1C"/>
    <w:rsid w:val="00404BD5"/>
    <w:rsid w:val="00407DAE"/>
    <w:rsid w:val="004129D8"/>
    <w:rsid w:val="00416B32"/>
    <w:rsid w:val="004210D0"/>
    <w:rsid w:val="0042549B"/>
    <w:rsid w:val="00425A12"/>
    <w:rsid w:val="00435F02"/>
    <w:rsid w:val="00441E63"/>
    <w:rsid w:val="00442CC5"/>
    <w:rsid w:val="0044313C"/>
    <w:rsid w:val="004431D1"/>
    <w:rsid w:val="00446A57"/>
    <w:rsid w:val="004507C3"/>
    <w:rsid w:val="004511EC"/>
    <w:rsid w:val="00452096"/>
    <w:rsid w:val="00461CA1"/>
    <w:rsid w:val="00467535"/>
    <w:rsid w:val="00472EBF"/>
    <w:rsid w:val="004749E8"/>
    <w:rsid w:val="0047761C"/>
    <w:rsid w:val="004829AA"/>
    <w:rsid w:val="00484376"/>
    <w:rsid w:val="00496E78"/>
    <w:rsid w:val="004A1C94"/>
    <w:rsid w:val="004A31B4"/>
    <w:rsid w:val="004A31E7"/>
    <w:rsid w:val="004A734E"/>
    <w:rsid w:val="004A77E3"/>
    <w:rsid w:val="004B13FC"/>
    <w:rsid w:val="004B3832"/>
    <w:rsid w:val="004B6C64"/>
    <w:rsid w:val="004B6F11"/>
    <w:rsid w:val="004C0D7E"/>
    <w:rsid w:val="004C4321"/>
    <w:rsid w:val="004C61E2"/>
    <w:rsid w:val="004D080C"/>
    <w:rsid w:val="004D10C7"/>
    <w:rsid w:val="004D143B"/>
    <w:rsid w:val="004D41A5"/>
    <w:rsid w:val="004E02CA"/>
    <w:rsid w:val="004E34D3"/>
    <w:rsid w:val="004E57F4"/>
    <w:rsid w:val="00505DD4"/>
    <w:rsid w:val="00513BB2"/>
    <w:rsid w:val="005144C4"/>
    <w:rsid w:val="0051665E"/>
    <w:rsid w:val="00520D9D"/>
    <w:rsid w:val="00522456"/>
    <w:rsid w:val="0053300F"/>
    <w:rsid w:val="0053496E"/>
    <w:rsid w:val="00536DAE"/>
    <w:rsid w:val="00540FEC"/>
    <w:rsid w:val="00542D06"/>
    <w:rsid w:val="00547D78"/>
    <w:rsid w:val="00550E10"/>
    <w:rsid w:val="00570B1F"/>
    <w:rsid w:val="00571B29"/>
    <w:rsid w:val="005730E8"/>
    <w:rsid w:val="0057316C"/>
    <w:rsid w:val="005735D9"/>
    <w:rsid w:val="00582912"/>
    <w:rsid w:val="005869A5"/>
    <w:rsid w:val="0059120C"/>
    <w:rsid w:val="00593483"/>
    <w:rsid w:val="00597852"/>
    <w:rsid w:val="005B3356"/>
    <w:rsid w:val="005B5771"/>
    <w:rsid w:val="005B5E0E"/>
    <w:rsid w:val="005C044C"/>
    <w:rsid w:val="005C20D3"/>
    <w:rsid w:val="005C610D"/>
    <w:rsid w:val="005C6BCB"/>
    <w:rsid w:val="005D21FA"/>
    <w:rsid w:val="005E0970"/>
    <w:rsid w:val="005E20F3"/>
    <w:rsid w:val="005E56B9"/>
    <w:rsid w:val="005E67F2"/>
    <w:rsid w:val="005F5312"/>
    <w:rsid w:val="005F7C0C"/>
    <w:rsid w:val="006054F1"/>
    <w:rsid w:val="0061400A"/>
    <w:rsid w:val="00614D26"/>
    <w:rsid w:val="0062342E"/>
    <w:rsid w:val="00623D37"/>
    <w:rsid w:val="006248C8"/>
    <w:rsid w:val="00626382"/>
    <w:rsid w:val="00627396"/>
    <w:rsid w:val="00632B82"/>
    <w:rsid w:val="00632F70"/>
    <w:rsid w:val="00636FD2"/>
    <w:rsid w:val="006401DB"/>
    <w:rsid w:val="0064273F"/>
    <w:rsid w:val="006474BE"/>
    <w:rsid w:val="00654F87"/>
    <w:rsid w:val="00655CAD"/>
    <w:rsid w:val="006611D9"/>
    <w:rsid w:val="00662A61"/>
    <w:rsid w:val="006650CD"/>
    <w:rsid w:val="00665BF4"/>
    <w:rsid w:val="0066651B"/>
    <w:rsid w:val="00667EDB"/>
    <w:rsid w:val="0067421A"/>
    <w:rsid w:val="006827EC"/>
    <w:rsid w:val="00686CE5"/>
    <w:rsid w:val="00687312"/>
    <w:rsid w:val="006903FE"/>
    <w:rsid w:val="0069136D"/>
    <w:rsid w:val="0069645E"/>
    <w:rsid w:val="006975CA"/>
    <w:rsid w:val="006A72EE"/>
    <w:rsid w:val="006B0EC8"/>
    <w:rsid w:val="006B1CDF"/>
    <w:rsid w:val="006B27A8"/>
    <w:rsid w:val="006B38EB"/>
    <w:rsid w:val="006B5522"/>
    <w:rsid w:val="006C35FD"/>
    <w:rsid w:val="006D20F2"/>
    <w:rsid w:val="006D22F6"/>
    <w:rsid w:val="006E316F"/>
    <w:rsid w:val="006F1478"/>
    <w:rsid w:val="006F15DC"/>
    <w:rsid w:val="006F1807"/>
    <w:rsid w:val="006F1C8C"/>
    <w:rsid w:val="006F2638"/>
    <w:rsid w:val="0070777D"/>
    <w:rsid w:val="00710218"/>
    <w:rsid w:val="00710ACE"/>
    <w:rsid w:val="0071112E"/>
    <w:rsid w:val="00721DAF"/>
    <w:rsid w:val="007244D3"/>
    <w:rsid w:val="00724896"/>
    <w:rsid w:val="0072705E"/>
    <w:rsid w:val="007306E4"/>
    <w:rsid w:val="007370BF"/>
    <w:rsid w:val="00745EA1"/>
    <w:rsid w:val="0075161D"/>
    <w:rsid w:val="007532E4"/>
    <w:rsid w:val="0075744F"/>
    <w:rsid w:val="007600C9"/>
    <w:rsid w:val="00760D62"/>
    <w:rsid w:val="007616D0"/>
    <w:rsid w:val="007633D2"/>
    <w:rsid w:val="00764CB9"/>
    <w:rsid w:val="00767EDE"/>
    <w:rsid w:val="00771DF1"/>
    <w:rsid w:val="00772FE8"/>
    <w:rsid w:val="00774665"/>
    <w:rsid w:val="00774BA9"/>
    <w:rsid w:val="0077613A"/>
    <w:rsid w:val="00781A4D"/>
    <w:rsid w:val="0078504A"/>
    <w:rsid w:val="00785AC9"/>
    <w:rsid w:val="007871FC"/>
    <w:rsid w:val="007942C2"/>
    <w:rsid w:val="00796AB7"/>
    <w:rsid w:val="00796EB1"/>
    <w:rsid w:val="007A4511"/>
    <w:rsid w:val="007A60B0"/>
    <w:rsid w:val="007B44C3"/>
    <w:rsid w:val="007C5125"/>
    <w:rsid w:val="007C6078"/>
    <w:rsid w:val="007D1FAD"/>
    <w:rsid w:val="007D7B69"/>
    <w:rsid w:val="007E16DC"/>
    <w:rsid w:val="007E61E8"/>
    <w:rsid w:val="007F5B8E"/>
    <w:rsid w:val="007F734A"/>
    <w:rsid w:val="00800210"/>
    <w:rsid w:val="008036BB"/>
    <w:rsid w:val="008061A4"/>
    <w:rsid w:val="00807D70"/>
    <w:rsid w:val="008118DA"/>
    <w:rsid w:val="00811D8B"/>
    <w:rsid w:val="00815305"/>
    <w:rsid w:val="008170EB"/>
    <w:rsid w:val="00820491"/>
    <w:rsid w:val="0082576C"/>
    <w:rsid w:val="00826A56"/>
    <w:rsid w:val="00830572"/>
    <w:rsid w:val="00833355"/>
    <w:rsid w:val="00836615"/>
    <w:rsid w:val="00843C19"/>
    <w:rsid w:val="0085035D"/>
    <w:rsid w:val="00851734"/>
    <w:rsid w:val="00857F99"/>
    <w:rsid w:val="00870478"/>
    <w:rsid w:val="00870F4E"/>
    <w:rsid w:val="0087590B"/>
    <w:rsid w:val="00876689"/>
    <w:rsid w:val="00880675"/>
    <w:rsid w:val="008815B0"/>
    <w:rsid w:val="0088389B"/>
    <w:rsid w:val="008871A3"/>
    <w:rsid w:val="00890502"/>
    <w:rsid w:val="00896A08"/>
    <w:rsid w:val="00896EB1"/>
    <w:rsid w:val="00897117"/>
    <w:rsid w:val="008A29AF"/>
    <w:rsid w:val="008A4831"/>
    <w:rsid w:val="008B26E0"/>
    <w:rsid w:val="008B3DEE"/>
    <w:rsid w:val="008B5244"/>
    <w:rsid w:val="008B5F7A"/>
    <w:rsid w:val="008C10E9"/>
    <w:rsid w:val="008C7849"/>
    <w:rsid w:val="008D3A75"/>
    <w:rsid w:val="008E4AAB"/>
    <w:rsid w:val="008E6F5D"/>
    <w:rsid w:val="008F0E72"/>
    <w:rsid w:val="008F70B7"/>
    <w:rsid w:val="008F7160"/>
    <w:rsid w:val="008F71E2"/>
    <w:rsid w:val="00901A90"/>
    <w:rsid w:val="009102BB"/>
    <w:rsid w:val="0091094A"/>
    <w:rsid w:val="00911C92"/>
    <w:rsid w:val="009137F6"/>
    <w:rsid w:val="0091474B"/>
    <w:rsid w:val="0091660C"/>
    <w:rsid w:val="00920A6D"/>
    <w:rsid w:val="009231A5"/>
    <w:rsid w:val="009270A6"/>
    <w:rsid w:val="009356B3"/>
    <w:rsid w:val="0094001D"/>
    <w:rsid w:val="009404C7"/>
    <w:rsid w:val="009410B3"/>
    <w:rsid w:val="00941DEC"/>
    <w:rsid w:val="00941FEF"/>
    <w:rsid w:val="00944446"/>
    <w:rsid w:val="00950E6A"/>
    <w:rsid w:val="00951E0C"/>
    <w:rsid w:val="00953851"/>
    <w:rsid w:val="00957503"/>
    <w:rsid w:val="0096525D"/>
    <w:rsid w:val="00965900"/>
    <w:rsid w:val="009739F3"/>
    <w:rsid w:val="00974050"/>
    <w:rsid w:val="00977D91"/>
    <w:rsid w:val="00980155"/>
    <w:rsid w:val="00990FDE"/>
    <w:rsid w:val="00994D19"/>
    <w:rsid w:val="0099570E"/>
    <w:rsid w:val="009A51CB"/>
    <w:rsid w:val="009A7B42"/>
    <w:rsid w:val="009B5426"/>
    <w:rsid w:val="009B7325"/>
    <w:rsid w:val="009C090C"/>
    <w:rsid w:val="009C5029"/>
    <w:rsid w:val="009C6A76"/>
    <w:rsid w:val="009C73E4"/>
    <w:rsid w:val="009D41E5"/>
    <w:rsid w:val="009D5DB9"/>
    <w:rsid w:val="009E22B1"/>
    <w:rsid w:val="009E426F"/>
    <w:rsid w:val="009F4BF4"/>
    <w:rsid w:val="009F591D"/>
    <w:rsid w:val="009F7C1B"/>
    <w:rsid w:val="009F7FAB"/>
    <w:rsid w:val="00A03B3F"/>
    <w:rsid w:val="00A07109"/>
    <w:rsid w:val="00A20935"/>
    <w:rsid w:val="00A210FB"/>
    <w:rsid w:val="00A22448"/>
    <w:rsid w:val="00A225F2"/>
    <w:rsid w:val="00A24426"/>
    <w:rsid w:val="00A319ED"/>
    <w:rsid w:val="00A46C1E"/>
    <w:rsid w:val="00A52EF9"/>
    <w:rsid w:val="00A5408A"/>
    <w:rsid w:val="00A61E84"/>
    <w:rsid w:val="00A64FFB"/>
    <w:rsid w:val="00A661FE"/>
    <w:rsid w:val="00A66F2F"/>
    <w:rsid w:val="00A77569"/>
    <w:rsid w:val="00A77FB0"/>
    <w:rsid w:val="00A80932"/>
    <w:rsid w:val="00A824BD"/>
    <w:rsid w:val="00A865AC"/>
    <w:rsid w:val="00A91CEF"/>
    <w:rsid w:val="00A96FDB"/>
    <w:rsid w:val="00AA28CF"/>
    <w:rsid w:val="00AA3D75"/>
    <w:rsid w:val="00AA4E3E"/>
    <w:rsid w:val="00AA6156"/>
    <w:rsid w:val="00AA6D58"/>
    <w:rsid w:val="00AB4823"/>
    <w:rsid w:val="00AB696B"/>
    <w:rsid w:val="00AC2D3E"/>
    <w:rsid w:val="00AC40CA"/>
    <w:rsid w:val="00AC4BAE"/>
    <w:rsid w:val="00AC527C"/>
    <w:rsid w:val="00AD0B59"/>
    <w:rsid w:val="00AD0D7A"/>
    <w:rsid w:val="00AD0E74"/>
    <w:rsid w:val="00AD1285"/>
    <w:rsid w:val="00AD13B5"/>
    <w:rsid w:val="00AD1BD3"/>
    <w:rsid w:val="00AE5F00"/>
    <w:rsid w:val="00AF0382"/>
    <w:rsid w:val="00AF1E4F"/>
    <w:rsid w:val="00AF2EBC"/>
    <w:rsid w:val="00AF4DEF"/>
    <w:rsid w:val="00AF571B"/>
    <w:rsid w:val="00B00960"/>
    <w:rsid w:val="00B015E9"/>
    <w:rsid w:val="00B02B17"/>
    <w:rsid w:val="00B145B6"/>
    <w:rsid w:val="00B16305"/>
    <w:rsid w:val="00B1760F"/>
    <w:rsid w:val="00B20D38"/>
    <w:rsid w:val="00B320E2"/>
    <w:rsid w:val="00B37E4D"/>
    <w:rsid w:val="00B4153F"/>
    <w:rsid w:val="00B42A50"/>
    <w:rsid w:val="00B479EB"/>
    <w:rsid w:val="00B47DF9"/>
    <w:rsid w:val="00B50AEF"/>
    <w:rsid w:val="00B51C27"/>
    <w:rsid w:val="00B51F00"/>
    <w:rsid w:val="00B5395B"/>
    <w:rsid w:val="00B61E80"/>
    <w:rsid w:val="00B62A90"/>
    <w:rsid w:val="00B6586C"/>
    <w:rsid w:val="00B65A89"/>
    <w:rsid w:val="00B723FB"/>
    <w:rsid w:val="00B72843"/>
    <w:rsid w:val="00B742CF"/>
    <w:rsid w:val="00B82E16"/>
    <w:rsid w:val="00B90D30"/>
    <w:rsid w:val="00B91287"/>
    <w:rsid w:val="00B92BEA"/>
    <w:rsid w:val="00BA4195"/>
    <w:rsid w:val="00BB08E0"/>
    <w:rsid w:val="00BB404A"/>
    <w:rsid w:val="00BB5444"/>
    <w:rsid w:val="00BB6C24"/>
    <w:rsid w:val="00BC1A54"/>
    <w:rsid w:val="00BC1BBF"/>
    <w:rsid w:val="00BC3BF2"/>
    <w:rsid w:val="00BC73CD"/>
    <w:rsid w:val="00BE503B"/>
    <w:rsid w:val="00BF1A7B"/>
    <w:rsid w:val="00BF73F9"/>
    <w:rsid w:val="00C0035F"/>
    <w:rsid w:val="00C0181F"/>
    <w:rsid w:val="00C01FB7"/>
    <w:rsid w:val="00C03908"/>
    <w:rsid w:val="00C04916"/>
    <w:rsid w:val="00C12BE4"/>
    <w:rsid w:val="00C31C81"/>
    <w:rsid w:val="00C33207"/>
    <w:rsid w:val="00C3368E"/>
    <w:rsid w:val="00C33C4A"/>
    <w:rsid w:val="00C33D60"/>
    <w:rsid w:val="00C37441"/>
    <w:rsid w:val="00C42977"/>
    <w:rsid w:val="00C46E71"/>
    <w:rsid w:val="00C47B96"/>
    <w:rsid w:val="00C53630"/>
    <w:rsid w:val="00C5447C"/>
    <w:rsid w:val="00C55833"/>
    <w:rsid w:val="00C61977"/>
    <w:rsid w:val="00C62633"/>
    <w:rsid w:val="00C64973"/>
    <w:rsid w:val="00C65221"/>
    <w:rsid w:val="00C67DF5"/>
    <w:rsid w:val="00C74EDA"/>
    <w:rsid w:val="00C75ACA"/>
    <w:rsid w:val="00C76241"/>
    <w:rsid w:val="00C80999"/>
    <w:rsid w:val="00C80FAC"/>
    <w:rsid w:val="00C85F92"/>
    <w:rsid w:val="00C90AA6"/>
    <w:rsid w:val="00C92CED"/>
    <w:rsid w:val="00C9676E"/>
    <w:rsid w:val="00C970BD"/>
    <w:rsid w:val="00CA0332"/>
    <w:rsid w:val="00CA1D2C"/>
    <w:rsid w:val="00CA2586"/>
    <w:rsid w:val="00CA35A8"/>
    <w:rsid w:val="00CA5BC9"/>
    <w:rsid w:val="00CB5FD2"/>
    <w:rsid w:val="00CB672D"/>
    <w:rsid w:val="00CC1804"/>
    <w:rsid w:val="00CC6DED"/>
    <w:rsid w:val="00CD3F17"/>
    <w:rsid w:val="00CD568F"/>
    <w:rsid w:val="00CD5EC3"/>
    <w:rsid w:val="00CE5621"/>
    <w:rsid w:val="00CE7360"/>
    <w:rsid w:val="00CF68AC"/>
    <w:rsid w:val="00D029F0"/>
    <w:rsid w:val="00D10085"/>
    <w:rsid w:val="00D209C5"/>
    <w:rsid w:val="00D307AD"/>
    <w:rsid w:val="00D327C2"/>
    <w:rsid w:val="00D333C6"/>
    <w:rsid w:val="00D3730A"/>
    <w:rsid w:val="00D374B6"/>
    <w:rsid w:val="00D4162F"/>
    <w:rsid w:val="00D516E5"/>
    <w:rsid w:val="00D53A03"/>
    <w:rsid w:val="00D56509"/>
    <w:rsid w:val="00D57090"/>
    <w:rsid w:val="00D6103E"/>
    <w:rsid w:val="00D715B2"/>
    <w:rsid w:val="00D7297E"/>
    <w:rsid w:val="00D80EF8"/>
    <w:rsid w:val="00D80FBF"/>
    <w:rsid w:val="00D82B33"/>
    <w:rsid w:val="00D82E04"/>
    <w:rsid w:val="00D86AB7"/>
    <w:rsid w:val="00D87385"/>
    <w:rsid w:val="00D87DDC"/>
    <w:rsid w:val="00D87FC7"/>
    <w:rsid w:val="00D91BC8"/>
    <w:rsid w:val="00D9387B"/>
    <w:rsid w:val="00D95168"/>
    <w:rsid w:val="00D96FC7"/>
    <w:rsid w:val="00DA2620"/>
    <w:rsid w:val="00DA47F0"/>
    <w:rsid w:val="00DA635B"/>
    <w:rsid w:val="00DB2194"/>
    <w:rsid w:val="00DC1588"/>
    <w:rsid w:val="00DC1D24"/>
    <w:rsid w:val="00DD233C"/>
    <w:rsid w:val="00DD24BC"/>
    <w:rsid w:val="00DD693F"/>
    <w:rsid w:val="00DE1D1C"/>
    <w:rsid w:val="00DE1EA5"/>
    <w:rsid w:val="00DE65F6"/>
    <w:rsid w:val="00DF0989"/>
    <w:rsid w:val="00DF37A1"/>
    <w:rsid w:val="00DF710D"/>
    <w:rsid w:val="00E0228B"/>
    <w:rsid w:val="00E118B8"/>
    <w:rsid w:val="00E21C95"/>
    <w:rsid w:val="00E2506D"/>
    <w:rsid w:val="00E314A0"/>
    <w:rsid w:val="00E35302"/>
    <w:rsid w:val="00E435E9"/>
    <w:rsid w:val="00E47410"/>
    <w:rsid w:val="00E51465"/>
    <w:rsid w:val="00E54955"/>
    <w:rsid w:val="00E56135"/>
    <w:rsid w:val="00E56A53"/>
    <w:rsid w:val="00E57952"/>
    <w:rsid w:val="00E612DC"/>
    <w:rsid w:val="00E642E9"/>
    <w:rsid w:val="00E66A1D"/>
    <w:rsid w:val="00E75C2E"/>
    <w:rsid w:val="00E7737C"/>
    <w:rsid w:val="00E801A3"/>
    <w:rsid w:val="00E81A64"/>
    <w:rsid w:val="00E82604"/>
    <w:rsid w:val="00E94260"/>
    <w:rsid w:val="00E94352"/>
    <w:rsid w:val="00EA04BF"/>
    <w:rsid w:val="00EA68CA"/>
    <w:rsid w:val="00EA6A87"/>
    <w:rsid w:val="00EA7788"/>
    <w:rsid w:val="00EB07C5"/>
    <w:rsid w:val="00EB43B5"/>
    <w:rsid w:val="00EB4C68"/>
    <w:rsid w:val="00EB509F"/>
    <w:rsid w:val="00EB52AD"/>
    <w:rsid w:val="00EB64DF"/>
    <w:rsid w:val="00EC26BA"/>
    <w:rsid w:val="00ED290F"/>
    <w:rsid w:val="00ED60A5"/>
    <w:rsid w:val="00EE0CF7"/>
    <w:rsid w:val="00EE0EA1"/>
    <w:rsid w:val="00EE25CB"/>
    <w:rsid w:val="00EE7687"/>
    <w:rsid w:val="00EF4AF0"/>
    <w:rsid w:val="00F0115F"/>
    <w:rsid w:val="00F160E9"/>
    <w:rsid w:val="00F168E2"/>
    <w:rsid w:val="00F17A44"/>
    <w:rsid w:val="00F20219"/>
    <w:rsid w:val="00F20DB0"/>
    <w:rsid w:val="00F2359C"/>
    <w:rsid w:val="00F23883"/>
    <w:rsid w:val="00F26CAF"/>
    <w:rsid w:val="00F3063D"/>
    <w:rsid w:val="00F3778F"/>
    <w:rsid w:val="00F37C08"/>
    <w:rsid w:val="00F4149C"/>
    <w:rsid w:val="00F45AD0"/>
    <w:rsid w:val="00F52DBB"/>
    <w:rsid w:val="00F615EF"/>
    <w:rsid w:val="00F63FA0"/>
    <w:rsid w:val="00F668DD"/>
    <w:rsid w:val="00F947BB"/>
    <w:rsid w:val="00FA0F13"/>
    <w:rsid w:val="00FA2810"/>
    <w:rsid w:val="00FA460C"/>
    <w:rsid w:val="00FA5B09"/>
    <w:rsid w:val="00FA7D00"/>
    <w:rsid w:val="00FB0AC2"/>
    <w:rsid w:val="00FB4994"/>
    <w:rsid w:val="00FB4CD2"/>
    <w:rsid w:val="00FC32B8"/>
    <w:rsid w:val="00FC4D3F"/>
    <w:rsid w:val="00FC4FA6"/>
    <w:rsid w:val="00FD3420"/>
    <w:rsid w:val="00FE0B7B"/>
    <w:rsid w:val="00FE3F9B"/>
    <w:rsid w:val="00FF5225"/>
    <w:rsid w:val="00FF5767"/>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8E3F4"/>
  <w15:docId w15:val="{D15BDC40-3528-4768-BC3F-D6BDECF4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D4"/>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2E1357"/>
    <w:rPr>
      <w:sz w:val="16"/>
      <w:szCs w:val="16"/>
    </w:rPr>
  </w:style>
  <w:style w:type="paragraph" w:styleId="CommentText">
    <w:name w:val="annotation text"/>
    <w:basedOn w:val="Normal"/>
    <w:link w:val="CommentTextChar"/>
    <w:uiPriority w:val="99"/>
    <w:unhideWhenUsed/>
    <w:rsid w:val="002E1357"/>
  </w:style>
  <w:style w:type="character" w:customStyle="1" w:styleId="CommentTextChar">
    <w:name w:val="Comment Text Char"/>
    <w:basedOn w:val="DefaultParagraphFont"/>
    <w:link w:val="CommentText"/>
    <w:uiPriority w:val="99"/>
    <w:rsid w:val="002E1357"/>
  </w:style>
  <w:style w:type="paragraph" w:styleId="CommentSubject">
    <w:name w:val="annotation subject"/>
    <w:basedOn w:val="CommentText"/>
    <w:next w:val="CommentText"/>
    <w:link w:val="CommentSubjectChar"/>
    <w:uiPriority w:val="99"/>
    <w:semiHidden/>
    <w:unhideWhenUsed/>
    <w:rsid w:val="002E1357"/>
    <w:rPr>
      <w:b/>
      <w:bCs/>
    </w:rPr>
  </w:style>
  <w:style w:type="character" w:customStyle="1" w:styleId="CommentSubjectChar">
    <w:name w:val="Comment Subject Char"/>
    <w:basedOn w:val="CommentTextChar"/>
    <w:link w:val="CommentSubject"/>
    <w:uiPriority w:val="99"/>
    <w:semiHidden/>
    <w:rsid w:val="002E1357"/>
    <w:rPr>
      <w:b/>
      <w:bCs/>
    </w:rPr>
  </w:style>
  <w:style w:type="paragraph" w:styleId="BalloonText">
    <w:name w:val="Balloon Text"/>
    <w:basedOn w:val="Normal"/>
    <w:link w:val="BalloonTextChar"/>
    <w:semiHidden/>
    <w:unhideWhenUsed/>
    <w:rsid w:val="002E1357"/>
    <w:rPr>
      <w:rFonts w:ascii="Tahoma" w:hAnsi="Tahoma" w:cs="Tahoma"/>
      <w:sz w:val="16"/>
      <w:szCs w:val="16"/>
    </w:rPr>
  </w:style>
  <w:style w:type="character" w:customStyle="1" w:styleId="BalloonTextChar">
    <w:name w:val="Balloon Text Char"/>
    <w:basedOn w:val="DefaultParagraphFont"/>
    <w:link w:val="BalloonText"/>
    <w:uiPriority w:val="99"/>
    <w:semiHidden/>
    <w:rsid w:val="002E1357"/>
    <w:rPr>
      <w:rFonts w:ascii="Tahoma" w:hAnsi="Tahoma" w:cs="Tahoma"/>
      <w:sz w:val="16"/>
      <w:szCs w:val="16"/>
    </w:rPr>
  </w:style>
  <w:style w:type="paragraph" w:styleId="PlainText">
    <w:name w:val="Plain Text"/>
    <w:basedOn w:val="Normal"/>
    <w:link w:val="PlainTextChar"/>
    <w:uiPriority w:val="99"/>
    <w:unhideWhenUsed/>
    <w:rsid w:val="00E82604"/>
    <w:rPr>
      <w:rFonts w:ascii="Consolas" w:hAnsi="Consolas"/>
      <w:sz w:val="21"/>
      <w:szCs w:val="21"/>
    </w:rPr>
  </w:style>
  <w:style w:type="character" w:customStyle="1" w:styleId="PlainTextChar">
    <w:name w:val="Plain Text Char"/>
    <w:basedOn w:val="DefaultParagraphFont"/>
    <w:link w:val="PlainText"/>
    <w:uiPriority w:val="99"/>
    <w:rsid w:val="00E82604"/>
    <w:rPr>
      <w:rFonts w:ascii="Consolas" w:eastAsia="Calibri" w:hAnsi="Consolas" w:cs="Times New Roman"/>
      <w:sz w:val="21"/>
      <w:szCs w:val="21"/>
    </w:rPr>
  </w:style>
  <w:style w:type="paragraph" w:styleId="Header">
    <w:name w:val="header"/>
    <w:basedOn w:val="Normal"/>
    <w:link w:val="HeaderChar"/>
    <w:unhideWhenUsed/>
    <w:rsid w:val="004431D1"/>
    <w:pPr>
      <w:tabs>
        <w:tab w:val="center" w:pos="4680"/>
        <w:tab w:val="right" w:pos="9360"/>
      </w:tabs>
    </w:pPr>
  </w:style>
  <w:style w:type="character" w:customStyle="1" w:styleId="HeaderChar">
    <w:name w:val="Header Char"/>
    <w:basedOn w:val="DefaultParagraphFont"/>
    <w:link w:val="Header"/>
    <w:uiPriority w:val="99"/>
    <w:semiHidden/>
    <w:rsid w:val="004431D1"/>
  </w:style>
  <w:style w:type="paragraph" w:styleId="Footer">
    <w:name w:val="footer"/>
    <w:basedOn w:val="Normal"/>
    <w:link w:val="FooterChar"/>
    <w:uiPriority w:val="99"/>
    <w:unhideWhenUsed/>
    <w:rsid w:val="004431D1"/>
    <w:pPr>
      <w:tabs>
        <w:tab w:val="center" w:pos="4680"/>
        <w:tab w:val="right" w:pos="9360"/>
      </w:tabs>
    </w:pPr>
  </w:style>
  <w:style w:type="character" w:customStyle="1" w:styleId="FooterChar">
    <w:name w:val="Footer Char"/>
    <w:basedOn w:val="DefaultParagraphFont"/>
    <w:link w:val="Footer"/>
    <w:uiPriority w:val="99"/>
    <w:rsid w:val="004431D1"/>
  </w:style>
  <w:style w:type="table" w:styleId="TableGrid">
    <w:name w:val="Table Grid"/>
    <w:basedOn w:val="TableNormal"/>
    <w:uiPriority w:val="59"/>
    <w:rsid w:val="0015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ppxftmtr">
    <w:name w:val="2appx/ftmtr"/>
    <w:rsid w:val="00FC32B8"/>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eastAsia="Times New Roman" w:hAnsi="Arial"/>
      <w:sz w:val="24"/>
    </w:rPr>
  </w:style>
  <w:style w:type="character" w:styleId="Hyperlink">
    <w:name w:val="Hyperlink"/>
    <w:basedOn w:val="DefaultParagraphFont"/>
    <w:uiPriority w:val="99"/>
    <w:unhideWhenUsed/>
    <w:rsid w:val="009F7C1B"/>
    <w:rPr>
      <w:color w:val="0000FF" w:themeColor="hyperlink"/>
      <w:u w:val="single"/>
    </w:rPr>
  </w:style>
  <w:style w:type="character" w:styleId="FollowedHyperlink">
    <w:name w:val="FollowedHyperlink"/>
    <w:basedOn w:val="DefaultParagraphFont"/>
    <w:uiPriority w:val="99"/>
    <w:semiHidden/>
    <w:unhideWhenUsed/>
    <w:rsid w:val="009F7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4895">
      <w:bodyDiv w:val="1"/>
      <w:marLeft w:val="0"/>
      <w:marRight w:val="0"/>
      <w:marTop w:val="0"/>
      <w:marBottom w:val="0"/>
      <w:divBdr>
        <w:top w:val="none" w:sz="0" w:space="0" w:color="auto"/>
        <w:left w:val="none" w:sz="0" w:space="0" w:color="auto"/>
        <w:bottom w:val="none" w:sz="0" w:space="0" w:color="auto"/>
        <w:right w:val="none" w:sz="0" w:space="0" w:color="auto"/>
      </w:divBdr>
    </w:div>
    <w:div w:id="164977885">
      <w:bodyDiv w:val="1"/>
      <w:marLeft w:val="0"/>
      <w:marRight w:val="0"/>
      <w:marTop w:val="0"/>
      <w:marBottom w:val="0"/>
      <w:divBdr>
        <w:top w:val="none" w:sz="0" w:space="0" w:color="auto"/>
        <w:left w:val="none" w:sz="0" w:space="0" w:color="auto"/>
        <w:bottom w:val="none" w:sz="0" w:space="0" w:color="auto"/>
        <w:right w:val="none" w:sz="0" w:space="0" w:color="auto"/>
      </w:divBdr>
    </w:div>
    <w:div w:id="347945206">
      <w:bodyDiv w:val="1"/>
      <w:marLeft w:val="0"/>
      <w:marRight w:val="0"/>
      <w:marTop w:val="0"/>
      <w:marBottom w:val="0"/>
      <w:divBdr>
        <w:top w:val="none" w:sz="0" w:space="0" w:color="auto"/>
        <w:left w:val="none" w:sz="0" w:space="0" w:color="auto"/>
        <w:bottom w:val="none" w:sz="0" w:space="0" w:color="auto"/>
        <w:right w:val="none" w:sz="0" w:space="0" w:color="auto"/>
      </w:divBdr>
    </w:div>
    <w:div w:id="352149924">
      <w:bodyDiv w:val="1"/>
      <w:marLeft w:val="0"/>
      <w:marRight w:val="0"/>
      <w:marTop w:val="0"/>
      <w:marBottom w:val="0"/>
      <w:divBdr>
        <w:top w:val="none" w:sz="0" w:space="0" w:color="auto"/>
        <w:left w:val="none" w:sz="0" w:space="0" w:color="auto"/>
        <w:bottom w:val="none" w:sz="0" w:space="0" w:color="auto"/>
        <w:right w:val="none" w:sz="0" w:space="0" w:color="auto"/>
      </w:divBdr>
    </w:div>
    <w:div w:id="524292346">
      <w:bodyDiv w:val="1"/>
      <w:marLeft w:val="0"/>
      <w:marRight w:val="0"/>
      <w:marTop w:val="0"/>
      <w:marBottom w:val="0"/>
      <w:divBdr>
        <w:top w:val="none" w:sz="0" w:space="0" w:color="auto"/>
        <w:left w:val="none" w:sz="0" w:space="0" w:color="auto"/>
        <w:bottom w:val="none" w:sz="0" w:space="0" w:color="auto"/>
        <w:right w:val="none" w:sz="0" w:space="0" w:color="auto"/>
      </w:divBdr>
    </w:div>
    <w:div w:id="532696604">
      <w:bodyDiv w:val="1"/>
      <w:marLeft w:val="0"/>
      <w:marRight w:val="0"/>
      <w:marTop w:val="0"/>
      <w:marBottom w:val="0"/>
      <w:divBdr>
        <w:top w:val="none" w:sz="0" w:space="0" w:color="auto"/>
        <w:left w:val="none" w:sz="0" w:space="0" w:color="auto"/>
        <w:bottom w:val="none" w:sz="0" w:space="0" w:color="auto"/>
        <w:right w:val="none" w:sz="0" w:space="0" w:color="auto"/>
      </w:divBdr>
    </w:div>
    <w:div w:id="676612253">
      <w:bodyDiv w:val="1"/>
      <w:marLeft w:val="0"/>
      <w:marRight w:val="0"/>
      <w:marTop w:val="0"/>
      <w:marBottom w:val="0"/>
      <w:divBdr>
        <w:top w:val="none" w:sz="0" w:space="0" w:color="auto"/>
        <w:left w:val="none" w:sz="0" w:space="0" w:color="auto"/>
        <w:bottom w:val="none" w:sz="0" w:space="0" w:color="auto"/>
        <w:right w:val="none" w:sz="0" w:space="0" w:color="auto"/>
      </w:divBdr>
    </w:div>
    <w:div w:id="881674321">
      <w:bodyDiv w:val="1"/>
      <w:marLeft w:val="0"/>
      <w:marRight w:val="0"/>
      <w:marTop w:val="0"/>
      <w:marBottom w:val="0"/>
      <w:divBdr>
        <w:top w:val="none" w:sz="0" w:space="0" w:color="auto"/>
        <w:left w:val="none" w:sz="0" w:space="0" w:color="auto"/>
        <w:bottom w:val="none" w:sz="0" w:space="0" w:color="auto"/>
        <w:right w:val="none" w:sz="0" w:space="0" w:color="auto"/>
      </w:divBdr>
    </w:div>
    <w:div w:id="914558438">
      <w:bodyDiv w:val="1"/>
      <w:marLeft w:val="0"/>
      <w:marRight w:val="0"/>
      <w:marTop w:val="0"/>
      <w:marBottom w:val="0"/>
      <w:divBdr>
        <w:top w:val="none" w:sz="0" w:space="0" w:color="auto"/>
        <w:left w:val="none" w:sz="0" w:space="0" w:color="auto"/>
        <w:bottom w:val="none" w:sz="0" w:space="0" w:color="auto"/>
        <w:right w:val="none" w:sz="0" w:space="0" w:color="auto"/>
      </w:divBdr>
    </w:div>
    <w:div w:id="1031149528">
      <w:bodyDiv w:val="1"/>
      <w:marLeft w:val="0"/>
      <w:marRight w:val="0"/>
      <w:marTop w:val="0"/>
      <w:marBottom w:val="0"/>
      <w:divBdr>
        <w:top w:val="none" w:sz="0" w:space="0" w:color="auto"/>
        <w:left w:val="none" w:sz="0" w:space="0" w:color="auto"/>
        <w:bottom w:val="none" w:sz="0" w:space="0" w:color="auto"/>
        <w:right w:val="none" w:sz="0" w:space="0" w:color="auto"/>
      </w:divBdr>
    </w:div>
    <w:div w:id="1214998073">
      <w:bodyDiv w:val="1"/>
      <w:marLeft w:val="0"/>
      <w:marRight w:val="0"/>
      <w:marTop w:val="0"/>
      <w:marBottom w:val="0"/>
      <w:divBdr>
        <w:top w:val="none" w:sz="0" w:space="0" w:color="auto"/>
        <w:left w:val="none" w:sz="0" w:space="0" w:color="auto"/>
        <w:bottom w:val="none" w:sz="0" w:space="0" w:color="auto"/>
        <w:right w:val="none" w:sz="0" w:space="0" w:color="auto"/>
      </w:divBdr>
    </w:div>
    <w:div w:id="1311055655">
      <w:bodyDiv w:val="1"/>
      <w:marLeft w:val="0"/>
      <w:marRight w:val="0"/>
      <w:marTop w:val="0"/>
      <w:marBottom w:val="0"/>
      <w:divBdr>
        <w:top w:val="none" w:sz="0" w:space="0" w:color="auto"/>
        <w:left w:val="none" w:sz="0" w:space="0" w:color="auto"/>
        <w:bottom w:val="none" w:sz="0" w:space="0" w:color="auto"/>
        <w:right w:val="none" w:sz="0" w:space="0" w:color="auto"/>
      </w:divBdr>
    </w:div>
    <w:div w:id="1452086524">
      <w:bodyDiv w:val="1"/>
      <w:marLeft w:val="0"/>
      <w:marRight w:val="0"/>
      <w:marTop w:val="0"/>
      <w:marBottom w:val="0"/>
      <w:divBdr>
        <w:top w:val="none" w:sz="0" w:space="0" w:color="auto"/>
        <w:left w:val="none" w:sz="0" w:space="0" w:color="auto"/>
        <w:bottom w:val="none" w:sz="0" w:space="0" w:color="auto"/>
        <w:right w:val="none" w:sz="0" w:space="0" w:color="auto"/>
      </w:divBdr>
    </w:div>
    <w:div w:id="1553807772">
      <w:bodyDiv w:val="1"/>
      <w:marLeft w:val="0"/>
      <w:marRight w:val="0"/>
      <w:marTop w:val="0"/>
      <w:marBottom w:val="0"/>
      <w:divBdr>
        <w:top w:val="none" w:sz="0" w:space="0" w:color="auto"/>
        <w:left w:val="none" w:sz="0" w:space="0" w:color="auto"/>
        <w:bottom w:val="none" w:sz="0" w:space="0" w:color="auto"/>
        <w:right w:val="none" w:sz="0" w:space="0" w:color="auto"/>
      </w:divBdr>
    </w:div>
    <w:div w:id="1617567886">
      <w:bodyDiv w:val="1"/>
      <w:marLeft w:val="0"/>
      <w:marRight w:val="0"/>
      <w:marTop w:val="0"/>
      <w:marBottom w:val="0"/>
      <w:divBdr>
        <w:top w:val="none" w:sz="0" w:space="0" w:color="auto"/>
        <w:left w:val="none" w:sz="0" w:space="0" w:color="auto"/>
        <w:bottom w:val="none" w:sz="0" w:space="0" w:color="auto"/>
        <w:right w:val="none" w:sz="0" w:space="0" w:color="auto"/>
      </w:divBdr>
    </w:div>
    <w:div w:id="1661274664">
      <w:bodyDiv w:val="1"/>
      <w:marLeft w:val="0"/>
      <w:marRight w:val="0"/>
      <w:marTop w:val="0"/>
      <w:marBottom w:val="0"/>
      <w:divBdr>
        <w:top w:val="none" w:sz="0" w:space="0" w:color="auto"/>
        <w:left w:val="none" w:sz="0" w:space="0" w:color="auto"/>
        <w:bottom w:val="none" w:sz="0" w:space="0" w:color="auto"/>
        <w:right w:val="none" w:sz="0" w:space="0" w:color="auto"/>
      </w:divBdr>
    </w:div>
    <w:div w:id="1881480075">
      <w:bodyDiv w:val="1"/>
      <w:marLeft w:val="0"/>
      <w:marRight w:val="0"/>
      <w:marTop w:val="0"/>
      <w:marBottom w:val="0"/>
      <w:divBdr>
        <w:top w:val="none" w:sz="0" w:space="0" w:color="auto"/>
        <w:left w:val="none" w:sz="0" w:space="0" w:color="auto"/>
        <w:bottom w:val="none" w:sz="0" w:space="0" w:color="auto"/>
        <w:right w:val="none" w:sz="0" w:space="0" w:color="auto"/>
      </w:divBdr>
    </w:div>
    <w:div w:id="1920360760">
      <w:bodyDiv w:val="1"/>
      <w:marLeft w:val="0"/>
      <w:marRight w:val="0"/>
      <w:marTop w:val="0"/>
      <w:marBottom w:val="0"/>
      <w:divBdr>
        <w:top w:val="none" w:sz="0" w:space="0" w:color="auto"/>
        <w:left w:val="none" w:sz="0" w:space="0" w:color="auto"/>
        <w:bottom w:val="none" w:sz="0" w:space="0" w:color="auto"/>
        <w:right w:val="none" w:sz="0" w:space="0" w:color="auto"/>
      </w:divBdr>
    </w:div>
    <w:div w:id="1951815047">
      <w:bodyDiv w:val="1"/>
      <w:marLeft w:val="0"/>
      <w:marRight w:val="0"/>
      <w:marTop w:val="0"/>
      <w:marBottom w:val="0"/>
      <w:divBdr>
        <w:top w:val="none" w:sz="0" w:space="0" w:color="auto"/>
        <w:left w:val="none" w:sz="0" w:space="0" w:color="auto"/>
        <w:bottom w:val="none" w:sz="0" w:space="0" w:color="auto"/>
        <w:right w:val="none" w:sz="0" w:space="0" w:color="auto"/>
      </w:divBdr>
    </w:div>
    <w:div w:id="1963144774">
      <w:bodyDiv w:val="1"/>
      <w:marLeft w:val="0"/>
      <w:marRight w:val="0"/>
      <w:marTop w:val="0"/>
      <w:marBottom w:val="0"/>
      <w:divBdr>
        <w:top w:val="none" w:sz="0" w:space="0" w:color="auto"/>
        <w:left w:val="none" w:sz="0" w:space="0" w:color="auto"/>
        <w:bottom w:val="none" w:sz="0" w:space="0" w:color="auto"/>
        <w:right w:val="none" w:sz="0" w:space="0" w:color="auto"/>
      </w:divBdr>
    </w:div>
    <w:div w:id="2118063114">
      <w:bodyDiv w:val="1"/>
      <w:marLeft w:val="0"/>
      <w:marRight w:val="0"/>
      <w:marTop w:val="0"/>
      <w:marBottom w:val="0"/>
      <w:divBdr>
        <w:top w:val="none" w:sz="0" w:space="0" w:color="auto"/>
        <w:left w:val="none" w:sz="0" w:space="0" w:color="auto"/>
        <w:bottom w:val="none" w:sz="0" w:space="0" w:color="auto"/>
        <w:right w:val="none" w:sz="0" w:space="0" w:color="auto"/>
      </w:divBdr>
      <w:divsChild>
        <w:div w:id="474680851">
          <w:marLeft w:val="1166"/>
          <w:marRight w:val="0"/>
          <w:marTop w:val="0"/>
          <w:marBottom w:val="0"/>
          <w:divBdr>
            <w:top w:val="none" w:sz="0" w:space="0" w:color="auto"/>
            <w:left w:val="none" w:sz="0" w:space="0" w:color="auto"/>
            <w:bottom w:val="none" w:sz="0" w:space="0" w:color="auto"/>
            <w:right w:val="none" w:sz="0" w:space="0" w:color="auto"/>
          </w:divBdr>
        </w:div>
        <w:div w:id="1142424480">
          <w:marLeft w:val="1166"/>
          <w:marRight w:val="0"/>
          <w:marTop w:val="0"/>
          <w:marBottom w:val="0"/>
          <w:divBdr>
            <w:top w:val="none" w:sz="0" w:space="0" w:color="auto"/>
            <w:left w:val="none" w:sz="0" w:space="0" w:color="auto"/>
            <w:bottom w:val="none" w:sz="0" w:space="0" w:color="auto"/>
            <w:right w:val="none" w:sz="0" w:space="0" w:color="auto"/>
          </w:divBdr>
        </w:div>
        <w:div w:id="1494754882">
          <w:marLeft w:val="547"/>
          <w:marRight w:val="0"/>
          <w:marTop w:val="28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dla.mil/HQ/InformationOperations/DLMS/Archives/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5" ma:contentTypeDescription="Create a new document." ma:contentTypeScope="" ma:versionID="14fc1a7d27c75dbfa19e3c81303ad42c">
  <xsd:schema xmlns:xsd="http://www.w3.org/2001/XMLSchema" xmlns:xs="http://www.w3.org/2001/XMLSchema" xmlns:p="http://schemas.microsoft.com/office/2006/metadata/properties" xmlns:ns1="http://schemas.microsoft.com/sharepoint/v3" xmlns:ns2="http://schemas.microsoft.com/sharepoint/v4" xmlns:ns3="1019005c-580f-42ae-adec-ba9490377f66" targetNamespace="http://schemas.microsoft.com/office/2006/metadata/properties" ma:root="true" ma:fieldsID="9f63284b774a3f4f5fddb0bc14f63941" ns1:_="" ns2:_="" ns3:_="">
    <xsd:import namespace="http://schemas.microsoft.com/sharepoint/v3"/>
    <xsd:import namespace="http://schemas.microsoft.com/sharepoint/v4"/>
    <xsd:import namespace="1019005c-580f-42ae-adec-ba9490377f66"/>
    <xsd:element name="properties">
      <xsd:complexType>
        <xsd:sequence>
          <xsd:element name="documentManagement">
            <xsd:complexType>
              <xsd:all>
                <xsd:element ref="ns1:_vti_ItemHoldRecordStatus" minOccurs="0"/>
                <xsd:element ref="ns2:IconOverlay"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005c-580f-42ae-adec-ba9490377f66"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ans"/>
                    <xsd:enumeration value="Delaney"/>
                    <xsd:enumeration value="Hilert"/>
                    <xsd:enumeration value="Flanagan"/>
                    <xsd:enumeration value="Gonzalez"/>
                    <xsd:enumeration value="Hammond"/>
                    <xsd:enumeration value="Jensen"/>
                    <xsd:enumeration value="Johnson"/>
                    <xsd:enumeration value="Macias"/>
                    <xsd:enumeration value="Napoli"/>
                    <xsd:enumeration value="Nguyen"/>
                    <xsd:enumeration value="Tanner"/>
                    <xsd:enumeration value="Williams"/>
                    <xsd:enumeration value="Yeake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ssigned xmlns="1019005c-580f-42ae-adec-ba9490377f6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9F0A-7E85-438D-81F7-ADAC98C32DD6}">
  <ds:schemaRefs>
    <ds:schemaRef ds:uri="http://schemas.microsoft.com/sharepoint/v3/contenttype/forms"/>
  </ds:schemaRefs>
</ds:datastoreItem>
</file>

<file path=customXml/itemProps2.xml><?xml version="1.0" encoding="utf-8"?>
<ds:datastoreItem xmlns:ds="http://schemas.openxmlformats.org/officeDocument/2006/customXml" ds:itemID="{56BDFA57-0288-4909-B562-AA965BAC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019005c-580f-42ae-adec-ba9490377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5FEF4-7FC3-4856-B5AF-E55DAE915A3E}">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19005c-580f-42ae-adec-ba9490377f66"/>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5744C056-7FE2-4D27-938C-D696BD15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4973F5B5</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Gonzalez Flanagan 17 Dec 17</vt:lpstr>
    </vt:vector>
  </TitlesOfParts>
  <Company>DLA</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Gonzalez Flanagan 17 Dec 17</dc:title>
  <dc:creator>Mary Jane Johnson</dc:creator>
  <cp:lastModifiedBy>Belcher, Marcy A CTR DLA INFO OPERATIONS (USA)</cp:lastModifiedBy>
  <cp:revision>3</cp:revision>
  <cp:lastPrinted>2015-10-25T15:50:00Z</cp:lastPrinted>
  <dcterms:created xsi:type="dcterms:W3CDTF">2019-10-04T12:06:00Z</dcterms:created>
  <dcterms:modified xsi:type="dcterms:W3CDTF">2019-10-04T15:12:00Z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0x010100AFF116ADBD23054CA10BDD9362BC0353</vt:lpwstr>
  </property>
</Properties>
</file>