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6DE29" w14:textId="77777777" w:rsidR="00D62A5D" w:rsidRDefault="00D62A5D" w:rsidP="00D62A5D">
      <w:pPr>
        <w:pStyle w:val="Header"/>
        <w:spacing w:after="40" w:line="240" w:lineRule="exact"/>
        <w:jc w:val="center"/>
        <w:rPr>
          <w:rFonts w:ascii="Arial Unicode MS" w:eastAsia="Arial Unicode MS" w:hAnsi="Arial Unicode MS" w:cs="Arial Unicode MS"/>
          <w:sz w:val="22"/>
          <w:szCs w:val="22"/>
        </w:rPr>
      </w:pPr>
      <w:r>
        <w:rPr>
          <w:noProof/>
        </w:rPr>
        <w:drawing>
          <wp:anchor distT="0" distB="0" distL="114300" distR="114300" simplePos="0" relativeHeight="251659264" behindDoc="0" locked="0" layoutInCell="1" allowOverlap="1" wp14:anchorId="6C0C51FE" wp14:editId="214B85CD">
            <wp:simplePos x="0" y="0"/>
            <wp:positionH relativeFrom="column">
              <wp:posOffset>-457200</wp:posOffset>
            </wp:positionH>
            <wp:positionV relativeFrom="page">
              <wp:posOffset>611505</wp:posOffset>
            </wp:positionV>
            <wp:extent cx="941705" cy="941705"/>
            <wp:effectExtent l="0" t="0" r="0" b="0"/>
            <wp:wrapThrough wrapText="bothSides">
              <wp:wrapPolygon edited="0">
                <wp:start x="0" y="0"/>
                <wp:lineTo x="0" y="20974"/>
                <wp:lineTo x="20974" y="20974"/>
                <wp:lineTo x="20974"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r>
        <w:rPr>
          <w:rFonts w:ascii="Copperplate Gothic Bold" w:eastAsia="Copperplate Gothic Bold" w:hAnsi="Copperplate Gothic Bold" w:cs="Copperplate Gothic Bold"/>
          <w:color w:val="295694"/>
          <w:sz w:val="22"/>
          <w:szCs w:val="22"/>
        </w:rPr>
        <w:t>OFFICE OF THE ASSISTANT SECRETARY OF DEFENSE</w:t>
      </w:r>
    </w:p>
    <w:p w14:paraId="0095B273" w14:textId="77777777" w:rsidR="00D62A5D" w:rsidRDefault="00D62A5D" w:rsidP="00D62A5D">
      <w:pPr>
        <w:pStyle w:val="Header"/>
        <w:spacing w:line="240" w:lineRule="exact"/>
        <w:jc w:val="center"/>
        <w:rPr>
          <w:rFonts w:ascii="Arial Unicode MS" w:eastAsia="Arial Unicode MS" w:hAnsi="Arial Unicode MS" w:cs="Arial Unicode MS"/>
          <w:sz w:val="20"/>
          <w:szCs w:val="20"/>
        </w:rPr>
      </w:pPr>
      <w:r>
        <w:rPr>
          <w:rFonts w:ascii="Copperplate Gothic Bold" w:eastAsia="Copperplate Gothic Bold" w:hAnsi="Copperplate Gothic Bold" w:cs="Copperplate Gothic Bold"/>
          <w:color w:val="295694"/>
          <w:sz w:val="17"/>
          <w:szCs w:val="20"/>
        </w:rPr>
        <w:t>3000 DEFENSE PENTAGON</w:t>
      </w:r>
    </w:p>
    <w:p w14:paraId="09EB9A4E" w14:textId="77777777" w:rsidR="00D62A5D" w:rsidRDefault="00D62A5D" w:rsidP="00D62A5D">
      <w:pPr>
        <w:pStyle w:val="Header"/>
        <w:spacing w:after="140" w:line="170" w:lineRule="exact"/>
        <w:jc w:val="center"/>
        <w:rPr>
          <w:rFonts w:ascii="Copperplate Gothic Bold" w:eastAsia="Copperplate Gothic Bold" w:hAnsi="Copperplate Gothic Bold" w:cs="Copperplate Gothic Bold"/>
          <w:color w:val="295694"/>
          <w:sz w:val="17"/>
          <w:szCs w:val="20"/>
        </w:rPr>
      </w:pPr>
      <w:r>
        <w:rPr>
          <w:rFonts w:ascii="Copperplate Gothic Bold" w:eastAsia="Copperplate Gothic Bold" w:hAnsi="Copperplate Gothic Bold" w:cs="Copperplate Gothic Bold"/>
          <w:color w:val="295694"/>
          <w:sz w:val="17"/>
          <w:szCs w:val="20"/>
        </w:rPr>
        <w:t>WASHINGTON, DC  20301-3000</w:t>
      </w:r>
    </w:p>
    <w:p w14:paraId="2E8B627A" w14:textId="77777777" w:rsidR="00D62A5D" w:rsidRDefault="00D62A5D" w:rsidP="00D62A5D">
      <w:pPr>
        <w:rPr>
          <w:sz w:val="16"/>
        </w:rPr>
      </w:pPr>
      <w:r>
        <w:rPr>
          <w:rFonts w:ascii="Copperplate Gothic Bold" w:eastAsia="Copperplate Gothic Bold" w:hAnsi="Copperplate Gothic Bold" w:cs="Copperplate Gothic Bold"/>
          <w:sz w:val="20"/>
        </w:rPr>
        <w:t xml:space="preserve"> </w:t>
      </w:r>
      <w:r>
        <w:rPr>
          <w:sz w:val="16"/>
        </w:rPr>
        <w:t xml:space="preserve"> </w:t>
      </w:r>
    </w:p>
    <w:p w14:paraId="344DB3E1" w14:textId="77777777" w:rsidR="00D62A5D" w:rsidRDefault="00D62A5D" w:rsidP="00D62A5D">
      <w:pPr>
        <w:rPr>
          <w:sz w:val="16"/>
        </w:rPr>
      </w:pPr>
      <w:r>
        <w:rPr>
          <w:sz w:val="16"/>
        </w:rPr>
        <w:t xml:space="preserve"> </w:t>
      </w:r>
    </w:p>
    <w:p w14:paraId="23FAA0DC" w14:textId="77777777" w:rsidR="00D62A5D" w:rsidRDefault="00D62A5D" w:rsidP="00D62A5D">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LOGISTICS AND</w:t>
      </w:r>
    </w:p>
    <w:p w14:paraId="60F9D925" w14:textId="77777777" w:rsidR="00D62A5D" w:rsidRDefault="00D62A5D" w:rsidP="00D62A5D">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w:t>
      </w:r>
      <w:r>
        <w:rPr>
          <w:rFonts w:ascii="Copperplate Gothic Bold" w:eastAsia="Copperplate Gothic Bold" w:hAnsi="Copperplate Gothic Bold" w:cs="Copperplate Gothic Bold"/>
          <w:noProof/>
          <w:color w:val="295694"/>
          <w:sz w:val="13"/>
          <w:szCs w:val="14"/>
        </w:rPr>
        <w:t xml:space="preserve">MATERIEL READINESS </w:t>
      </w:r>
    </w:p>
    <w:p w14:paraId="667D29A1" w14:textId="28CFBEA8" w:rsidR="00EA1F41" w:rsidRDefault="00216F80" w:rsidP="001822BB">
      <w:pPr>
        <w:pStyle w:val="Footer"/>
        <w:tabs>
          <w:tab w:val="left" w:pos="1620"/>
        </w:tabs>
        <w:ind w:left="1620" w:hanging="1620"/>
        <w:jc w:val="right"/>
        <w:rPr>
          <w:sz w:val="26"/>
          <w:szCs w:val="26"/>
        </w:rPr>
      </w:pPr>
      <w:r>
        <w:rPr>
          <w:sz w:val="26"/>
          <w:szCs w:val="26"/>
        </w:rPr>
        <w:t>DLM 4000.25</w:t>
      </w:r>
      <w:r w:rsidR="00A23263">
        <w:rPr>
          <w:sz w:val="26"/>
          <w:szCs w:val="26"/>
        </w:rPr>
        <w:t>-4</w:t>
      </w:r>
      <w:r>
        <w:rPr>
          <w:sz w:val="26"/>
          <w:szCs w:val="26"/>
        </w:rPr>
        <w:t xml:space="preserve">, </w:t>
      </w:r>
      <w:r w:rsidR="006B6CFA" w:rsidRPr="006B6CFA">
        <w:rPr>
          <w:sz w:val="26"/>
          <w:szCs w:val="26"/>
        </w:rPr>
        <w:t>June 16, 2015</w:t>
      </w:r>
    </w:p>
    <w:p w14:paraId="667D29A2" w14:textId="3F327859" w:rsidR="008F76AB" w:rsidRPr="00A977E9" w:rsidRDefault="008F76AB" w:rsidP="00726F50">
      <w:pPr>
        <w:pStyle w:val="Footer"/>
        <w:tabs>
          <w:tab w:val="left" w:pos="1620"/>
        </w:tabs>
        <w:spacing w:after="240"/>
        <w:ind w:left="1627" w:hanging="1627"/>
        <w:jc w:val="right"/>
        <w:rPr>
          <w:sz w:val="26"/>
          <w:szCs w:val="26"/>
        </w:rPr>
      </w:pPr>
      <w:r w:rsidRPr="00EA1789">
        <w:rPr>
          <w:sz w:val="26"/>
          <w:szCs w:val="26"/>
        </w:rPr>
        <w:t xml:space="preserve">Change </w:t>
      </w:r>
      <w:r w:rsidR="00A23263">
        <w:rPr>
          <w:sz w:val="26"/>
          <w:szCs w:val="26"/>
        </w:rPr>
        <w:t>1</w:t>
      </w:r>
    </w:p>
    <w:p w14:paraId="667D29A4" w14:textId="45874C99" w:rsidR="008F76AB" w:rsidRPr="00A23263" w:rsidRDefault="007A4606" w:rsidP="00A23263">
      <w:pPr>
        <w:pStyle w:val="Footer"/>
        <w:tabs>
          <w:tab w:val="left" w:pos="1260"/>
        </w:tabs>
        <w:ind w:left="1260" w:hanging="1260"/>
        <w:jc w:val="center"/>
        <w:rPr>
          <w:bCs/>
        </w:rPr>
      </w:pPr>
      <w:r w:rsidRPr="007A4606">
        <w:rPr>
          <w:bCs/>
        </w:rPr>
        <w:t xml:space="preserve">DEFENSE </w:t>
      </w:r>
      <w:r w:rsidR="00A23263">
        <w:rPr>
          <w:bCs/>
        </w:rPr>
        <w:t>AUTOMATIC ADDRESSING</w:t>
      </w:r>
      <w:r w:rsidR="00A23263" w:rsidRPr="007A4606">
        <w:rPr>
          <w:bCs/>
        </w:rPr>
        <w:t xml:space="preserve"> </w:t>
      </w:r>
      <w:r w:rsidRPr="007A4606">
        <w:rPr>
          <w:bCs/>
        </w:rPr>
        <w:t>SYSTEM</w:t>
      </w:r>
    </w:p>
    <w:p w14:paraId="667D29A5" w14:textId="73594AC9" w:rsidR="007A4606" w:rsidRPr="007A4606" w:rsidRDefault="007A4606" w:rsidP="00CB2D13">
      <w:pPr>
        <w:pStyle w:val="Footer"/>
        <w:tabs>
          <w:tab w:val="left" w:pos="1260"/>
        </w:tabs>
        <w:ind w:left="1260" w:hanging="1260"/>
        <w:jc w:val="center"/>
        <w:rPr>
          <w:bCs/>
        </w:rPr>
      </w:pPr>
      <w:r w:rsidRPr="007A4606">
        <w:rPr>
          <w:bCs/>
        </w:rPr>
        <w:t>C</w:t>
      </w:r>
      <w:r w:rsidR="00333B11">
        <w:rPr>
          <w:bCs/>
        </w:rPr>
        <w:t xml:space="preserve">HANGE </w:t>
      </w:r>
      <w:r w:rsidR="00A23263">
        <w:rPr>
          <w:bCs/>
        </w:rPr>
        <w:t>1</w:t>
      </w:r>
    </w:p>
    <w:p w14:paraId="667D29A6" w14:textId="77777777" w:rsidR="007A4606" w:rsidRDefault="007A4606" w:rsidP="007A4606">
      <w:pPr>
        <w:pStyle w:val="Footer"/>
        <w:tabs>
          <w:tab w:val="left" w:pos="1620"/>
        </w:tabs>
        <w:ind w:left="1620" w:hanging="1620"/>
      </w:pPr>
    </w:p>
    <w:p w14:paraId="1A598EC0" w14:textId="6958C14B" w:rsidR="00B51CB4" w:rsidRDefault="007A4606" w:rsidP="008C715D">
      <w:pPr>
        <w:spacing w:after="240"/>
        <w:ind w:right="-90"/>
        <w:rPr>
          <w:color w:val="000000"/>
        </w:rPr>
      </w:pPr>
      <w:r>
        <w:t>I.</w:t>
      </w:r>
      <w:r>
        <w:rPr>
          <w:spacing w:val="57"/>
        </w:rPr>
        <w:t xml:space="preserve"> </w:t>
      </w:r>
      <w:r w:rsidR="00D62A5D">
        <w:rPr>
          <w:spacing w:val="57"/>
        </w:rPr>
        <w:t xml:space="preserve"> </w:t>
      </w:r>
      <w:r>
        <w:t>This change to DLM 4000.25</w:t>
      </w:r>
      <w:r w:rsidR="00A23263">
        <w:t>-4</w:t>
      </w:r>
      <w:r>
        <w:t>,</w:t>
      </w:r>
      <w:r>
        <w:rPr>
          <w:spacing w:val="-1"/>
        </w:rPr>
        <w:t xml:space="preserve"> Defense </w:t>
      </w:r>
      <w:r w:rsidR="00A23263">
        <w:rPr>
          <w:spacing w:val="-1"/>
        </w:rPr>
        <w:t>Automatic Addressing System (DAAS)</w:t>
      </w:r>
      <w:r>
        <w:rPr>
          <w:spacing w:val="-1"/>
        </w:rPr>
        <w:t xml:space="preserve">, </w:t>
      </w:r>
      <w:r w:rsidR="003F651F">
        <w:rPr>
          <w:spacing w:val="-1"/>
        </w:rPr>
        <w:t>June 2012</w:t>
      </w:r>
      <w:r>
        <w:t>, is p</w:t>
      </w:r>
      <w:r>
        <w:rPr>
          <w:spacing w:val="-1"/>
        </w:rPr>
        <w:t>u</w:t>
      </w:r>
      <w:r>
        <w:t>blished</w:t>
      </w:r>
      <w:r w:rsidR="00327A0E">
        <w:t xml:space="preserve"> </w:t>
      </w:r>
      <w:r w:rsidRPr="008F76AB">
        <w:rPr>
          <w:spacing w:val="-1"/>
        </w:rPr>
        <w:t>b</w:t>
      </w:r>
      <w:r w:rsidRPr="008F76AB">
        <w:t>y</w:t>
      </w:r>
      <w:r w:rsidRPr="008F76AB">
        <w:rPr>
          <w:spacing w:val="1"/>
        </w:rPr>
        <w:t xml:space="preserve"> </w:t>
      </w:r>
      <w:r w:rsidRPr="008F76AB">
        <w:t>dir</w:t>
      </w:r>
      <w:r w:rsidRPr="008F76AB">
        <w:rPr>
          <w:spacing w:val="-2"/>
        </w:rPr>
        <w:t>e</w:t>
      </w:r>
      <w:r w:rsidRPr="008F76AB">
        <w:t>ction of the Depu</w:t>
      </w:r>
      <w:r w:rsidRPr="008F76AB">
        <w:rPr>
          <w:spacing w:val="-2"/>
        </w:rPr>
        <w:t>t</w:t>
      </w:r>
      <w:r w:rsidRPr="008F76AB">
        <w:t>y</w:t>
      </w:r>
      <w:r w:rsidRPr="008F76AB">
        <w:rPr>
          <w:spacing w:val="1"/>
        </w:rPr>
        <w:t xml:space="preserve"> Assistant Secretary of Defense for Supply Chain Integration </w:t>
      </w:r>
      <w:r w:rsidRPr="008F76AB">
        <w:t>u</w:t>
      </w:r>
      <w:r w:rsidRPr="008F76AB">
        <w:rPr>
          <w:spacing w:val="-1"/>
        </w:rPr>
        <w:t>n</w:t>
      </w:r>
      <w:r w:rsidRPr="008F76AB">
        <w:t>d</w:t>
      </w:r>
      <w:r w:rsidRPr="008F76AB">
        <w:rPr>
          <w:spacing w:val="-1"/>
        </w:rPr>
        <w:t>e</w:t>
      </w:r>
      <w:r w:rsidRPr="008F76AB">
        <w:t>r the authorit</w:t>
      </w:r>
      <w:r>
        <w:t>y</w:t>
      </w:r>
      <w:r>
        <w:rPr>
          <w:spacing w:val="1"/>
        </w:rPr>
        <w:t xml:space="preserve"> </w:t>
      </w:r>
      <w:r>
        <w:rPr>
          <w:spacing w:val="-1"/>
        </w:rPr>
        <w:t>o</w:t>
      </w:r>
      <w:r>
        <w:t>f D</w:t>
      </w:r>
      <w:r>
        <w:rPr>
          <w:spacing w:val="-1"/>
        </w:rPr>
        <w:t>o</w:t>
      </w:r>
      <w:r>
        <w:t>D Instruction (DoDI) 4140.01, “DoD Supply Chain Materiel Management Policy</w:t>
      </w:r>
      <w:r>
        <w:rPr>
          <w:spacing w:val="1"/>
        </w:rPr>
        <w:t>,” December 14, 2011</w:t>
      </w:r>
      <w:r>
        <w:t>.</w:t>
      </w:r>
      <w:r w:rsidR="003F6A18">
        <w:t xml:space="preserve">  </w:t>
      </w:r>
      <w:r>
        <w:t>Unless</w:t>
      </w:r>
      <w:r>
        <w:rPr>
          <w:spacing w:val="-1"/>
        </w:rPr>
        <w:t xml:space="preserve"> </w:t>
      </w:r>
      <w:r>
        <w:t>otherwise noted, revised text in the manual is identified</w:t>
      </w:r>
      <w:r w:rsidRPr="007A4606">
        <w:rPr>
          <w:color w:val="000000"/>
        </w:rPr>
        <w:t xml:space="preserve"> by</w:t>
      </w:r>
      <w:r w:rsidRPr="007A4606">
        <w:rPr>
          <w:b/>
          <w:bCs/>
          <w:i/>
          <w:color w:val="000000"/>
        </w:rPr>
        <w:t xml:space="preserve"> bold, italicized</w:t>
      </w:r>
      <w:r w:rsidRPr="007A4606">
        <w:rPr>
          <w:b/>
          <w:bCs/>
          <w:i/>
          <w:color w:val="000000"/>
          <w:spacing w:val="-1"/>
        </w:rPr>
        <w:t xml:space="preserve"> </w:t>
      </w:r>
      <w:r w:rsidRPr="007A4606">
        <w:rPr>
          <w:color w:val="000000"/>
        </w:rPr>
        <w:t>p</w:t>
      </w:r>
      <w:r>
        <w:rPr>
          <w:color w:val="000000"/>
        </w:rPr>
        <w:t>rint.  The exception would be when the entire chapter or appendix is replaced, or a new one added.</w:t>
      </w:r>
      <w:r w:rsidR="00D23C3D">
        <w:rPr>
          <w:color w:val="000000"/>
        </w:rPr>
        <w:t xml:space="preserve">  </w:t>
      </w:r>
      <w:r w:rsidR="00D23C3D" w:rsidRPr="00EF2B20">
        <w:rPr>
          <w:color w:val="000000"/>
        </w:rPr>
        <w:t xml:space="preserve">Change </w:t>
      </w:r>
      <w:r w:rsidR="005509AD">
        <w:rPr>
          <w:color w:val="000000"/>
        </w:rPr>
        <w:t>1</w:t>
      </w:r>
      <w:r w:rsidR="00D23C3D" w:rsidRPr="00EF2B20">
        <w:rPr>
          <w:color w:val="000000"/>
        </w:rPr>
        <w:t xml:space="preserve"> also includes administrative updates: </w:t>
      </w:r>
    </w:p>
    <w:p w14:paraId="3B94CBC1" w14:textId="77777777" w:rsidR="00B51CB4" w:rsidRDefault="00B51CB4" w:rsidP="008C715D">
      <w:pPr>
        <w:spacing w:after="240"/>
        <w:ind w:right="-90"/>
        <w:rPr>
          <w:color w:val="000000"/>
        </w:rPr>
      </w:pPr>
      <w:r>
        <w:rPr>
          <w:color w:val="000000"/>
        </w:rPr>
        <w:t xml:space="preserve">In accordance with new direction for issuances, “shall” has been replaced by “will”, “must”, or other appropriate words or phrases throughout the updated documents. </w:t>
      </w:r>
    </w:p>
    <w:p w14:paraId="58192DCE" w14:textId="442D22DB" w:rsidR="008C715D" w:rsidRDefault="00B51CB4" w:rsidP="008C715D">
      <w:pPr>
        <w:spacing w:after="240"/>
        <w:ind w:right="-90"/>
        <w:rPr>
          <w:color w:val="000000"/>
        </w:rPr>
      </w:pPr>
      <w:r>
        <w:rPr>
          <w:color w:val="000000"/>
        </w:rPr>
        <w:t xml:space="preserve">In accordance with the DLA J6 realignment, references to the DBASE profile, and any supporting applications or programs have been removed.  The name of the organization DLA Logistics Management Standards Office has been changed to Defense </w:t>
      </w:r>
      <w:r w:rsidR="00400D1D">
        <w:rPr>
          <w:color w:val="000000"/>
        </w:rPr>
        <w:t>L</w:t>
      </w:r>
      <w:r>
        <w:rPr>
          <w:color w:val="000000"/>
        </w:rPr>
        <w:t>ogistics Management Standards Office.</w:t>
      </w:r>
      <w:r w:rsidR="00861F11">
        <w:rPr>
          <w:color w:val="000000"/>
        </w:rPr>
        <w:t xml:space="preserve">  In addition</w:t>
      </w:r>
      <w:r w:rsidR="00400D1D">
        <w:rPr>
          <w:color w:val="000000"/>
        </w:rPr>
        <w:t>,</w:t>
      </w:r>
      <w:r w:rsidR="00861F11">
        <w:rPr>
          <w:color w:val="000000"/>
        </w:rPr>
        <w:t xml:space="preserve"> the responsibilities in </w:t>
      </w:r>
      <w:r w:rsidR="00400D1D">
        <w:rPr>
          <w:color w:val="000000"/>
        </w:rPr>
        <w:t>C</w:t>
      </w:r>
      <w:r w:rsidR="00861F11">
        <w:rPr>
          <w:color w:val="000000"/>
        </w:rPr>
        <w:t>hapter 1 have been revised.</w:t>
      </w:r>
    </w:p>
    <w:p w14:paraId="05525FC0" w14:textId="18BE2078" w:rsidR="00B51CB4" w:rsidRDefault="00B51CB4" w:rsidP="008C715D">
      <w:pPr>
        <w:spacing w:after="240"/>
        <w:ind w:right="-90"/>
        <w:rPr>
          <w:color w:val="000000"/>
        </w:rPr>
      </w:pPr>
      <w:r>
        <w:rPr>
          <w:color w:val="000000"/>
        </w:rPr>
        <w:t>The role and functions of DLA Transaction Services customer support has been clarified.</w:t>
      </w:r>
    </w:p>
    <w:p w14:paraId="3FD63BBA" w14:textId="7952CEC9" w:rsidR="00B51CB4" w:rsidRDefault="00B51CB4" w:rsidP="008C715D">
      <w:pPr>
        <w:spacing w:after="240"/>
        <w:ind w:right="-90"/>
        <w:rPr>
          <w:color w:val="000000"/>
        </w:rPr>
      </w:pPr>
      <w:r>
        <w:rPr>
          <w:color w:val="000000"/>
        </w:rPr>
        <w:t>The name for “MQ Series” has been updated to the current naming convention of the product “IBM Websphere MQ” and the specific section describing IBM Websphere MQ was removed since it is a supporting/infrastructure application.</w:t>
      </w:r>
    </w:p>
    <w:p w14:paraId="40B4F61F" w14:textId="31EB9595" w:rsidR="00B51CB4" w:rsidRDefault="00B51CB4" w:rsidP="008C715D">
      <w:pPr>
        <w:spacing w:after="240"/>
        <w:ind w:right="-90"/>
        <w:rPr>
          <w:color w:val="000000"/>
        </w:rPr>
      </w:pPr>
      <w:r>
        <w:rPr>
          <w:color w:val="000000"/>
        </w:rPr>
        <w:t xml:space="preserve">References and sections related to the </w:t>
      </w:r>
      <w:r w:rsidR="00F65C75">
        <w:rPr>
          <w:color w:val="000000"/>
        </w:rPr>
        <w:t>“Inter Service Material Accounting and Control System (</w:t>
      </w:r>
      <w:r>
        <w:rPr>
          <w:color w:val="000000"/>
        </w:rPr>
        <w:t>IMACS</w:t>
      </w:r>
      <w:r w:rsidR="00F65C75">
        <w:rPr>
          <w:color w:val="000000"/>
        </w:rPr>
        <w:t>)”</w:t>
      </w:r>
      <w:r>
        <w:rPr>
          <w:color w:val="000000"/>
        </w:rPr>
        <w:t xml:space="preserve"> program have been removed as this program has been decommissioned.</w:t>
      </w:r>
    </w:p>
    <w:p w14:paraId="22A5B19E" w14:textId="761C9A3E" w:rsidR="00B51CB4" w:rsidRDefault="00B51CB4" w:rsidP="008C715D">
      <w:pPr>
        <w:spacing w:after="240"/>
        <w:ind w:right="-90"/>
        <w:rPr>
          <w:color w:val="000000"/>
        </w:rPr>
      </w:pPr>
      <w:r>
        <w:rPr>
          <w:color w:val="000000"/>
        </w:rPr>
        <w:t xml:space="preserve">References and sections related to </w:t>
      </w:r>
      <w:r w:rsidR="00F65C75">
        <w:rPr>
          <w:color w:val="000000"/>
        </w:rPr>
        <w:t>the “Defense Logistics Management Standards (</w:t>
      </w:r>
      <w:r>
        <w:rPr>
          <w:color w:val="000000"/>
        </w:rPr>
        <w:t>DLMS</w:t>
      </w:r>
      <w:r w:rsidR="00F65C75">
        <w:rPr>
          <w:color w:val="000000"/>
        </w:rPr>
        <w:t>)</w:t>
      </w:r>
      <w:r>
        <w:rPr>
          <w:color w:val="000000"/>
        </w:rPr>
        <w:t xml:space="preserve"> Bridge</w:t>
      </w:r>
      <w:r w:rsidR="00F65C75">
        <w:rPr>
          <w:color w:val="000000"/>
        </w:rPr>
        <w:t>”</w:t>
      </w:r>
      <w:r>
        <w:rPr>
          <w:color w:val="000000"/>
        </w:rPr>
        <w:t xml:space="preserve"> </w:t>
      </w:r>
      <w:r w:rsidR="00F65C75">
        <w:rPr>
          <w:color w:val="000000"/>
        </w:rPr>
        <w:t xml:space="preserve">program </w:t>
      </w:r>
      <w:r>
        <w:rPr>
          <w:color w:val="000000"/>
        </w:rPr>
        <w:t>have been removed as this program has been decommissioned.</w:t>
      </w:r>
    </w:p>
    <w:p w14:paraId="6F87F354" w14:textId="45ABFED9" w:rsidR="00F65C75" w:rsidRDefault="00F65C75" w:rsidP="008C715D">
      <w:pPr>
        <w:spacing w:after="240"/>
        <w:ind w:right="-90"/>
        <w:rPr>
          <w:color w:val="000000"/>
        </w:rPr>
      </w:pPr>
      <w:r>
        <w:rPr>
          <w:color w:val="000000"/>
        </w:rPr>
        <w:t>References and sections related to the “Defense Message Dissemination System (DMDS)” program have been removed as this program was decommissioned and functions subsumed by other programs in DLA Transaction Services.</w:t>
      </w:r>
    </w:p>
    <w:p w14:paraId="2935F913" w14:textId="16A12413" w:rsidR="00F65C75" w:rsidRDefault="00F65C75" w:rsidP="008C715D">
      <w:pPr>
        <w:spacing w:after="240"/>
        <w:ind w:right="-90"/>
        <w:rPr>
          <w:color w:val="000000"/>
        </w:rPr>
      </w:pPr>
      <w:r>
        <w:rPr>
          <w:color w:val="000000"/>
        </w:rPr>
        <w:t>References and sections related to the “WebMethods” program have been removed as this program has been decommissioned.</w:t>
      </w:r>
    </w:p>
    <w:p w14:paraId="58715AA3" w14:textId="4018B525" w:rsidR="00276682" w:rsidRDefault="00276682" w:rsidP="008C715D">
      <w:pPr>
        <w:spacing w:after="240"/>
        <w:ind w:right="-90"/>
        <w:rPr>
          <w:color w:val="000000"/>
        </w:rPr>
      </w:pPr>
      <w:proofErr w:type="gramStart"/>
      <w:r>
        <w:rPr>
          <w:color w:val="000000"/>
        </w:rPr>
        <w:lastRenderedPageBreak/>
        <w:t xml:space="preserve">Removed the Item “Action Frequency” and “Country Code/Contractor Up/Down Traffic Report” sections from </w:t>
      </w:r>
      <w:r w:rsidR="00D62A5D">
        <w:rPr>
          <w:color w:val="000000"/>
        </w:rPr>
        <w:t>A</w:t>
      </w:r>
      <w:r>
        <w:rPr>
          <w:color w:val="000000"/>
        </w:rPr>
        <w:t>ppendix 5.</w:t>
      </w:r>
      <w:proofErr w:type="gramEnd"/>
    </w:p>
    <w:p w14:paraId="00B74693" w14:textId="129F0E3E" w:rsidR="00276682" w:rsidRDefault="00276682" w:rsidP="008C715D">
      <w:pPr>
        <w:spacing w:after="240"/>
        <w:ind w:right="-90"/>
        <w:rPr>
          <w:color w:val="000000"/>
        </w:rPr>
      </w:pPr>
      <w:r>
        <w:rPr>
          <w:color w:val="000000"/>
        </w:rPr>
        <w:t>Revised “</w:t>
      </w:r>
      <w:r w:rsidRPr="001C6BFA">
        <w:rPr>
          <w:sz w:val="22"/>
          <w:szCs w:val="22"/>
        </w:rPr>
        <w:t>Materi</w:t>
      </w:r>
      <w:r>
        <w:rPr>
          <w:sz w:val="22"/>
          <w:szCs w:val="22"/>
        </w:rPr>
        <w:t>e</w:t>
      </w:r>
      <w:r w:rsidRPr="001C6BFA">
        <w:rPr>
          <w:sz w:val="22"/>
          <w:szCs w:val="22"/>
        </w:rPr>
        <w:t>l Receipt Acknowledgement</w:t>
      </w:r>
      <w:r>
        <w:rPr>
          <w:sz w:val="22"/>
          <w:szCs w:val="22"/>
        </w:rPr>
        <w:t xml:space="preserve"> Reports” section in Appendix 5 and added Appendix 7 to reflection additions/changes in </w:t>
      </w:r>
      <w:r>
        <w:t>ADC</w:t>
      </w:r>
      <w:r w:rsidR="00400D1D">
        <w:t>s</w:t>
      </w:r>
      <w:r>
        <w:t xml:space="preserve"> 1086, 1087, and 1088.</w:t>
      </w:r>
    </w:p>
    <w:p w14:paraId="1B36CCB4" w14:textId="47AE11ED" w:rsidR="00F65C75" w:rsidRDefault="00F65C75" w:rsidP="008C715D">
      <w:pPr>
        <w:spacing w:after="240"/>
        <w:ind w:right="-90"/>
        <w:rPr>
          <w:color w:val="000000"/>
        </w:rPr>
      </w:pPr>
      <w:r>
        <w:rPr>
          <w:color w:val="000000"/>
        </w:rPr>
        <w:t>Clerical and administrative updates have been made including properly spelling out acronyms for first time usage and administrative rewrites to sections for clarity and accuracy.</w:t>
      </w:r>
    </w:p>
    <w:p w14:paraId="453049E0" w14:textId="55426776" w:rsidR="00F65C75" w:rsidRDefault="00F65C75" w:rsidP="008C715D">
      <w:pPr>
        <w:spacing w:after="240"/>
        <w:ind w:right="-90"/>
        <w:rPr>
          <w:color w:val="000000"/>
        </w:rPr>
      </w:pPr>
      <w:r>
        <w:rPr>
          <w:color w:val="000000"/>
        </w:rPr>
        <w:t>Customer support contact information and URLS have been updated.</w:t>
      </w:r>
    </w:p>
    <w:p w14:paraId="4D54759C" w14:textId="19668F30" w:rsidR="008C715D" w:rsidRDefault="005509AD" w:rsidP="008C715D">
      <w:pPr>
        <w:spacing w:after="240"/>
        <w:ind w:right="-90"/>
        <w:rPr>
          <w:color w:val="000000" w:themeColor="text1"/>
        </w:rPr>
      </w:pPr>
      <w:r>
        <w:rPr>
          <w:color w:val="000000" w:themeColor="text1"/>
        </w:rPr>
        <w:t>I</w:t>
      </w:r>
      <w:r w:rsidR="007A4606" w:rsidRPr="00763BE5">
        <w:rPr>
          <w:color w:val="000000" w:themeColor="text1"/>
        </w:rPr>
        <w:t>I</w:t>
      </w:r>
      <w:proofErr w:type="gramStart"/>
      <w:r w:rsidR="000537CD" w:rsidRPr="00763BE5">
        <w:rPr>
          <w:color w:val="000000" w:themeColor="text1"/>
        </w:rPr>
        <w:t>.</w:t>
      </w:r>
      <w:r w:rsidR="00D62A5D">
        <w:rPr>
          <w:color w:val="000000" w:themeColor="text1"/>
        </w:rPr>
        <w:t xml:space="preserve"> </w:t>
      </w:r>
      <w:r w:rsidR="000537CD">
        <w:rPr>
          <w:color w:val="000000" w:themeColor="text1"/>
        </w:rPr>
        <w:t xml:space="preserve"> </w:t>
      </w:r>
      <w:r w:rsidR="000537CD" w:rsidRPr="00763BE5">
        <w:rPr>
          <w:color w:val="000000" w:themeColor="text1"/>
        </w:rPr>
        <w:t>The</w:t>
      </w:r>
      <w:proofErr w:type="gramEnd"/>
      <w:r w:rsidR="007A4606" w:rsidRPr="00763BE5">
        <w:rPr>
          <w:color w:val="000000" w:themeColor="text1"/>
        </w:rPr>
        <w:t xml:space="preserve"> list below identifies the chapters, appendices</w:t>
      </w:r>
      <w:r w:rsidR="00FA51F6" w:rsidRPr="00763BE5">
        <w:rPr>
          <w:color w:val="000000" w:themeColor="text1"/>
        </w:rPr>
        <w:t>,</w:t>
      </w:r>
      <w:r w:rsidR="007A4606" w:rsidRPr="00763BE5">
        <w:rPr>
          <w:color w:val="000000" w:themeColor="text1"/>
        </w:rPr>
        <w:t xml:space="preserve"> or other files from the manual that are </w:t>
      </w:r>
      <w:r w:rsidR="00E41B3D">
        <w:rPr>
          <w:color w:val="000000" w:themeColor="text1"/>
        </w:rPr>
        <w:t>updated</w:t>
      </w:r>
      <w:r w:rsidR="007A4606" w:rsidRPr="00763BE5">
        <w:rPr>
          <w:color w:val="000000" w:themeColor="text1"/>
        </w:rPr>
        <w:t xml:space="preserve"> by this change:</w:t>
      </w:r>
    </w:p>
    <w:tbl>
      <w:tblPr>
        <w:tblW w:w="0" w:type="auto"/>
        <w:jc w:val="center"/>
        <w:tblInd w:w="3" w:type="dxa"/>
        <w:tblCellMar>
          <w:left w:w="0" w:type="dxa"/>
          <w:right w:w="0" w:type="dxa"/>
        </w:tblCellMar>
        <w:tblLook w:val="01E0" w:firstRow="1" w:lastRow="1" w:firstColumn="1" w:lastColumn="1" w:noHBand="0" w:noVBand="0"/>
      </w:tblPr>
      <w:tblGrid>
        <w:gridCol w:w="3150"/>
        <w:gridCol w:w="3150"/>
      </w:tblGrid>
      <w:tr w:rsidR="00D62A5D" w14:paraId="00267146" w14:textId="3793E260" w:rsidTr="00A5550A">
        <w:trPr>
          <w:cantSplit/>
          <w:trHeight w:val="460"/>
          <w:tblHeader/>
          <w:jc w:val="center"/>
        </w:trPr>
        <w:tc>
          <w:tcPr>
            <w:tcW w:w="3150" w:type="dxa"/>
            <w:hideMark/>
          </w:tcPr>
          <w:p w14:paraId="653367EA" w14:textId="77777777" w:rsidR="00D62A5D" w:rsidRDefault="00D62A5D" w:rsidP="00D62A5D">
            <w:pPr>
              <w:spacing w:after="80"/>
              <w:ind w:right="-14"/>
              <w:rPr>
                <w:b/>
                <w:bCs/>
                <w:u w:val="single"/>
              </w:rPr>
            </w:pPr>
            <w:r>
              <w:rPr>
                <w:b/>
                <w:bCs/>
                <w:u w:val="single"/>
              </w:rPr>
              <w:t>Added or Replaced Files</w:t>
            </w:r>
          </w:p>
        </w:tc>
        <w:tc>
          <w:tcPr>
            <w:tcW w:w="3150" w:type="dxa"/>
          </w:tcPr>
          <w:p w14:paraId="3F604063" w14:textId="0C7ECF4D" w:rsidR="00D62A5D" w:rsidRDefault="00D62A5D" w:rsidP="00D62A5D">
            <w:pPr>
              <w:spacing w:after="80"/>
              <w:ind w:right="-14"/>
              <w:rPr>
                <w:b/>
                <w:bCs/>
                <w:u w:val="single"/>
              </w:rPr>
            </w:pPr>
            <w:r>
              <w:rPr>
                <w:b/>
                <w:bCs/>
                <w:u w:val="single"/>
              </w:rPr>
              <w:t>Added or Replaced Files</w:t>
            </w:r>
          </w:p>
        </w:tc>
      </w:tr>
      <w:tr w:rsidR="00D62A5D" w14:paraId="27E68415" w14:textId="0CCD88C1" w:rsidTr="00A5550A">
        <w:trPr>
          <w:cantSplit/>
          <w:trHeight w:val="301"/>
          <w:tblHeader/>
          <w:jc w:val="center"/>
        </w:trPr>
        <w:tc>
          <w:tcPr>
            <w:tcW w:w="3150" w:type="dxa"/>
            <w:hideMark/>
          </w:tcPr>
          <w:p w14:paraId="6EF4296F" w14:textId="1E7628C0" w:rsidR="00D62A5D" w:rsidRDefault="00D62A5D" w:rsidP="00400D1D">
            <w:pPr>
              <w:spacing w:before="40" w:after="40"/>
              <w:ind w:right="-14"/>
            </w:pPr>
            <w:r>
              <w:t>Table of Contents</w:t>
            </w:r>
          </w:p>
        </w:tc>
        <w:tc>
          <w:tcPr>
            <w:tcW w:w="3150" w:type="dxa"/>
          </w:tcPr>
          <w:p w14:paraId="44040724" w14:textId="44D2043D" w:rsidR="00D62A5D" w:rsidRDefault="00D62A5D" w:rsidP="00D62A5D">
            <w:pPr>
              <w:spacing w:before="40" w:after="40"/>
              <w:ind w:right="-14"/>
            </w:pPr>
            <w:r>
              <w:t xml:space="preserve">Appendix </w:t>
            </w:r>
            <w:r w:rsidR="004A0968">
              <w:t>1</w:t>
            </w:r>
          </w:p>
        </w:tc>
      </w:tr>
      <w:tr w:rsidR="00D62A5D" w14:paraId="483CB2EC" w14:textId="6992BE4D" w:rsidTr="00A5550A">
        <w:trPr>
          <w:cantSplit/>
          <w:trHeight w:val="301"/>
          <w:tblHeader/>
          <w:jc w:val="center"/>
        </w:trPr>
        <w:tc>
          <w:tcPr>
            <w:tcW w:w="3150" w:type="dxa"/>
          </w:tcPr>
          <w:p w14:paraId="46D72F41" w14:textId="5BA8DE33" w:rsidR="00D62A5D" w:rsidRDefault="00D62A5D" w:rsidP="00400D1D">
            <w:pPr>
              <w:spacing w:before="40" w:after="40"/>
              <w:ind w:right="-14"/>
            </w:pPr>
            <w:r>
              <w:t>References</w:t>
            </w:r>
          </w:p>
        </w:tc>
        <w:tc>
          <w:tcPr>
            <w:tcW w:w="3150" w:type="dxa"/>
          </w:tcPr>
          <w:p w14:paraId="3D9B8217" w14:textId="49FE5FFF" w:rsidR="00D62A5D" w:rsidRDefault="00D62A5D" w:rsidP="00D62A5D">
            <w:pPr>
              <w:spacing w:before="40" w:after="40"/>
              <w:ind w:right="-14"/>
            </w:pPr>
            <w:r>
              <w:t xml:space="preserve">Appendix </w:t>
            </w:r>
            <w:r w:rsidR="004A0968">
              <w:t>2</w:t>
            </w:r>
          </w:p>
        </w:tc>
      </w:tr>
      <w:tr w:rsidR="00D62A5D" w14:paraId="4BF879C5" w14:textId="11DA7856" w:rsidTr="00A5550A">
        <w:trPr>
          <w:cantSplit/>
          <w:trHeight w:val="301"/>
          <w:tblHeader/>
          <w:jc w:val="center"/>
        </w:trPr>
        <w:tc>
          <w:tcPr>
            <w:tcW w:w="3150" w:type="dxa"/>
            <w:hideMark/>
          </w:tcPr>
          <w:p w14:paraId="5165DDBD" w14:textId="780F79B0" w:rsidR="00D62A5D" w:rsidRDefault="00D62A5D">
            <w:pPr>
              <w:spacing w:before="40" w:after="40"/>
              <w:ind w:right="-14"/>
            </w:pPr>
            <w:r>
              <w:t>Acronyms</w:t>
            </w:r>
          </w:p>
        </w:tc>
        <w:tc>
          <w:tcPr>
            <w:tcW w:w="3150" w:type="dxa"/>
          </w:tcPr>
          <w:p w14:paraId="054735C4" w14:textId="56E780FE" w:rsidR="00D62A5D" w:rsidRDefault="00D62A5D" w:rsidP="00D62A5D">
            <w:pPr>
              <w:spacing w:before="40" w:after="40"/>
              <w:ind w:right="-14"/>
            </w:pPr>
            <w:r>
              <w:t xml:space="preserve">Appendix </w:t>
            </w:r>
            <w:r w:rsidR="004A0968">
              <w:t>3</w:t>
            </w:r>
          </w:p>
        </w:tc>
      </w:tr>
      <w:tr w:rsidR="00D62A5D" w14:paraId="22D5E225" w14:textId="17E64E5D" w:rsidTr="00A5550A">
        <w:trPr>
          <w:cantSplit/>
          <w:trHeight w:val="301"/>
          <w:tblHeader/>
          <w:jc w:val="center"/>
        </w:trPr>
        <w:tc>
          <w:tcPr>
            <w:tcW w:w="3150" w:type="dxa"/>
            <w:hideMark/>
          </w:tcPr>
          <w:p w14:paraId="166459CE" w14:textId="7164DF37" w:rsidR="00D62A5D" w:rsidRDefault="00D62A5D" w:rsidP="00400D1D">
            <w:pPr>
              <w:spacing w:before="40" w:after="40"/>
              <w:ind w:right="-14"/>
              <w:rPr>
                <w:b/>
              </w:rPr>
            </w:pPr>
            <w:r>
              <w:t>Chapter 1</w:t>
            </w:r>
          </w:p>
        </w:tc>
        <w:tc>
          <w:tcPr>
            <w:tcW w:w="3150" w:type="dxa"/>
          </w:tcPr>
          <w:p w14:paraId="7958F510" w14:textId="307E6CFC" w:rsidR="00D62A5D" w:rsidRDefault="00D62A5D" w:rsidP="00D62A5D">
            <w:pPr>
              <w:spacing w:before="40" w:after="40"/>
              <w:ind w:right="-14"/>
            </w:pPr>
            <w:r>
              <w:t xml:space="preserve">Appendix </w:t>
            </w:r>
            <w:r w:rsidR="004A0968">
              <w:t>4</w:t>
            </w:r>
          </w:p>
        </w:tc>
      </w:tr>
      <w:tr w:rsidR="00D62A5D" w14:paraId="0742B03C" w14:textId="64BE5841" w:rsidTr="00A5550A">
        <w:trPr>
          <w:cantSplit/>
          <w:trHeight w:val="301"/>
          <w:tblHeader/>
          <w:jc w:val="center"/>
        </w:trPr>
        <w:tc>
          <w:tcPr>
            <w:tcW w:w="3150" w:type="dxa"/>
            <w:hideMark/>
          </w:tcPr>
          <w:p w14:paraId="025162A9" w14:textId="450243A0" w:rsidR="00D62A5D" w:rsidRDefault="00D62A5D" w:rsidP="00400D1D">
            <w:pPr>
              <w:tabs>
                <w:tab w:val="left" w:pos="1524"/>
              </w:tabs>
              <w:spacing w:before="40" w:after="40"/>
              <w:ind w:right="-14"/>
              <w:rPr>
                <w:b/>
              </w:rPr>
            </w:pPr>
            <w:r>
              <w:t>Chapter 2</w:t>
            </w:r>
          </w:p>
        </w:tc>
        <w:tc>
          <w:tcPr>
            <w:tcW w:w="3150" w:type="dxa"/>
          </w:tcPr>
          <w:p w14:paraId="754C8F99" w14:textId="7AAF14F2" w:rsidR="00D62A5D" w:rsidRDefault="00D62A5D" w:rsidP="00D62A5D">
            <w:pPr>
              <w:tabs>
                <w:tab w:val="left" w:pos="1524"/>
              </w:tabs>
              <w:spacing w:before="40" w:after="40"/>
              <w:ind w:right="-14"/>
            </w:pPr>
            <w:r>
              <w:t xml:space="preserve">Appendix </w:t>
            </w:r>
            <w:r w:rsidR="004A0968">
              <w:t>5</w:t>
            </w:r>
          </w:p>
        </w:tc>
      </w:tr>
      <w:tr w:rsidR="00D62A5D" w14:paraId="0951B8A8" w14:textId="152DE68F" w:rsidTr="00A5550A">
        <w:trPr>
          <w:cantSplit/>
          <w:trHeight w:val="301"/>
          <w:tblHeader/>
          <w:jc w:val="center"/>
        </w:trPr>
        <w:tc>
          <w:tcPr>
            <w:tcW w:w="3150" w:type="dxa"/>
          </w:tcPr>
          <w:p w14:paraId="294CFB4E" w14:textId="1F25B16E" w:rsidR="00D62A5D" w:rsidRDefault="00D62A5D" w:rsidP="00400D1D">
            <w:pPr>
              <w:tabs>
                <w:tab w:val="left" w:pos="1524"/>
              </w:tabs>
              <w:spacing w:before="40" w:after="40"/>
              <w:ind w:right="-14"/>
            </w:pPr>
            <w:r>
              <w:t>Chapter 3</w:t>
            </w:r>
          </w:p>
        </w:tc>
        <w:tc>
          <w:tcPr>
            <w:tcW w:w="3150" w:type="dxa"/>
          </w:tcPr>
          <w:p w14:paraId="1CF2A6BC" w14:textId="4E57EC7D" w:rsidR="00D62A5D" w:rsidRDefault="00D62A5D" w:rsidP="00D62A5D">
            <w:pPr>
              <w:tabs>
                <w:tab w:val="left" w:pos="1524"/>
              </w:tabs>
              <w:spacing w:before="40" w:after="40"/>
              <w:ind w:right="-14"/>
            </w:pPr>
            <w:r>
              <w:t xml:space="preserve">Appendix </w:t>
            </w:r>
            <w:r w:rsidR="004A0968">
              <w:t>6</w:t>
            </w:r>
          </w:p>
        </w:tc>
      </w:tr>
      <w:tr w:rsidR="00D62A5D" w14:paraId="1D89CAFB" w14:textId="23F34946" w:rsidTr="00A5550A">
        <w:trPr>
          <w:cantSplit/>
          <w:trHeight w:val="301"/>
          <w:tblHeader/>
          <w:jc w:val="center"/>
        </w:trPr>
        <w:tc>
          <w:tcPr>
            <w:tcW w:w="3150" w:type="dxa"/>
          </w:tcPr>
          <w:p w14:paraId="21AA4E47" w14:textId="4A3CBE76" w:rsidR="00D62A5D" w:rsidRDefault="00D62A5D" w:rsidP="00400D1D">
            <w:pPr>
              <w:tabs>
                <w:tab w:val="left" w:pos="1524"/>
              </w:tabs>
              <w:spacing w:before="40" w:after="40"/>
              <w:ind w:right="-14"/>
            </w:pPr>
            <w:r>
              <w:t>Chapter 4</w:t>
            </w:r>
          </w:p>
        </w:tc>
        <w:tc>
          <w:tcPr>
            <w:tcW w:w="3150" w:type="dxa"/>
          </w:tcPr>
          <w:p w14:paraId="474EC724" w14:textId="1E185406" w:rsidR="00D62A5D" w:rsidRDefault="004A0968" w:rsidP="00400D1D">
            <w:pPr>
              <w:tabs>
                <w:tab w:val="left" w:pos="1524"/>
              </w:tabs>
              <w:spacing w:before="40" w:after="40"/>
              <w:ind w:right="-14"/>
            </w:pPr>
            <w:r>
              <w:t>Appendix 7</w:t>
            </w:r>
          </w:p>
        </w:tc>
      </w:tr>
      <w:tr w:rsidR="00D62A5D" w14:paraId="29B088C6" w14:textId="343A7936" w:rsidTr="00A5550A">
        <w:trPr>
          <w:cantSplit/>
          <w:trHeight w:val="301"/>
          <w:tblHeader/>
          <w:jc w:val="center"/>
        </w:trPr>
        <w:tc>
          <w:tcPr>
            <w:tcW w:w="3150" w:type="dxa"/>
          </w:tcPr>
          <w:p w14:paraId="60CCBE61" w14:textId="747BDF3B" w:rsidR="00D62A5D" w:rsidRDefault="00D62A5D" w:rsidP="00400D1D">
            <w:pPr>
              <w:tabs>
                <w:tab w:val="left" w:pos="1524"/>
              </w:tabs>
              <w:spacing w:before="40" w:after="40"/>
              <w:ind w:right="-14"/>
            </w:pPr>
            <w:r>
              <w:t>Chapter 5</w:t>
            </w:r>
          </w:p>
        </w:tc>
        <w:tc>
          <w:tcPr>
            <w:tcW w:w="3150" w:type="dxa"/>
          </w:tcPr>
          <w:p w14:paraId="4248CAE2" w14:textId="77777777" w:rsidR="00D62A5D" w:rsidRDefault="00D62A5D" w:rsidP="00400D1D">
            <w:pPr>
              <w:tabs>
                <w:tab w:val="left" w:pos="1524"/>
              </w:tabs>
              <w:spacing w:before="40" w:after="40"/>
              <w:ind w:right="-14"/>
            </w:pPr>
          </w:p>
        </w:tc>
      </w:tr>
    </w:tbl>
    <w:p w14:paraId="667D29E8" w14:textId="5FD0E066" w:rsidR="00375AD0" w:rsidRPr="00375AD0" w:rsidRDefault="007A4606" w:rsidP="008C715D">
      <w:pPr>
        <w:spacing w:before="240" w:after="240"/>
        <w:ind w:right="-14"/>
        <w:rPr>
          <w:color w:val="0000FF"/>
          <w:sz w:val="23"/>
          <w:szCs w:val="23"/>
          <w:u w:val="single"/>
        </w:rPr>
      </w:pPr>
      <w:r>
        <w:t>I</w:t>
      </w:r>
      <w:r w:rsidR="005509AD">
        <w:t>II</w:t>
      </w:r>
      <w:r>
        <w:t xml:space="preserve">. </w:t>
      </w:r>
      <w:r w:rsidR="000537CD">
        <w:t xml:space="preserve"> </w:t>
      </w:r>
      <w:r>
        <w:t>This change is incorporated into the on-line D</w:t>
      </w:r>
      <w:r w:rsidR="00436C4F">
        <w:t xml:space="preserve">efense </w:t>
      </w:r>
      <w:r>
        <w:t>L</w:t>
      </w:r>
      <w:r w:rsidR="00436C4F">
        <w:t xml:space="preserve">ogistics </w:t>
      </w:r>
      <w:r>
        <w:t>M</w:t>
      </w:r>
      <w:r w:rsidR="00436C4F">
        <w:t xml:space="preserve">anagement </w:t>
      </w:r>
      <w:r w:rsidR="00922F68">
        <w:t xml:space="preserve">Standards </w:t>
      </w:r>
      <w:r>
        <w:t xml:space="preserve"> manual at the </w:t>
      </w:r>
      <w:r w:rsidR="00953E77">
        <w:t>Defense</w:t>
      </w:r>
      <w:r>
        <w:t xml:space="preserve"> Logistics Managements Standards </w:t>
      </w:r>
      <w:r w:rsidR="00436C4F">
        <w:t xml:space="preserve">Office </w:t>
      </w:r>
      <w:r>
        <w:t xml:space="preserve">Website </w:t>
      </w:r>
      <w:r w:rsidR="00753244">
        <w:br/>
      </w:r>
      <w:hyperlink r:id="rId13" w:history="1">
        <w:r w:rsidRPr="002350B5">
          <w:rPr>
            <w:rStyle w:val="Hyperlink"/>
            <w:sz w:val="23"/>
            <w:szCs w:val="23"/>
          </w:rPr>
          <w:t>www.dla.mil/j-6/dlmso/elibrary/manuals/dlm/dlm_pubs.asp</w:t>
        </w:r>
      </w:hyperlink>
      <w:r w:rsidR="00375AD0">
        <w:rPr>
          <w:rStyle w:val="Hyperlink"/>
          <w:sz w:val="23"/>
          <w:szCs w:val="23"/>
          <w:u w:val="none"/>
        </w:rPr>
        <w:t xml:space="preserve">, </w:t>
      </w:r>
      <w:r w:rsidRPr="002E49F3">
        <w:t xml:space="preserve">and the </w:t>
      </w:r>
      <w:r>
        <w:t xml:space="preserve">PDF file containing the entire set of change files is available </w:t>
      </w:r>
      <w:r w:rsidR="0028500E">
        <w:t>at</w:t>
      </w:r>
      <w:r>
        <w:br/>
      </w:r>
      <w:hyperlink r:id="rId14" w:history="1">
        <w:r w:rsidRPr="002350B5">
          <w:rPr>
            <w:rStyle w:val="Hyperlink"/>
            <w:sz w:val="23"/>
            <w:szCs w:val="23"/>
          </w:rPr>
          <w:t>www.dla.mil/j-6/dlmso/eLibrary/Manuals/DLMS/formal_changes.asp</w:t>
        </w:r>
      </w:hyperlink>
      <w:r w:rsidR="00375AD0">
        <w:t>.</w:t>
      </w:r>
    </w:p>
    <w:p w14:paraId="65460AC8" w14:textId="77777777" w:rsidR="00E402E1" w:rsidRDefault="00E402E1" w:rsidP="00EA1F41"/>
    <w:p w14:paraId="39200D35" w14:textId="43E1098F" w:rsidR="000E7321" w:rsidRDefault="002F5414" w:rsidP="002F5414">
      <w:pPr>
        <w:ind w:left="5040" w:firstLine="720"/>
      </w:pPr>
      <w:r>
        <w:rPr>
          <w:noProof/>
        </w:rPr>
        <w:drawing>
          <wp:inline distT="0" distB="0" distL="0" distR="0" wp14:anchorId="2B387F9A" wp14:editId="09D074AC">
            <wp:extent cx="2129235" cy="9001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44020" cy="906363"/>
                    </a:xfrm>
                    <a:prstGeom prst="rect">
                      <a:avLst/>
                    </a:prstGeom>
                  </pic:spPr>
                </pic:pic>
              </a:graphicData>
            </a:graphic>
          </wp:inline>
        </w:drawing>
      </w:r>
    </w:p>
    <w:p w14:paraId="4B189623" w14:textId="77777777" w:rsidR="00E402E1" w:rsidRDefault="00E402E1" w:rsidP="00EA1F41"/>
    <w:p w14:paraId="667D29EE" w14:textId="3227EF09" w:rsidR="009B2F79" w:rsidRPr="006F6A11" w:rsidRDefault="00E402E1" w:rsidP="002F5414">
      <w:pPr>
        <w:tabs>
          <w:tab w:val="left" w:pos="4950"/>
        </w:tabs>
      </w:pPr>
      <w:r>
        <w:tab/>
      </w:r>
      <w:bookmarkStart w:id="0" w:name="_GoBack"/>
      <w:bookmarkEnd w:id="0"/>
    </w:p>
    <w:sectPr w:rsidR="009B2F79" w:rsidRPr="006F6A11" w:rsidSect="008232A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DFB8E" w14:textId="77777777" w:rsidR="00C97DB1" w:rsidRDefault="00C97DB1">
      <w:r>
        <w:separator/>
      </w:r>
    </w:p>
  </w:endnote>
  <w:endnote w:type="continuationSeparator" w:id="0">
    <w:p w14:paraId="55CCEFA8" w14:textId="77777777" w:rsidR="00C97DB1" w:rsidRDefault="00C9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4809" w14:textId="77777777" w:rsidR="00C97DB1" w:rsidRDefault="00C97DB1">
      <w:r>
        <w:separator/>
      </w:r>
    </w:p>
  </w:footnote>
  <w:footnote w:type="continuationSeparator" w:id="0">
    <w:p w14:paraId="20BBB370" w14:textId="77777777" w:rsidR="00C97DB1" w:rsidRDefault="00C9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7196"/>
    <w:multiLevelType w:val="multilevel"/>
    <w:tmpl w:val="4A9CD1DC"/>
    <w:numStyleLink w:val="Style1"/>
  </w:abstractNum>
  <w:abstractNum w:abstractNumId="1">
    <w:nsid w:val="29473329"/>
    <w:multiLevelType w:val="hybridMultilevel"/>
    <w:tmpl w:val="CE9E1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247F1"/>
    <w:multiLevelType w:val="hybridMultilevel"/>
    <w:tmpl w:val="2CC247F1"/>
    <w:lvl w:ilvl="0" w:tplc="FFFFFFFF">
      <w:start w:val="1"/>
      <w:numFmt w:val="bullet"/>
      <w:lvlText w:val="l"/>
      <w:lvlJc w:val="left"/>
      <w:pPr>
        <w:tabs>
          <w:tab w:val="num" w:pos="360"/>
        </w:tabs>
        <w:ind w:left="360" w:hanging="360"/>
      </w:pPr>
      <w:rPr>
        <w:rFonts w:ascii="Wingdings" w:eastAsia="Wingdings" w:hAnsi="Wingdings" w:cs="Wingdings"/>
        <w:color w:val="000000"/>
        <w:sz w:val="16"/>
      </w:rPr>
    </w:lvl>
    <w:lvl w:ilvl="1" w:tplc="FFFFFFFF">
      <w:start w:val="1"/>
      <w:numFmt w:val="bullet"/>
      <w:lvlText w:val="¡"/>
      <w:lvlJc w:val="left"/>
      <w:pPr>
        <w:tabs>
          <w:tab w:val="num" w:pos="720"/>
        </w:tabs>
        <w:ind w:left="720" w:hanging="360"/>
      </w:pPr>
      <w:rPr>
        <w:rFonts w:ascii="Wingdings" w:eastAsia="Wingdings" w:hAnsi="Wingdings" w:cs="Wingdings"/>
        <w:color w:val="000000"/>
        <w:sz w:val="16"/>
      </w:rPr>
    </w:lvl>
    <w:lvl w:ilvl="2" w:tplc="FFFFFFFF">
      <w:start w:val="1"/>
      <w:numFmt w:val="bullet"/>
      <w:lvlText w:val="¡"/>
      <w:lvlJc w:val="left"/>
      <w:pPr>
        <w:tabs>
          <w:tab w:val="num" w:pos="1080"/>
        </w:tabs>
        <w:ind w:left="1080" w:hanging="360"/>
      </w:pPr>
      <w:rPr>
        <w:rFonts w:ascii="Wingdings" w:eastAsia="Wingdings" w:hAnsi="Wingdings" w:cs="Wingdings"/>
        <w:color w:val="000000"/>
        <w:sz w:val="16"/>
      </w:rPr>
    </w:lvl>
    <w:lvl w:ilvl="3" w:tplc="FFFFFFFF">
      <w:start w:val="1"/>
      <w:numFmt w:val="bullet"/>
      <w:lvlText w:val="¡"/>
      <w:lvlJc w:val="left"/>
      <w:pPr>
        <w:tabs>
          <w:tab w:val="num" w:pos="1440"/>
        </w:tabs>
        <w:ind w:left="1440" w:hanging="360"/>
      </w:pPr>
      <w:rPr>
        <w:rFonts w:ascii="Wingdings" w:eastAsia="Wingdings" w:hAnsi="Wingdings" w:cs="Wingdings"/>
        <w:color w:val="000000"/>
        <w:sz w:val="16"/>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507E36A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4">
    <w:nsid w:val="50B7556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
    <w:nsid w:val="5D635919"/>
    <w:multiLevelType w:val="multilevel"/>
    <w:tmpl w:val="4A9CD1DC"/>
    <w:styleLink w:val="Style1"/>
    <w:lvl w:ilvl="0">
      <w:start w:val="1"/>
      <w:numFmt w:val="decimal"/>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lvlOverride w:ilvl="0">
      <w:startOverride w:val="1"/>
      <w:lvl w:ilvl="0">
        <w:start w:val="1"/>
        <w:numFmt w:val="decimal"/>
        <w:lvlText w:val=""/>
        <w:lvlJc w:val="left"/>
      </w:lvl>
    </w:lvlOverride>
    <w:lvlOverride w:ilvl="1">
      <w:startOverride w:val="1"/>
      <w:lvl w:ilvl="1">
        <w:start w:val="1"/>
        <w:numFmt w:val="lowerLetter"/>
        <w:suff w:val="space"/>
        <w:lvlText w:val="%2. "/>
        <w:lvlJc w:val="left"/>
        <w:pPr>
          <w:ind w:left="0" w:firstLine="72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suff w:val="space"/>
        <w:lvlText w:val="%5. "/>
        <w:lvlJc w:val="left"/>
        <w:pPr>
          <w:ind w:left="0" w:firstLine="2880"/>
        </w:pPr>
        <w:rPr>
          <w:b/>
          <w:u w:val="words"/>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E6"/>
    <w:rsid w:val="000010FB"/>
    <w:rsid w:val="00006915"/>
    <w:rsid w:val="000537CD"/>
    <w:rsid w:val="00055220"/>
    <w:rsid w:val="00065F69"/>
    <w:rsid w:val="00075659"/>
    <w:rsid w:val="00075C36"/>
    <w:rsid w:val="0008687E"/>
    <w:rsid w:val="00093328"/>
    <w:rsid w:val="000A197F"/>
    <w:rsid w:val="000B0C3A"/>
    <w:rsid w:val="000C775C"/>
    <w:rsid w:val="000D1ADE"/>
    <w:rsid w:val="000E7321"/>
    <w:rsid w:val="000F7226"/>
    <w:rsid w:val="00117B4F"/>
    <w:rsid w:val="00140432"/>
    <w:rsid w:val="001822BB"/>
    <w:rsid w:val="00191A05"/>
    <w:rsid w:val="001B27E6"/>
    <w:rsid w:val="001D1F76"/>
    <w:rsid w:val="001E7833"/>
    <w:rsid w:val="001F352F"/>
    <w:rsid w:val="00216F80"/>
    <w:rsid w:val="00223A4A"/>
    <w:rsid w:val="002350B5"/>
    <w:rsid w:val="00236D04"/>
    <w:rsid w:val="00261294"/>
    <w:rsid w:val="00270796"/>
    <w:rsid w:val="00276682"/>
    <w:rsid w:val="0028500E"/>
    <w:rsid w:val="00286745"/>
    <w:rsid w:val="002A2DA4"/>
    <w:rsid w:val="002A76F1"/>
    <w:rsid w:val="002B71DC"/>
    <w:rsid w:val="002B7579"/>
    <w:rsid w:val="002D3535"/>
    <w:rsid w:val="002E3CC2"/>
    <w:rsid w:val="002E454F"/>
    <w:rsid w:val="002E5B06"/>
    <w:rsid w:val="002F3A15"/>
    <w:rsid w:val="002F5414"/>
    <w:rsid w:val="002F6167"/>
    <w:rsid w:val="00310F42"/>
    <w:rsid w:val="00320B37"/>
    <w:rsid w:val="00327A0E"/>
    <w:rsid w:val="00327E5C"/>
    <w:rsid w:val="00333B11"/>
    <w:rsid w:val="003513C0"/>
    <w:rsid w:val="00375AD0"/>
    <w:rsid w:val="00382BB6"/>
    <w:rsid w:val="0038439B"/>
    <w:rsid w:val="003A7968"/>
    <w:rsid w:val="003B6219"/>
    <w:rsid w:val="003C540D"/>
    <w:rsid w:val="003F651F"/>
    <w:rsid w:val="003F6A18"/>
    <w:rsid w:val="00400D1D"/>
    <w:rsid w:val="00436C4F"/>
    <w:rsid w:val="00440C7E"/>
    <w:rsid w:val="0045038D"/>
    <w:rsid w:val="00455CBC"/>
    <w:rsid w:val="00470AA5"/>
    <w:rsid w:val="00477495"/>
    <w:rsid w:val="00486E24"/>
    <w:rsid w:val="00491A8C"/>
    <w:rsid w:val="00492611"/>
    <w:rsid w:val="004A0968"/>
    <w:rsid w:val="004A70AD"/>
    <w:rsid w:val="004D1166"/>
    <w:rsid w:val="004D1BA3"/>
    <w:rsid w:val="004D2742"/>
    <w:rsid w:val="004E1FFF"/>
    <w:rsid w:val="004E722F"/>
    <w:rsid w:val="004F3B6E"/>
    <w:rsid w:val="005001FC"/>
    <w:rsid w:val="0050075E"/>
    <w:rsid w:val="0050336C"/>
    <w:rsid w:val="0051125A"/>
    <w:rsid w:val="00515687"/>
    <w:rsid w:val="00522729"/>
    <w:rsid w:val="00535067"/>
    <w:rsid w:val="005509AD"/>
    <w:rsid w:val="00554C0D"/>
    <w:rsid w:val="00563006"/>
    <w:rsid w:val="00573575"/>
    <w:rsid w:val="00577EA1"/>
    <w:rsid w:val="00581D38"/>
    <w:rsid w:val="00591666"/>
    <w:rsid w:val="005B055D"/>
    <w:rsid w:val="005F402A"/>
    <w:rsid w:val="00614AD3"/>
    <w:rsid w:val="006153D6"/>
    <w:rsid w:val="00616A4E"/>
    <w:rsid w:val="0062781F"/>
    <w:rsid w:val="00636CEB"/>
    <w:rsid w:val="00643D98"/>
    <w:rsid w:val="00647078"/>
    <w:rsid w:val="006A2309"/>
    <w:rsid w:val="006A5DC0"/>
    <w:rsid w:val="006B6CFA"/>
    <w:rsid w:val="006F6A11"/>
    <w:rsid w:val="006F7EB4"/>
    <w:rsid w:val="00711BF3"/>
    <w:rsid w:val="007147FE"/>
    <w:rsid w:val="0071785D"/>
    <w:rsid w:val="00726F50"/>
    <w:rsid w:val="00737225"/>
    <w:rsid w:val="00750468"/>
    <w:rsid w:val="00753244"/>
    <w:rsid w:val="00763BE5"/>
    <w:rsid w:val="00785558"/>
    <w:rsid w:val="007939FE"/>
    <w:rsid w:val="007A4606"/>
    <w:rsid w:val="007B013C"/>
    <w:rsid w:val="007C3AD4"/>
    <w:rsid w:val="00801853"/>
    <w:rsid w:val="008232A7"/>
    <w:rsid w:val="00857349"/>
    <w:rsid w:val="00861F11"/>
    <w:rsid w:val="00882FDC"/>
    <w:rsid w:val="008A063C"/>
    <w:rsid w:val="008B53C4"/>
    <w:rsid w:val="008C4D6E"/>
    <w:rsid w:val="008C715D"/>
    <w:rsid w:val="008D2281"/>
    <w:rsid w:val="008E0970"/>
    <w:rsid w:val="008F6370"/>
    <w:rsid w:val="008F76AB"/>
    <w:rsid w:val="0090384D"/>
    <w:rsid w:val="009217DD"/>
    <w:rsid w:val="00922F68"/>
    <w:rsid w:val="00953E77"/>
    <w:rsid w:val="00975EBA"/>
    <w:rsid w:val="00980E9A"/>
    <w:rsid w:val="009813CB"/>
    <w:rsid w:val="009A31D7"/>
    <w:rsid w:val="009B2F79"/>
    <w:rsid w:val="009D6800"/>
    <w:rsid w:val="009D72DB"/>
    <w:rsid w:val="009E3A69"/>
    <w:rsid w:val="009E65AE"/>
    <w:rsid w:val="009F33CE"/>
    <w:rsid w:val="00A23263"/>
    <w:rsid w:val="00A27E33"/>
    <w:rsid w:val="00A461E1"/>
    <w:rsid w:val="00A977E9"/>
    <w:rsid w:val="00AB05D4"/>
    <w:rsid w:val="00AC31C5"/>
    <w:rsid w:val="00AC5DD9"/>
    <w:rsid w:val="00AE33F6"/>
    <w:rsid w:val="00AE5E0B"/>
    <w:rsid w:val="00AF12BC"/>
    <w:rsid w:val="00B012E1"/>
    <w:rsid w:val="00B14755"/>
    <w:rsid w:val="00B2540D"/>
    <w:rsid w:val="00B50BF8"/>
    <w:rsid w:val="00B51CB4"/>
    <w:rsid w:val="00B53D92"/>
    <w:rsid w:val="00B54A71"/>
    <w:rsid w:val="00B6289D"/>
    <w:rsid w:val="00B67A90"/>
    <w:rsid w:val="00BA6E8C"/>
    <w:rsid w:val="00BD59D5"/>
    <w:rsid w:val="00BE45B6"/>
    <w:rsid w:val="00C06F28"/>
    <w:rsid w:val="00C106C9"/>
    <w:rsid w:val="00C31DC6"/>
    <w:rsid w:val="00C575AB"/>
    <w:rsid w:val="00C628BC"/>
    <w:rsid w:val="00C83CE6"/>
    <w:rsid w:val="00C85F7E"/>
    <w:rsid w:val="00C87113"/>
    <w:rsid w:val="00C97DB1"/>
    <w:rsid w:val="00CB27F2"/>
    <w:rsid w:val="00CB2C61"/>
    <w:rsid w:val="00CB2D13"/>
    <w:rsid w:val="00CB693F"/>
    <w:rsid w:val="00CD11A6"/>
    <w:rsid w:val="00D12E60"/>
    <w:rsid w:val="00D141E2"/>
    <w:rsid w:val="00D23C3D"/>
    <w:rsid w:val="00D250E4"/>
    <w:rsid w:val="00D30090"/>
    <w:rsid w:val="00D3484C"/>
    <w:rsid w:val="00D363BF"/>
    <w:rsid w:val="00D4001F"/>
    <w:rsid w:val="00D62A5D"/>
    <w:rsid w:val="00D64920"/>
    <w:rsid w:val="00D64EBC"/>
    <w:rsid w:val="00D76590"/>
    <w:rsid w:val="00D868E7"/>
    <w:rsid w:val="00D97980"/>
    <w:rsid w:val="00DB0EA0"/>
    <w:rsid w:val="00DD220B"/>
    <w:rsid w:val="00DD4C70"/>
    <w:rsid w:val="00E15130"/>
    <w:rsid w:val="00E402E1"/>
    <w:rsid w:val="00E41B3D"/>
    <w:rsid w:val="00E45A3D"/>
    <w:rsid w:val="00E569C8"/>
    <w:rsid w:val="00E70CCC"/>
    <w:rsid w:val="00E77A19"/>
    <w:rsid w:val="00E839DC"/>
    <w:rsid w:val="00EA1789"/>
    <w:rsid w:val="00EA1F41"/>
    <w:rsid w:val="00F071A1"/>
    <w:rsid w:val="00F31163"/>
    <w:rsid w:val="00F35CA8"/>
    <w:rsid w:val="00F6360A"/>
    <w:rsid w:val="00F65C75"/>
    <w:rsid w:val="00F823C4"/>
    <w:rsid w:val="00F93F0E"/>
    <w:rsid w:val="00FA51F6"/>
    <w:rsid w:val="00FE6BE2"/>
    <w:rsid w:val="00FF3F40"/>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7D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3CE6"/>
    <w:pPr>
      <w:tabs>
        <w:tab w:val="center" w:pos="4320"/>
        <w:tab w:val="right" w:pos="8640"/>
      </w:tabs>
    </w:pPr>
  </w:style>
  <w:style w:type="paragraph" w:styleId="Footer">
    <w:name w:val="footer"/>
    <w:basedOn w:val="Normal"/>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D3535"/>
    <w:rPr>
      <w:sz w:val="16"/>
      <w:szCs w:val="16"/>
    </w:rPr>
  </w:style>
  <w:style w:type="paragraph" w:styleId="CommentText">
    <w:name w:val="annotation text"/>
    <w:basedOn w:val="Normal"/>
    <w:link w:val="CommentTextChar"/>
    <w:rsid w:val="002D3535"/>
    <w:rPr>
      <w:sz w:val="20"/>
      <w:szCs w:val="20"/>
    </w:rPr>
  </w:style>
  <w:style w:type="character" w:customStyle="1" w:styleId="CommentTextChar">
    <w:name w:val="Comment Text Char"/>
    <w:basedOn w:val="DefaultParagraphFont"/>
    <w:link w:val="CommentText"/>
    <w:rsid w:val="002D3535"/>
  </w:style>
  <w:style w:type="paragraph" w:styleId="CommentSubject">
    <w:name w:val="annotation subject"/>
    <w:basedOn w:val="CommentText"/>
    <w:next w:val="CommentText"/>
    <w:link w:val="CommentSubjectChar"/>
    <w:rsid w:val="002D3535"/>
    <w:rPr>
      <w:b/>
      <w:bCs/>
    </w:rPr>
  </w:style>
  <w:style w:type="character" w:customStyle="1" w:styleId="CommentSubjectChar">
    <w:name w:val="Comment Subject Char"/>
    <w:basedOn w:val="CommentTextChar"/>
    <w:link w:val="CommentSubject"/>
    <w:rsid w:val="002D3535"/>
    <w:rPr>
      <w:b/>
      <w:bCs/>
    </w:rPr>
  </w:style>
  <w:style w:type="numbering" w:customStyle="1" w:styleId="Style1">
    <w:name w:val="Style1"/>
    <w:uiPriority w:val="99"/>
    <w:rsid w:val="0050336C"/>
    <w:pPr>
      <w:numPr>
        <w:numId w:val="6"/>
      </w:numPr>
    </w:pPr>
  </w:style>
  <w:style w:type="character" w:customStyle="1" w:styleId="HeaderChar">
    <w:name w:val="Header Char"/>
    <w:basedOn w:val="DefaultParagraphFont"/>
    <w:link w:val="Header"/>
    <w:rsid w:val="00D62A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3CE6"/>
    <w:pPr>
      <w:tabs>
        <w:tab w:val="center" w:pos="4320"/>
        <w:tab w:val="right" w:pos="8640"/>
      </w:tabs>
    </w:pPr>
  </w:style>
  <w:style w:type="paragraph" w:styleId="Footer">
    <w:name w:val="footer"/>
    <w:basedOn w:val="Normal"/>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D3535"/>
    <w:rPr>
      <w:sz w:val="16"/>
      <w:szCs w:val="16"/>
    </w:rPr>
  </w:style>
  <w:style w:type="paragraph" w:styleId="CommentText">
    <w:name w:val="annotation text"/>
    <w:basedOn w:val="Normal"/>
    <w:link w:val="CommentTextChar"/>
    <w:rsid w:val="002D3535"/>
    <w:rPr>
      <w:sz w:val="20"/>
      <w:szCs w:val="20"/>
    </w:rPr>
  </w:style>
  <w:style w:type="character" w:customStyle="1" w:styleId="CommentTextChar">
    <w:name w:val="Comment Text Char"/>
    <w:basedOn w:val="DefaultParagraphFont"/>
    <w:link w:val="CommentText"/>
    <w:rsid w:val="002D3535"/>
  </w:style>
  <w:style w:type="paragraph" w:styleId="CommentSubject">
    <w:name w:val="annotation subject"/>
    <w:basedOn w:val="CommentText"/>
    <w:next w:val="CommentText"/>
    <w:link w:val="CommentSubjectChar"/>
    <w:rsid w:val="002D3535"/>
    <w:rPr>
      <w:b/>
      <w:bCs/>
    </w:rPr>
  </w:style>
  <w:style w:type="character" w:customStyle="1" w:styleId="CommentSubjectChar">
    <w:name w:val="Comment Subject Char"/>
    <w:basedOn w:val="CommentTextChar"/>
    <w:link w:val="CommentSubject"/>
    <w:rsid w:val="002D3535"/>
    <w:rPr>
      <w:b/>
      <w:bCs/>
    </w:rPr>
  </w:style>
  <w:style w:type="numbering" w:customStyle="1" w:styleId="Style1">
    <w:name w:val="Style1"/>
    <w:uiPriority w:val="99"/>
    <w:rsid w:val="0050336C"/>
    <w:pPr>
      <w:numPr>
        <w:numId w:val="6"/>
      </w:numPr>
    </w:pPr>
  </w:style>
  <w:style w:type="character" w:customStyle="1" w:styleId="HeaderChar">
    <w:name w:val="Header Char"/>
    <w:basedOn w:val="DefaultParagraphFont"/>
    <w:link w:val="Header"/>
    <w:rsid w:val="00D62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67264">
      <w:bodyDiv w:val="1"/>
      <w:marLeft w:val="0"/>
      <w:marRight w:val="0"/>
      <w:marTop w:val="0"/>
      <w:marBottom w:val="0"/>
      <w:divBdr>
        <w:top w:val="none" w:sz="0" w:space="0" w:color="auto"/>
        <w:left w:val="none" w:sz="0" w:space="0" w:color="auto"/>
        <w:bottom w:val="none" w:sz="0" w:space="0" w:color="auto"/>
        <w:right w:val="none" w:sz="0" w:space="0" w:color="auto"/>
      </w:divBdr>
    </w:div>
    <w:div w:id="714037990">
      <w:bodyDiv w:val="1"/>
      <w:marLeft w:val="0"/>
      <w:marRight w:val="0"/>
      <w:marTop w:val="0"/>
      <w:marBottom w:val="0"/>
      <w:divBdr>
        <w:top w:val="none" w:sz="0" w:space="0" w:color="auto"/>
        <w:left w:val="none" w:sz="0" w:space="0" w:color="auto"/>
        <w:bottom w:val="none" w:sz="0" w:space="0" w:color="auto"/>
        <w:right w:val="none" w:sz="0" w:space="0" w:color="auto"/>
      </w:divBdr>
    </w:div>
    <w:div w:id="1744180859">
      <w:bodyDiv w:val="1"/>
      <w:marLeft w:val="0"/>
      <w:marRight w:val="0"/>
      <w:marTop w:val="0"/>
      <w:marBottom w:val="0"/>
      <w:divBdr>
        <w:top w:val="none" w:sz="0" w:space="0" w:color="auto"/>
        <w:left w:val="none" w:sz="0" w:space="0" w:color="auto"/>
        <w:bottom w:val="none" w:sz="0" w:space="0" w:color="auto"/>
        <w:right w:val="none" w:sz="0" w:space="0" w:color="auto"/>
      </w:divBdr>
    </w:div>
    <w:div w:id="21011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dla.mil/j-6/dlmso/elibrary/manuals/dlm/dlm_pubs.as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Library/Manuals/DLMS/formal_chang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 xmlns="285639a9-1903-4c4b-b008-ef5107d44cb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471A8-029B-4DDC-A87A-C5218FAFB60B}"/>
</file>

<file path=customXml/itemProps2.xml><?xml version="1.0" encoding="utf-8"?>
<ds:datastoreItem xmlns:ds="http://schemas.openxmlformats.org/officeDocument/2006/customXml" ds:itemID="{90830DF4-C9CE-49BD-9A08-9B1A7562B751}"/>
</file>

<file path=customXml/itemProps3.xml><?xml version="1.0" encoding="utf-8"?>
<ds:datastoreItem xmlns:ds="http://schemas.openxmlformats.org/officeDocument/2006/customXml" ds:itemID="{9437E2D2-3377-49CF-ACBB-8CE6926F3E39}"/>
</file>

<file path=customXml/itemProps4.xml><?xml version="1.0" encoding="utf-8"?>
<ds:datastoreItem xmlns:ds="http://schemas.openxmlformats.org/officeDocument/2006/customXml" ds:itemID="{8D651C4B-0696-4740-BBF6-EDBA01376F41}"/>
</file>

<file path=docProps/app.xml><?xml version="1.0" encoding="utf-8"?>
<Properties xmlns="http://schemas.openxmlformats.org/officeDocument/2006/extended-properties" xmlns:vt="http://schemas.openxmlformats.org/officeDocument/2006/docPropsVTypes">
  <Template>Normal.dotm</Template>
  <TotalTime>24</TotalTime>
  <Pages>2</Pages>
  <Words>492</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DLMS V2 Change 4 Letter</vt:lpstr>
    </vt:vector>
  </TitlesOfParts>
  <Company>DoD</Company>
  <LinksUpToDate>false</LinksUpToDate>
  <CharactersWithSpaces>3650</CharactersWithSpaces>
  <SharedDoc>false</SharedDoc>
  <HLinks>
    <vt:vector size="12" baseType="variant">
      <vt:variant>
        <vt:i4>6946910</vt:i4>
      </vt:variant>
      <vt:variant>
        <vt:i4>3</vt:i4>
      </vt:variant>
      <vt:variant>
        <vt:i4>0</vt:i4>
      </vt:variant>
      <vt:variant>
        <vt:i4>5</vt:i4>
      </vt:variant>
      <vt:variant>
        <vt:lpwstr>http://www.dla.mil/j-6/dlmso/eLibrary/Manuals/DLMS/formal_changes.asp</vt:lpwstr>
      </vt:variant>
      <vt:variant>
        <vt:lpwstr/>
      </vt:variant>
      <vt:variant>
        <vt:i4>8060945</vt:i4>
      </vt:variant>
      <vt:variant>
        <vt:i4>0</vt:i4>
      </vt:variant>
      <vt:variant>
        <vt:i4>0</vt:i4>
      </vt:variant>
      <vt:variant>
        <vt:i4>5</vt:i4>
      </vt:variant>
      <vt:variant>
        <vt:lpwstr>http://www2.dla.mil/j-6/dlmso/elibrary/manuals/dlm/dlm_pubs.asp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DAAS Change 1 letter</dc:title>
  <dc:creator>prezzysm</dc:creator>
  <cp:lastModifiedBy>Belcher, Marcy A DLA CTR INFORMATION OPERATIONS</cp:lastModifiedBy>
  <cp:revision>9</cp:revision>
  <cp:lastPrinted>2014-07-17T19:12:00Z</cp:lastPrinted>
  <dcterms:created xsi:type="dcterms:W3CDTF">2014-11-19T13:55:00Z</dcterms:created>
  <dcterms:modified xsi:type="dcterms:W3CDTF">2015-06-16T15:46:00Z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35000</vt:r8>
  </property>
  <property fmtid="{D5CDD505-2E9C-101B-9397-08002B2CF9AE}" pid="4" name="xd_ProgID">
    <vt:lpwstr/>
  </property>
  <property fmtid="{D5CDD505-2E9C-101B-9397-08002B2CF9AE}" pid="5" name="TemplateUrl">
    <vt:lpwstr/>
  </property>
</Properties>
</file>