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4" w14:textId="2AAA8F6E" w:rsidR="00EA1F41" w:rsidRDefault="00EA1F41" w:rsidP="00652930">
      <w:pPr>
        <w:rPr>
          <w:rFonts w:ascii="Copperplate Gothic Bold" w:eastAsia="Copperplate Gothic Bold" w:hAnsi="Copperplate Gothic Bold" w:cs="Copperplate Gothic Bold"/>
          <w:color w:val="295694"/>
          <w:sz w:val="13"/>
          <w:szCs w:val="14"/>
        </w:rPr>
      </w:pPr>
      <w:r>
        <w:rPr>
          <w:sz w:val="16"/>
        </w:rPr>
        <w:t xml:space="preserve"> </w:t>
      </w:r>
      <w:r w:rsidRPr="002F761A">
        <w:rPr>
          <w:rFonts w:ascii="Copperplate Gothic Bold" w:eastAsia="Copperplate Gothic Bold" w:hAnsi="Copperplate Gothic Bold" w:cs="Copperplate Gothic Bold"/>
          <w:color w:val="295694"/>
          <w:sz w:val="13"/>
          <w:szCs w:val="14"/>
        </w:rPr>
        <w:t xml:space="preserve">        </w:t>
      </w:r>
    </w:p>
    <w:p w14:paraId="74C79AD5"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567ADDCE" w14:textId="0162F1F7" w:rsidR="003733A0" w:rsidRDefault="003733A0" w:rsidP="003733A0">
      <w:pPr>
        <w:pStyle w:val="Footer"/>
        <w:tabs>
          <w:tab w:val="left" w:pos="1620"/>
        </w:tabs>
        <w:ind w:left="1620" w:hanging="1620"/>
        <w:jc w:val="right"/>
        <w:rPr>
          <w:sz w:val="26"/>
          <w:szCs w:val="26"/>
        </w:rPr>
      </w:pPr>
      <w:r>
        <w:rPr>
          <w:sz w:val="26"/>
          <w:szCs w:val="26"/>
        </w:rPr>
        <w:t xml:space="preserve">DLM 4000.25-1, </w:t>
      </w:r>
      <w:r w:rsidR="009D0ADB">
        <w:rPr>
          <w:sz w:val="26"/>
          <w:szCs w:val="26"/>
        </w:rPr>
        <w:t>October 03</w:t>
      </w:r>
      <w:r w:rsidR="00D60DB5">
        <w:rPr>
          <w:sz w:val="26"/>
          <w:szCs w:val="26"/>
        </w:rPr>
        <w:t xml:space="preserve">, </w:t>
      </w:r>
      <w:r w:rsidR="00E45F0C">
        <w:rPr>
          <w:sz w:val="26"/>
          <w:szCs w:val="26"/>
        </w:rPr>
        <w:t>2017</w:t>
      </w:r>
    </w:p>
    <w:p w14:paraId="429C086B" w14:textId="0E4B6233" w:rsidR="003733A0" w:rsidRDefault="00677E51" w:rsidP="003733A0">
      <w:pPr>
        <w:pStyle w:val="Footer"/>
        <w:tabs>
          <w:tab w:val="left" w:pos="1620"/>
        </w:tabs>
        <w:spacing w:after="240"/>
        <w:ind w:left="1627" w:hanging="1627"/>
        <w:jc w:val="right"/>
        <w:rPr>
          <w:sz w:val="26"/>
          <w:szCs w:val="26"/>
        </w:rPr>
      </w:pPr>
      <w:r>
        <w:rPr>
          <w:sz w:val="26"/>
          <w:szCs w:val="26"/>
        </w:rPr>
        <w:t xml:space="preserve">Change </w:t>
      </w:r>
      <w:r w:rsidR="00E45F0C">
        <w:rPr>
          <w:sz w:val="26"/>
          <w:szCs w:val="26"/>
        </w:rPr>
        <w:t>9</w:t>
      </w:r>
    </w:p>
    <w:p w14:paraId="0B968E13" w14:textId="77777777" w:rsidR="00195034" w:rsidRDefault="00195034" w:rsidP="003733A0">
      <w:pPr>
        <w:pStyle w:val="Footer"/>
        <w:tabs>
          <w:tab w:val="left" w:pos="1260"/>
        </w:tabs>
        <w:ind w:left="1260" w:hanging="1260"/>
        <w:jc w:val="center"/>
        <w:rPr>
          <w:bCs/>
        </w:rPr>
      </w:pPr>
    </w:p>
    <w:p w14:paraId="76FBCFE1" w14:textId="0546E39C" w:rsidR="003733A0" w:rsidRDefault="003733A0" w:rsidP="003733A0">
      <w:pPr>
        <w:pStyle w:val="Footer"/>
        <w:tabs>
          <w:tab w:val="left" w:pos="1260"/>
        </w:tabs>
        <w:ind w:left="1260" w:hanging="1260"/>
        <w:jc w:val="center"/>
        <w:rPr>
          <w:bCs/>
        </w:rPr>
      </w:pPr>
      <w:r>
        <w:rPr>
          <w:bCs/>
        </w:rPr>
        <w:t>MILITARY STANDARD REQUISITIONING AND ISSUE PROCEDURES</w:t>
      </w:r>
    </w:p>
    <w:p w14:paraId="3562D0DE" w14:textId="6D378E13" w:rsidR="003733A0" w:rsidRDefault="00677E51" w:rsidP="003733A0">
      <w:pPr>
        <w:pStyle w:val="Footer"/>
        <w:tabs>
          <w:tab w:val="left" w:pos="1260"/>
        </w:tabs>
        <w:spacing w:after="240"/>
        <w:ind w:left="1260" w:hanging="1260"/>
        <w:jc w:val="center"/>
        <w:rPr>
          <w:bCs/>
        </w:rPr>
      </w:pPr>
      <w:r>
        <w:rPr>
          <w:bCs/>
        </w:rPr>
        <w:t xml:space="preserve">CHANGE </w:t>
      </w:r>
      <w:r w:rsidR="0028145A">
        <w:rPr>
          <w:bCs/>
        </w:rPr>
        <w:t>9</w:t>
      </w:r>
    </w:p>
    <w:p w14:paraId="3C62A9F5" w14:textId="3A78AE1B" w:rsidR="00677E51" w:rsidRPr="00195034" w:rsidRDefault="007A4606" w:rsidP="00677E51">
      <w:pPr>
        <w:spacing w:after="240"/>
        <w:rPr>
          <w:color w:val="000000" w:themeColor="text1"/>
        </w:rPr>
      </w:pPr>
      <w:r w:rsidRPr="00195034">
        <w:t>I.</w:t>
      </w:r>
      <w:r w:rsidRPr="00195034">
        <w:rPr>
          <w:spacing w:val="57"/>
        </w:rPr>
        <w:t xml:space="preserve"> </w:t>
      </w:r>
      <w:r w:rsidR="004B7A24" w:rsidRPr="00195034">
        <w:t xml:space="preserve">This change to DLM 4000.25-1, Military Standard Requisitioning and Issue Procedures </w:t>
      </w:r>
      <w:r w:rsidR="00907C2B" w:rsidRPr="00195034">
        <w:t xml:space="preserve">(MILSTRIP), </w:t>
      </w:r>
      <w:r w:rsidR="00CB55EA" w:rsidRPr="00195034">
        <w:t>June 2012</w:t>
      </w:r>
      <w:r w:rsidR="004B7A24" w:rsidRPr="00195034">
        <w:t>, is published by direction of the Deputy Assistant Secretary of Defense for Supply Chain Integration under the authority of DoD Instruction (DoDI) 4140.01, “DoD Supply Chain Materiel Management Policy,” December 14, 2011.  Unless otherwise noted, revised text in the manual is identified by</w:t>
      </w:r>
      <w:r w:rsidR="004B7A24" w:rsidRPr="00195034">
        <w:rPr>
          <w:b/>
          <w:bCs/>
          <w:i/>
        </w:rPr>
        <w:t xml:space="preserve"> bold, italicized </w:t>
      </w:r>
      <w:r w:rsidR="004B7A24" w:rsidRPr="00195034">
        <w:t xml:space="preserve">print.  </w:t>
      </w:r>
      <w:r w:rsidR="00677E51" w:rsidRPr="00195034">
        <w:rPr>
          <w:color w:val="000000" w:themeColor="text1"/>
        </w:rPr>
        <w:t>Exceptions are when an entire chapter or appendix is replaced, a new one added, or an administrative update is made.  Ad</w:t>
      </w:r>
      <w:r w:rsidR="0028145A">
        <w:rPr>
          <w:color w:val="000000" w:themeColor="text1"/>
        </w:rPr>
        <w:t>ministrative updates in Change 9</w:t>
      </w:r>
      <w:r w:rsidR="00677E51" w:rsidRPr="00195034">
        <w:rPr>
          <w:color w:val="000000" w:themeColor="text1"/>
        </w:rPr>
        <w:t xml:space="preserve"> include the following: "DLA Logistics Management Standards" is changed to "Defense Logistics Management</w:t>
      </w:r>
      <w:r w:rsidR="00F073FD">
        <w:rPr>
          <w:color w:val="000000" w:themeColor="text1"/>
        </w:rPr>
        <w:t xml:space="preserve"> Standards</w:t>
      </w:r>
      <w:r w:rsidR="00677E51" w:rsidRPr="00195034">
        <w:rPr>
          <w:color w:val="000000" w:themeColor="text1"/>
        </w:rPr>
        <w:t>" to reflect the most recent name change for the DLMS</w:t>
      </w:r>
      <w:r w:rsidR="00F073FD">
        <w:rPr>
          <w:color w:val="000000" w:themeColor="text1"/>
        </w:rPr>
        <w:t xml:space="preserve"> Program </w:t>
      </w:r>
      <w:r w:rsidR="00677E51" w:rsidRPr="00195034">
        <w:rPr>
          <w:color w:val="000000" w:themeColor="text1"/>
        </w:rPr>
        <w:t>O</w:t>
      </w:r>
      <w:r w:rsidR="00F073FD">
        <w:rPr>
          <w:color w:val="000000" w:themeColor="text1"/>
        </w:rPr>
        <w:t>ffice.  A</w:t>
      </w:r>
      <w:r w:rsidR="00677E51" w:rsidRPr="00195034">
        <w:rPr>
          <w:color w:val="000000" w:themeColor="text1"/>
        </w:rPr>
        <w:t>bbreviations such as etc., e.g., and i.e. are incorporated inside the parentheses</w:t>
      </w:r>
      <w:r w:rsidR="00F073FD">
        <w:rPr>
          <w:color w:val="000000" w:themeColor="text1"/>
        </w:rPr>
        <w:t>.  O</w:t>
      </w:r>
      <w:r w:rsidR="00677E51" w:rsidRPr="00195034">
        <w:rPr>
          <w:color w:val="000000" w:themeColor="text1"/>
        </w:rPr>
        <w:t>ccurrences of “shall” are changed to “will” per a style change for DoD issuances</w:t>
      </w:r>
      <w:r w:rsidR="00F073FD">
        <w:rPr>
          <w:color w:val="000000" w:themeColor="text1"/>
        </w:rPr>
        <w:t xml:space="preserve">.  </w:t>
      </w:r>
      <w:r w:rsidR="00677E51" w:rsidRPr="00195034">
        <w:rPr>
          <w:color w:val="000000" w:themeColor="text1"/>
        </w:rPr>
        <w:t>“Defense Logistics Management System” is updated to “Defense Logistics Management Standards”</w:t>
      </w:r>
      <w:r w:rsidR="00F073FD">
        <w:rPr>
          <w:color w:val="000000" w:themeColor="text1"/>
        </w:rPr>
        <w:t xml:space="preserve">.  </w:t>
      </w:r>
      <w:r w:rsidR="00677E51" w:rsidRPr="00195034">
        <w:rPr>
          <w:color w:val="000000" w:themeColor="text1"/>
        </w:rPr>
        <w:t>“DoDM 4140.1-R” is updated to “DoDM 4140.01”</w:t>
      </w:r>
      <w:r w:rsidR="006665C9">
        <w:rPr>
          <w:color w:val="000000" w:themeColor="text1"/>
        </w:rPr>
        <w:t xml:space="preserve">.  References to “(DLA) Transaction Services” are changed to “Defense Automatic Addressing System (DAAS)” and “DLA Logistics Information Services” to “Logistics Information Services”; </w:t>
      </w:r>
      <w:r w:rsidR="00677E51" w:rsidRPr="00195034">
        <w:rPr>
          <w:color w:val="000000" w:themeColor="text1"/>
        </w:rPr>
        <w:t>and minor typographical and similar editing errors</w:t>
      </w:r>
      <w:r w:rsidR="00F073FD" w:rsidRPr="00F073FD">
        <w:rPr>
          <w:color w:val="000000" w:themeColor="text1"/>
        </w:rPr>
        <w:t xml:space="preserve"> </w:t>
      </w:r>
      <w:r w:rsidR="00F073FD" w:rsidRPr="00195034">
        <w:rPr>
          <w:color w:val="000000" w:themeColor="text1"/>
        </w:rPr>
        <w:t>in previous version</w:t>
      </w:r>
      <w:r w:rsidR="00F073FD">
        <w:rPr>
          <w:color w:val="000000" w:themeColor="text1"/>
        </w:rPr>
        <w:t xml:space="preserve">s, including specifically an update to Appendix 2.16 that was approved in ADC 229 dated </w:t>
      </w:r>
      <w:r w:rsidR="00F073FD">
        <w:t>March 6, 2007,</w:t>
      </w:r>
      <w:r w:rsidR="00F073FD">
        <w:rPr>
          <w:color w:val="000000" w:themeColor="text1"/>
        </w:rPr>
        <w:t xml:space="preserve"> but never updated in the manual,</w:t>
      </w:r>
      <w:r w:rsidR="00677E51" w:rsidRPr="00195034">
        <w:rPr>
          <w:color w:val="000000" w:themeColor="text1"/>
        </w:rPr>
        <w:t xml:space="preserve"> have been corrected. </w:t>
      </w:r>
    </w:p>
    <w:p w14:paraId="74C79ADE" w14:textId="4EB619AB" w:rsidR="007A4606" w:rsidRPr="00195034" w:rsidRDefault="007A4606" w:rsidP="001E431A">
      <w:pPr>
        <w:spacing w:after="240"/>
        <w:ind w:right="180"/>
        <w:rPr>
          <w:color w:val="000000" w:themeColor="text1"/>
        </w:rPr>
      </w:pPr>
      <w:r w:rsidRPr="00195034">
        <w:rPr>
          <w:color w:val="000000" w:themeColor="text1"/>
        </w:rPr>
        <w:t xml:space="preserve">II. This change includes Approved Defense Logistics Management </w:t>
      </w:r>
      <w:r w:rsidR="00D628AC" w:rsidRPr="00195034">
        <w:rPr>
          <w:color w:val="000000" w:themeColor="text1"/>
        </w:rPr>
        <w:t xml:space="preserve">Standards </w:t>
      </w:r>
      <w:r w:rsidRPr="00195034">
        <w:rPr>
          <w:color w:val="000000" w:themeColor="text1"/>
        </w:rPr>
        <w:t xml:space="preserve">(DLMS) Changes (ADC) published by </w:t>
      </w:r>
      <w:r w:rsidR="007C183D" w:rsidRPr="00195034">
        <w:rPr>
          <w:color w:val="000000" w:themeColor="text1"/>
        </w:rPr>
        <w:t xml:space="preserve">Defense </w:t>
      </w:r>
      <w:r w:rsidRPr="00195034">
        <w:rPr>
          <w:color w:val="000000" w:themeColor="text1"/>
        </w:rPr>
        <w:t xml:space="preserve">Logistics Management Standards </w:t>
      </w:r>
      <w:r w:rsidR="00285CBE">
        <w:rPr>
          <w:color w:val="000000" w:themeColor="text1"/>
        </w:rPr>
        <w:t xml:space="preserve">Program </w:t>
      </w:r>
      <w:r w:rsidRPr="00195034">
        <w:rPr>
          <w:color w:val="000000" w:themeColor="text1"/>
        </w:rPr>
        <w:t>Office memorandum:</w:t>
      </w:r>
    </w:p>
    <w:p w14:paraId="70389DE6" w14:textId="2407DBFA" w:rsidR="00083837" w:rsidRPr="00195034" w:rsidRDefault="00083837" w:rsidP="00A45E66">
      <w:pPr>
        <w:pStyle w:val="ListParagraph"/>
        <w:widowControl w:val="0"/>
        <w:numPr>
          <w:ilvl w:val="0"/>
          <w:numId w:val="2"/>
        </w:numPr>
        <w:spacing w:after="240" w:line="240" w:lineRule="auto"/>
        <w:ind w:left="0" w:firstLine="900"/>
        <w:contextualSpacing w:val="0"/>
        <w:rPr>
          <w:rFonts w:ascii="Times New Roman" w:eastAsia="Times New Roman" w:hAnsi="Times New Roman"/>
          <w:color w:val="000000" w:themeColor="text1"/>
          <w:sz w:val="24"/>
          <w:szCs w:val="24"/>
        </w:rPr>
      </w:pPr>
      <w:r w:rsidRPr="00195034">
        <w:rPr>
          <w:rFonts w:ascii="Times New Roman" w:eastAsia="Times New Roman" w:hAnsi="Times New Roman"/>
          <w:color w:val="76923C" w:themeColor="accent3" w:themeShade="BF"/>
          <w:sz w:val="24"/>
          <w:szCs w:val="24"/>
        </w:rPr>
        <w:t xml:space="preserve">  </w:t>
      </w:r>
      <w:r w:rsidR="00337199" w:rsidRPr="00195034">
        <w:rPr>
          <w:rFonts w:ascii="Times New Roman" w:eastAsia="Times New Roman" w:hAnsi="Times New Roman"/>
          <w:color w:val="000000" w:themeColor="text1"/>
          <w:sz w:val="24"/>
          <w:szCs w:val="24"/>
        </w:rPr>
        <w:t>ADC 1161</w:t>
      </w:r>
      <w:r w:rsidR="00285CBE">
        <w:rPr>
          <w:rFonts w:ascii="Times New Roman" w:eastAsia="Times New Roman" w:hAnsi="Times New Roman"/>
          <w:color w:val="000000" w:themeColor="text1"/>
          <w:sz w:val="24"/>
          <w:szCs w:val="24"/>
        </w:rPr>
        <w:t>A</w:t>
      </w:r>
      <w:r w:rsidR="00337199" w:rsidRPr="00195034">
        <w:rPr>
          <w:rFonts w:ascii="Times New Roman" w:eastAsia="Times New Roman" w:hAnsi="Times New Roman"/>
          <w:color w:val="000000" w:themeColor="text1"/>
          <w:sz w:val="24"/>
          <w:szCs w:val="24"/>
        </w:rPr>
        <w:t xml:space="preserve"> dated </w:t>
      </w:r>
      <w:r w:rsidR="00285CBE">
        <w:rPr>
          <w:rFonts w:ascii="Times New Roman" w:eastAsia="Times New Roman" w:hAnsi="Times New Roman"/>
          <w:color w:val="000000" w:themeColor="text1"/>
          <w:sz w:val="24"/>
          <w:szCs w:val="24"/>
        </w:rPr>
        <w:t>February 23, 2017</w:t>
      </w:r>
      <w:r w:rsidR="00337199" w:rsidRPr="00195034">
        <w:rPr>
          <w:rFonts w:ascii="Times New Roman" w:eastAsia="Times New Roman" w:hAnsi="Times New Roman"/>
          <w:color w:val="000000" w:themeColor="text1"/>
          <w:sz w:val="24"/>
          <w:szCs w:val="24"/>
        </w:rPr>
        <w:t xml:space="preserve">. </w:t>
      </w:r>
      <w:r w:rsidR="00D41C44" w:rsidRPr="00195034">
        <w:rPr>
          <w:rFonts w:ascii="Times New Roman" w:eastAsia="Times New Roman" w:hAnsi="Times New Roman"/>
          <w:color w:val="000000" w:themeColor="text1"/>
          <w:sz w:val="24"/>
          <w:szCs w:val="24"/>
        </w:rPr>
        <w:t xml:space="preserve"> </w:t>
      </w:r>
      <w:r w:rsidR="00285CBE" w:rsidRPr="00285CBE">
        <w:rPr>
          <w:rFonts w:ascii="Times New Roman" w:eastAsia="Times New Roman" w:hAnsi="Times New Roman"/>
          <w:bCs/>
          <w:color w:val="000000" w:themeColor="text1"/>
          <w:sz w:val="24"/>
          <w:szCs w:val="24"/>
        </w:rPr>
        <w:t xml:space="preserve">Replaces ADC 1161 in its entirety and removes an incorrect business rule in position 10 of the PIID, updates the list of references to reflect approved (rather than draft) documents, and updates the implementation date to no later than March 31, 2017.  There are no additional changes to the procedures or DLMS transactions identified in ADC 1161, which updated DLMS procedures to accommodate the PIID numbering system. This is a mandated change required by recent changes to the FAR and DFARs and all Components must comply with the PIID numbering requirements of DFARS subpart 204.16 for all new 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  Revises Abbreviations and Acronyms, Definitions, Chapter 3, Chapter 4, Chapter 11, </w:t>
      </w:r>
      <w:r w:rsidR="00285CBE">
        <w:rPr>
          <w:rFonts w:ascii="Times New Roman" w:eastAsia="Times New Roman" w:hAnsi="Times New Roman"/>
          <w:bCs/>
          <w:color w:val="000000" w:themeColor="text1"/>
          <w:sz w:val="24"/>
          <w:szCs w:val="24"/>
        </w:rPr>
        <w:t>Appendix</w:t>
      </w:r>
      <w:r w:rsidR="00285CBE" w:rsidRPr="00285CBE">
        <w:rPr>
          <w:rFonts w:ascii="Times New Roman" w:eastAsia="Times New Roman" w:hAnsi="Times New Roman"/>
          <w:bCs/>
          <w:color w:val="000000" w:themeColor="text1"/>
          <w:sz w:val="24"/>
          <w:szCs w:val="24"/>
        </w:rPr>
        <w:t xml:space="preserve"> 3.2, </w:t>
      </w:r>
      <w:r w:rsidR="00285CBE">
        <w:rPr>
          <w:rFonts w:ascii="Times New Roman" w:eastAsia="Times New Roman" w:hAnsi="Times New Roman"/>
          <w:bCs/>
          <w:color w:val="000000" w:themeColor="text1"/>
          <w:sz w:val="24"/>
          <w:szCs w:val="24"/>
        </w:rPr>
        <w:t xml:space="preserve">Appendix </w:t>
      </w:r>
      <w:r w:rsidR="00285CBE" w:rsidRPr="00285CBE">
        <w:rPr>
          <w:rFonts w:ascii="Times New Roman" w:eastAsia="Times New Roman" w:hAnsi="Times New Roman"/>
          <w:bCs/>
          <w:color w:val="000000" w:themeColor="text1"/>
          <w:sz w:val="24"/>
          <w:szCs w:val="24"/>
        </w:rPr>
        <w:t xml:space="preserve"> 3.4, </w:t>
      </w:r>
      <w:r w:rsidR="00285CBE">
        <w:rPr>
          <w:rFonts w:ascii="Times New Roman" w:eastAsia="Times New Roman" w:hAnsi="Times New Roman"/>
          <w:bCs/>
          <w:color w:val="000000" w:themeColor="text1"/>
          <w:sz w:val="24"/>
          <w:szCs w:val="24"/>
        </w:rPr>
        <w:t xml:space="preserve">Appendix </w:t>
      </w:r>
      <w:r w:rsidR="00285CBE" w:rsidRPr="00285CBE">
        <w:rPr>
          <w:rFonts w:ascii="Times New Roman" w:eastAsia="Times New Roman" w:hAnsi="Times New Roman"/>
          <w:bCs/>
          <w:color w:val="000000" w:themeColor="text1"/>
          <w:sz w:val="24"/>
          <w:szCs w:val="24"/>
        </w:rPr>
        <w:t xml:space="preserve">3.9, </w:t>
      </w:r>
      <w:r w:rsidR="00285CBE">
        <w:rPr>
          <w:rFonts w:ascii="Times New Roman" w:eastAsia="Times New Roman" w:hAnsi="Times New Roman"/>
          <w:bCs/>
          <w:color w:val="000000" w:themeColor="text1"/>
          <w:sz w:val="24"/>
          <w:szCs w:val="24"/>
        </w:rPr>
        <w:t xml:space="preserve">Appendix </w:t>
      </w:r>
      <w:r w:rsidR="00285CBE" w:rsidRPr="00285CBE">
        <w:rPr>
          <w:rFonts w:ascii="Times New Roman" w:eastAsia="Times New Roman" w:hAnsi="Times New Roman"/>
          <w:bCs/>
          <w:color w:val="000000" w:themeColor="text1"/>
          <w:sz w:val="24"/>
          <w:szCs w:val="24"/>
        </w:rPr>
        <w:t xml:space="preserve">3.11, </w:t>
      </w:r>
      <w:r w:rsidR="00285CBE">
        <w:rPr>
          <w:rFonts w:ascii="Times New Roman" w:eastAsia="Times New Roman" w:hAnsi="Times New Roman"/>
          <w:bCs/>
          <w:color w:val="000000" w:themeColor="text1"/>
          <w:sz w:val="24"/>
          <w:szCs w:val="24"/>
        </w:rPr>
        <w:t xml:space="preserve">Appendix </w:t>
      </w:r>
      <w:r w:rsidR="00285CBE" w:rsidRPr="00285CBE">
        <w:rPr>
          <w:rFonts w:ascii="Times New Roman" w:eastAsia="Times New Roman" w:hAnsi="Times New Roman"/>
          <w:bCs/>
          <w:color w:val="000000" w:themeColor="text1"/>
          <w:sz w:val="24"/>
          <w:szCs w:val="24"/>
        </w:rPr>
        <w:t xml:space="preserve">3.22, </w:t>
      </w:r>
      <w:r w:rsidR="00285CBE">
        <w:rPr>
          <w:rFonts w:ascii="Times New Roman" w:eastAsia="Times New Roman" w:hAnsi="Times New Roman"/>
          <w:bCs/>
          <w:color w:val="000000" w:themeColor="text1"/>
          <w:sz w:val="24"/>
          <w:szCs w:val="24"/>
        </w:rPr>
        <w:t xml:space="preserve">Appendix </w:t>
      </w:r>
      <w:r w:rsidR="00285CBE" w:rsidRPr="00285CBE">
        <w:rPr>
          <w:rFonts w:ascii="Times New Roman" w:eastAsia="Times New Roman" w:hAnsi="Times New Roman"/>
          <w:bCs/>
          <w:color w:val="000000" w:themeColor="text1"/>
          <w:sz w:val="24"/>
          <w:szCs w:val="24"/>
        </w:rPr>
        <w:t xml:space="preserve">3.23, and </w:t>
      </w:r>
      <w:r w:rsidR="00285CBE">
        <w:rPr>
          <w:rFonts w:ascii="Times New Roman" w:eastAsia="Times New Roman" w:hAnsi="Times New Roman"/>
          <w:bCs/>
          <w:color w:val="000000" w:themeColor="text1"/>
          <w:sz w:val="24"/>
          <w:szCs w:val="24"/>
        </w:rPr>
        <w:t xml:space="preserve">Appendix </w:t>
      </w:r>
      <w:r w:rsidR="00285CBE" w:rsidRPr="00285CBE">
        <w:rPr>
          <w:rFonts w:ascii="Times New Roman" w:eastAsia="Times New Roman" w:hAnsi="Times New Roman"/>
          <w:bCs/>
          <w:color w:val="000000" w:themeColor="text1"/>
          <w:sz w:val="24"/>
          <w:szCs w:val="24"/>
        </w:rPr>
        <w:t>3.24</w:t>
      </w:r>
      <w:r w:rsidR="009332A8" w:rsidRPr="00195034">
        <w:rPr>
          <w:rFonts w:ascii="Times New Roman" w:eastAsia="Times New Roman" w:hAnsi="Times New Roman"/>
          <w:color w:val="000000" w:themeColor="text1"/>
          <w:sz w:val="24"/>
          <w:szCs w:val="24"/>
        </w:rPr>
        <w:t xml:space="preserve">. </w:t>
      </w:r>
    </w:p>
    <w:p w14:paraId="773C50C4" w14:textId="5F0CF1DA" w:rsidR="001A5BB9" w:rsidRPr="002C72DE" w:rsidRDefault="00083837" w:rsidP="002C72DE">
      <w:pPr>
        <w:pStyle w:val="ListParagraph"/>
        <w:numPr>
          <w:ilvl w:val="0"/>
          <w:numId w:val="2"/>
        </w:numPr>
        <w:spacing w:after="240" w:line="240" w:lineRule="auto"/>
        <w:ind w:left="0" w:firstLine="907"/>
        <w:contextualSpacing w:val="0"/>
        <w:rPr>
          <w:rFonts w:ascii="Times New Roman" w:eastAsia="Times New Roman" w:hAnsi="Times New Roman"/>
          <w:color w:val="000000" w:themeColor="text1"/>
          <w:sz w:val="24"/>
          <w:szCs w:val="24"/>
        </w:rPr>
      </w:pPr>
      <w:r w:rsidRPr="00195034">
        <w:rPr>
          <w:rFonts w:ascii="Times New Roman" w:eastAsia="Times New Roman" w:hAnsi="Times New Roman"/>
          <w:color w:val="76923C" w:themeColor="accent3" w:themeShade="BF"/>
          <w:sz w:val="24"/>
          <w:szCs w:val="24"/>
        </w:rPr>
        <w:lastRenderedPageBreak/>
        <w:t xml:space="preserve">  </w:t>
      </w:r>
      <w:r w:rsidR="00993DA2" w:rsidRPr="00195034">
        <w:rPr>
          <w:rFonts w:ascii="Times New Roman" w:eastAsia="Times New Roman" w:hAnsi="Times New Roman"/>
          <w:color w:val="000000" w:themeColor="text1"/>
          <w:sz w:val="24"/>
          <w:szCs w:val="24"/>
        </w:rPr>
        <w:t>ADC 11</w:t>
      </w:r>
      <w:r w:rsidR="00DE16ED">
        <w:rPr>
          <w:rFonts w:ascii="Times New Roman" w:eastAsia="Times New Roman" w:hAnsi="Times New Roman"/>
          <w:color w:val="000000" w:themeColor="text1"/>
          <w:sz w:val="24"/>
          <w:szCs w:val="24"/>
        </w:rPr>
        <w:t>7</w:t>
      </w:r>
      <w:r w:rsidR="00993DA2" w:rsidRPr="00195034">
        <w:rPr>
          <w:rFonts w:ascii="Times New Roman" w:eastAsia="Times New Roman" w:hAnsi="Times New Roman"/>
          <w:color w:val="000000" w:themeColor="text1"/>
          <w:sz w:val="24"/>
          <w:szCs w:val="24"/>
        </w:rPr>
        <w:t xml:space="preserve">6 dated </w:t>
      </w:r>
      <w:r w:rsidR="00DE16ED">
        <w:rPr>
          <w:rFonts w:ascii="Times New Roman" w:eastAsia="Times New Roman" w:hAnsi="Times New Roman"/>
          <w:color w:val="000000" w:themeColor="text1"/>
          <w:sz w:val="24"/>
          <w:szCs w:val="24"/>
        </w:rPr>
        <w:t xml:space="preserve">March 29, </w:t>
      </w:r>
      <w:r w:rsidR="00993DA2" w:rsidRPr="00195034">
        <w:rPr>
          <w:rFonts w:ascii="Times New Roman" w:eastAsia="Times New Roman" w:hAnsi="Times New Roman"/>
          <w:color w:val="000000" w:themeColor="text1"/>
          <w:sz w:val="24"/>
          <w:szCs w:val="24"/>
        </w:rPr>
        <w:t>201</w:t>
      </w:r>
      <w:r w:rsidR="00DE16ED">
        <w:rPr>
          <w:rFonts w:ascii="Times New Roman" w:eastAsia="Times New Roman" w:hAnsi="Times New Roman"/>
          <w:color w:val="000000" w:themeColor="text1"/>
          <w:sz w:val="24"/>
          <w:szCs w:val="24"/>
        </w:rPr>
        <w:t>7</w:t>
      </w:r>
      <w:r w:rsidR="00993DA2" w:rsidRPr="00195034">
        <w:rPr>
          <w:rFonts w:ascii="Times New Roman" w:eastAsia="Times New Roman" w:hAnsi="Times New Roman"/>
          <w:color w:val="000000" w:themeColor="text1"/>
          <w:sz w:val="24"/>
          <w:szCs w:val="24"/>
        </w:rPr>
        <w:t xml:space="preserve">.  </w:t>
      </w:r>
      <w:r w:rsidR="009E6316" w:rsidRPr="009E6316">
        <w:rPr>
          <w:rFonts w:ascii="Times New Roman" w:eastAsia="Times New Roman" w:hAnsi="Times New Roman"/>
          <w:bCs/>
          <w:color w:val="000000" w:themeColor="text1"/>
          <w:sz w:val="24"/>
          <w:szCs w:val="24"/>
        </w:rPr>
        <w:t>Revise</w:t>
      </w:r>
      <w:r w:rsidR="009E6316">
        <w:rPr>
          <w:rFonts w:ascii="Times New Roman" w:eastAsia="Times New Roman" w:hAnsi="Times New Roman"/>
          <w:bCs/>
          <w:color w:val="000000" w:themeColor="text1"/>
          <w:sz w:val="24"/>
          <w:szCs w:val="24"/>
        </w:rPr>
        <w:t>s and clarifies</w:t>
      </w:r>
      <w:r w:rsidR="009E6316" w:rsidRPr="009E6316">
        <w:rPr>
          <w:rFonts w:ascii="Times New Roman" w:eastAsia="Times New Roman" w:hAnsi="Times New Roman"/>
          <w:bCs/>
          <w:color w:val="000000" w:themeColor="text1"/>
          <w:sz w:val="24"/>
          <w:szCs w:val="24"/>
        </w:rPr>
        <w:t xml:space="preserve"> procedures to support requisitioning under a Depot Maintenance Inter-Service Agreement (DMISA) or comparable agreement.  Updates DAAS to pass (rather than route) all requisitions containing Project Codes 3AB and 3BB to the activity identified by the RIC-To.  Revises MILSTRIP procedures to provide guidance specific to using these three project codes inclusive of the intended recipient or requisitions of parts needed to complete a maintenance action. Revises MILSTRIP requisition data content rules to allow use of the supply condition code by the repair agent when requisitioning for induction to maintenance.  Revises Chapter 2, </w:t>
      </w:r>
      <w:r w:rsidR="002C72DE">
        <w:rPr>
          <w:rFonts w:ascii="Times New Roman" w:eastAsia="Times New Roman" w:hAnsi="Times New Roman"/>
          <w:bCs/>
          <w:color w:val="000000" w:themeColor="text1"/>
          <w:sz w:val="24"/>
          <w:szCs w:val="24"/>
        </w:rPr>
        <w:br/>
      </w:r>
      <w:r w:rsidR="009E6316" w:rsidRPr="009E6316">
        <w:rPr>
          <w:rFonts w:ascii="Times New Roman" w:eastAsia="Times New Roman" w:hAnsi="Times New Roman"/>
          <w:bCs/>
          <w:color w:val="000000" w:themeColor="text1"/>
          <w:sz w:val="24"/>
          <w:szCs w:val="24"/>
        </w:rPr>
        <w:t xml:space="preserve">Appendix 2.13, Project Codes, Category </w:t>
      </w:r>
      <w:r w:rsidR="002C72DE">
        <w:rPr>
          <w:rFonts w:ascii="Times New Roman" w:eastAsia="Times New Roman" w:hAnsi="Times New Roman"/>
          <w:bCs/>
          <w:color w:val="000000" w:themeColor="text1"/>
          <w:sz w:val="24"/>
          <w:szCs w:val="24"/>
        </w:rPr>
        <w:t>C and D Table, and Appendix 3.2</w:t>
      </w:r>
      <w:r w:rsidR="00993DA2" w:rsidRPr="00195034">
        <w:rPr>
          <w:rFonts w:ascii="Times New Roman" w:eastAsia="Times New Roman" w:hAnsi="Times New Roman"/>
          <w:color w:val="000000" w:themeColor="text1"/>
          <w:sz w:val="24"/>
          <w:szCs w:val="24"/>
        </w:rPr>
        <w:t xml:space="preserve">. </w:t>
      </w:r>
    </w:p>
    <w:tbl>
      <w:tblPr>
        <w:tblW w:w="0" w:type="auto"/>
        <w:jc w:val="center"/>
        <w:tblCellMar>
          <w:left w:w="0" w:type="dxa"/>
          <w:right w:w="0" w:type="dxa"/>
        </w:tblCellMar>
        <w:tblLook w:val="01E0" w:firstRow="1" w:lastRow="1" w:firstColumn="1" w:lastColumn="1" w:noHBand="0" w:noVBand="0"/>
      </w:tblPr>
      <w:tblGrid>
        <w:gridCol w:w="3150"/>
        <w:gridCol w:w="2613"/>
      </w:tblGrid>
      <w:tr w:rsidR="00D41C44" w:rsidRPr="00D41C44" w14:paraId="74C79AE9" w14:textId="77777777" w:rsidTr="00F16EC2">
        <w:trPr>
          <w:cantSplit/>
          <w:trHeight w:hRule="exact" w:val="460"/>
          <w:tblHeader/>
          <w:jc w:val="center"/>
        </w:trPr>
        <w:tc>
          <w:tcPr>
            <w:tcW w:w="3150" w:type="dxa"/>
          </w:tcPr>
          <w:p w14:paraId="1A27A0C2" w14:textId="3E1740F0" w:rsidR="0064224A" w:rsidRPr="00D41C44" w:rsidRDefault="0064224A" w:rsidP="00F16EC2">
            <w:pPr>
              <w:spacing w:before="60" w:after="60"/>
              <w:ind w:right="-14"/>
              <w:rPr>
                <w:b/>
                <w:bCs/>
                <w:u w:val="single"/>
              </w:rPr>
            </w:pPr>
            <w:r w:rsidRPr="00D41C44">
              <w:rPr>
                <w:b/>
                <w:bCs/>
                <w:u w:val="single"/>
              </w:rPr>
              <w:t>Added or Replaced Files</w:t>
            </w:r>
          </w:p>
        </w:tc>
        <w:tc>
          <w:tcPr>
            <w:tcW w:w="2613" w:type="dxa"/>
          </w:tcPr>
          <w:p w14:paraId="55753E44" w14:textId="570E448B" w:rsidR="0064224A" w:rsidRPr="00D41C44" w:rsidRDefault="0064224A" w:rsidP="00F16EC2">
            <w:pPr>
              <w:spacing w:before="60" w:after="60"/>
              <w:ind w:right="-14"/>
              <w:rPr>
                <w:b/>
                <w:bCs/>
                <w:u w:val="single"/>
              </w:rPr>
            </w:pPr>
            <w:r w:rsidRPr="00D41C44">
              <w:rPr>
                <w:b/>
                <w:bCs/>
                <w:u w:val="single"/>
              </w:rPr>
              <w:t>Added or Replaced Files</w:t>
            </w:r>
          </w:p>
        </w:tc>
      </w:tr>
      <w:tr w:rsidR="00D41C44" w:rsidRPr="00D41C44" w14:paraId="74C79AEB" w14:textId="77777777" w:rsidTr="00F16EC2">
        <w:trPr>
          <w:cantSplit/>
          <w:trHeight w:hRule="exact" w:val="352"/>
          <w:tblHeader/>
          <w:jc w:val="center"/>
        </w:trPr>
        <w:tc>
          <w:tcPr>
            <w:tcW w:w="3150" w:type="dxa"/>
          </w:tcPr>
          <w:p w14:paraId="5A454BDE" w14:textId="3F51B236" w:rsidR="0064224A" w:rsidRPr="00D41C44" w:rsidRDefault="00122761">
            <w:pPr>
              <w:spacing w:before="40" w:after="40"/>
              <w:ind w:right="-14"/>
            </w:pPr>
            <w:r w:rsidRPr="00D41C44">
              <w:t xml:space="preserve">Change History Page </w:t>
            </w:r>
          </w:p>
        </w:tc>
        <w:tc>
          <w:tcPr>
            <w:tcW w:w="2613" w:type="dxa"/>
          </w:tcPr>
          <w:p w14:paraId="4AF4D1F5" w14:textId="26DE9442" w:rsidR="0064224A" w:rsidRPr="00D41C44" w:rsidRDefault="006C5FF5">
            <w:pPr>
              <w:spacing w:before="40" w:after="40"/>
              <w:ind w:right="-14"/>
            </w:pPr>
            <w:r w:rsidRPr="00D41C44">
              <w:t>Appendix 2.1</w:t>
            </w:r>
            <w:r w:rsidR="002C72DE">
              <w:t>3</w:t>
            </w:r>
          </w:p>
        </w:tc>
      </w:tr>
      <w:tr w:rsidR="00D41C44" w:rsidRPr="00D41C44" w14:paraId="74C79AED" w14:textId="77777777" w:rsidTr="00F16EC2">
        <w:trPr>
          <w:cantSplit/>
          <w:trHeight w:hRule="exact" w:val="387"/>
          <w:tblHeader/>
          <w:jc w:val="center"/>
        </w:trPr>
        <w:tc>
          <w:tcPr>
            <w:tcW w:w="3150" w:type="dxa"/>
          </w:tcPr>
          <w:p w14:paraId="06249EE2" w14:textId="3C2E965D" w:rsidR="00066DFC" w:rsidRPr="00D41C44" w:rsidRDefault="00122761">
            <w:pPr>
              <w:spacing w:before="40" w:after="40"/>
              <w:ind w:right="-14"/>
            </w:pPr>
            <w:r w:rsidRPr="00D41C44">
              <w:t>Table of Contents</w:t>
            </w:r>
            <w:r w:rsidRPr="00D41C44" w:rsidDel="00122761">
              <w:t xml:space="preserve"> </w:t>
            </w:r>
          </w:p>
        </w:tc>
        <w:tc>
          <w:tcPr>
            <w:tcW w:w="2613" w:type="dxa"/>
          </w:tcPr>
          <w:p w14:paraId="5E8F5F17" w14:textId="43C7DFD8" w:rsidR="00066DFC" w:rsidRPr="00D41C44" w:rsidRDefault="006C5FF5">
            <w:pPr>
              <w:spacing w:before="40" w:after="40"/>
              <w:ind w:right="-14"/>
            </w:pPr>
            <w:r w:rsidRPr="00D41C44">
              <w:t>Appendix 3.2</w:t>
            </w:r>
          </w:p>
        </w:tc>
      </w:tr>
      <w:tr w:rsidR="00D41C44" w:rsidRPr="00D41C44" w14:paraId="7D9DEC60" w14:textId="77777777" w:rsidTr="00F16EC2">
        <w:trPr>
          <w:cantSplit/>
          <w:trHeight w:hRule="exact" w:val="387"/>
          <w:tblHeader/>
          <w:jc w:val="center"/>
        </w:trPr>
        <w:tc>
          <w:tcPr>
            <w:tcW w:w="3150" w:type="dxa"/>
          </w:tcPr>
          <w:p w14:paraId="1761239B" w14:textId="7E519CFE" w:rsidR="006C5FF5" w:rsidRPr="00D41C44" w:rsidRDefault="006C5FF5">
            <w:pPr>
              <w:spacing w:before="40" w:after="40"/>
              <w:ind w:right="-14"/>
            </w:pPr>
            <w:r w:rsidRPr="00D41C44">
              <w:t>References</w:t>
            </w:r>
          </w:p>
        </w:tc>
        <w:tc>
          <w:tcPr>
            <w:tcW w:w="2613" w:type="dxa"/>
          </w:tcPr>
          <w:p w14:paraId="049FB2E0" w14:textId="417A77C0" w:rsidR="006C5FF5" w:rsidRPr="00D41C44" w:rsidRDefault="006C5FF5">
            <w:pPr>
              <w:spacing w:before="40" w:after="40"/>
              <w:ind w:right="-14"/>
            </w:pPr>
            <w:r w:rsidRPr="00D41C44">
              <w:t>Appendix 3.4</w:t>
            </w:r>
          </w:p>
        </w:tc>
      </w:tr>
      <w:tr w:rsidR="00D41C44" w:rsidRPr="00D41C44" w14:paraId="5CC535B8" w14:textId="77777777" w:rsidTr="00F16EC2">
        <w:trPr>
          <w:cantSplit/>
          <w:trHeight w:hRule="exact" w:val="360"/>
          <w:tblHeader/>
          <w:jc w:val="center"/>
        </w:trPr>
        <w:tc>
          <w:tcPr>
            <w:tcW w:w="3150" w:type="dxa"/>
          </w:tcPr>
          <w:p w14:paraId="5EB97782" w14:textId="305234B8" w:rsidR="006C5FF5" w:rsidRPr="00D41C44" w:rsidRDefault="006C5FF5">
            <w:pPr>
              <w:spacing w:before="40" w:after="40"/>
              <w:ind w:right="-14"/>
            </w:pPr>
            <w:r w:rsidRPr="00D41C44">
              <w:t>Definitions and Terms</w:t>
            </w:r>
          </w:p>
        </w:tc>
        <w:tc>
          <w:tcPr>
            <w:tcW w:w="2613" w:type="dxa"/>
          </w:tcPr>
          <w:p w14:paraId="0C2AB097" w14:textId="3F2593C4" w:rsidR="006C5FF5" w:rsidRPr="00D41C44" w:rsidRDefault="006C5FF5">
            <w:pPr>
              <w:spacing w:before="40" w:after="40"/>
              <w:ind w:right="-14"/>
            </w:pPr>
            <w:r w:rsidRPr="00D41C44">
              <w:t>Appendix 3.9</w:t>
            </w:r>
          </w:p>
        </w:tc>
      </w:tr>
      <w:tr w:rsidR="00D41C44" w:rsidRPr="00D41C44" w14:paraId="74C79AEF" w14:textId="77777777" w:rsidTr="00F16EC2">
        <w:trPr>
          <w:cantSplit/>
          <w:trHeight w:hRule="exact" w:val="360"/>
          <w:tblHeader/>
          <w:jc w:val="center"/>
        </w:trPr>
        <w:tc>
          <w:tcPr>
            <w:tcW w:w="3150" w:type="dxa"/>
          </w:tcPr>
          <w:p w14:paraId="55400E90" w14:textId="624B31F8" w:rsidR="00680BF5" w:rsidRPr="00D41C44" w:rsidRDefault="006C5FF5">
            <w:pPr>
              <w:spacing w:before="40" w:after="40"/>
              <w:ind w:right="-14"/>
            </w:pPr>
            <w:r w:rsidRPr="00D41C44">
              <w:t>Abbreviations and Acronyms</w:t>
            </w:r>
          </w:p>
        </w:tc>
        <w:tc>
          <w:tcPr>
            <w:tcW w:w="2613" w:type="dxa"/>
          </w:tcPr>
          <w:p w14:paraId="5395077E" w14:textId="79C8DC2B" w:rsidR="00680BF5" w:rsidRPr="00D41C44" w:rsidRDefault="006C5FF5">
            <w:pPr>
              <w:spacing w:before="40" w:after="40"/>
              <w:ind w:right="-14"/>
            </w:pPr>
            <w:r w:rsidRPr="00D41C44">
              <w:t>Appendix 3.11</w:t>
            </w:r>
          </w:p>
        </w:tc>
      </w:tr>
      <w:tr w:rsidR="00D41C44" w:rsidRPr="00D41C44" w14:paraId="53136A5E" w14:textId="77777777" w:rsidTr="00F16EC2">
        <w:trPr>
          <w:cantSplit/>
          <w:trHeight w:hRule="exact" w:val="351"/>
          <w:tblHeader/>
          <w:jc w:val="center"/>
        </w:trPr>
        <w:tc>
          <w:tcPr>
            <w:tcW w:w="3150" w:type="dxa"/>
          </w:tcPr>
          <w:p w14:paraId="3140A0E9" w14:textId="6C53139E" w:rsidR="00680BF5" w:rsidRPr="00D41C44" w:rsidRDefault="002C72DE">
            <w:pPr>
              <w:spacing w:before="40" w:after="40"/>
              <w:ind w:right="-14"/>
            </w:pPr>
            <w:r>
              <w:t>Chapter 2</w:t>
            </w:r>
          </w:p>
        </w:tc>
        <w:tc>
          <w:tcPr>
            <w:tcW w:w="2613" w:type="dxa"/>
          </w:tcPr>
          <w:p w14:paraId="1769DB6C" w14:textId="0667C2F8" w:rsidR="00680BF5" w:rsidRPr="00D41C44" w:rsidRDefault="006C5FF5">
            <w:pPr>
              <w:spacing w:before="40" w:after="40"/>
              <w:ind w:right="-14"/>
            </w:pPr>
            <w:r w:rsidRPr="00D41C44">
              <w:t>Appendix 3.22</w:t>
            </w:r>
          </w:p>
        </w:tc>
      </w:tr>
      <w:tr w:rsidR="002C72DE" w:rsidRPr="00D41C44" w14:paraId="0F12DF11" w14:textId="77777777" w:rsidTr="00F16EC2">
        <w:trPr>
          <w:cantSplit/>
          <w:trHeight w:hRule="exact" w:val="351"/>
          <w:tblHeader/>
          <w:jc w:val="center"/>
        </w:trPr>
        <w:tc>
          <w:tcPr>
            <w:tcW w:w="3150" w:type="dxa"/>
          </w:tcPr>
          <w:p w14:paraId="55FC919E" w14:textId="246438E1" w:rsidR="002C72DE" w:rsidRPr="00D41C44" w:rsidRDefault="002C72DE" w:rsidP="002C72DE">
            <w:pPr>
              <w:spacing w:before="40" w:after="40"/>
              <w:ind w:right="-14"/>
            </w:pPr>
            <w:r w:rsidRPr="00D41C44">
              <w:t>Chapter 3</w:t>
            </w:r>
          </w:p>
        </w:tc>
        <w:tc>
          <w:tcPr>
            <w:tcW w:w="2613" w:type="dxa"/>
          </w:tcPr>
          <w:p w14:paraId="556B43BF" w14:textId="439D7055" w:rsidR="002C72DE" w:rsidRPr="00D41C44" w:rsidRDefault="002C72DE" w:rsidP="002C72DE">
            <w:pPr>
              <w:spacing w:before="40" w:after="40"/>
              <w:ind w:right="-14"/>
            </w:pPr>
            <w:r w:rsidRPr="00D41C44">
              <w:t>Appendix 3.23</w:t>
            </w:r>
          </w:p>
        </w:tc>
      </w:tr>
      <w:tr w:rsidR="002C72DE" w:rsidRPr="00D41C44" w14:paraId="265FAD32" w14:textId="77777777" w:rsidTr="00F16EC2">
        <w:trPr>
          <w:cantSplit/>
          <w:trHeight w:hRule="exact" w:val="351"/>
          <w:tblHeader/>
          <w:jc w:val="center"/>
        </w:trPr>
        <w:tc>
          <w:tcPr>
            <w:tcW w:w="3150" w:type="dxa"/>
          </w:tcPr>
          <w:p w14:paraId="4EEFA045" w14:textId="33E6E203" w:rsidR="002C72DE" w:rsidRPr="00D41C44" w:rsidRDefault="002C72DE" w:rsidP="002C72DE">
            <w:pPr>
              <w:spacing w:before="40" w:after="40"/>
              <w:ind w:right="-14"/>
            </w:pPr>
            <w:r w:rsidRPr="00D41C44">
              <w:t>Chapter 4</w:t>
            </w:r>
          </w:p>
        </w:tc>
        <w:tc>
          <w:tcPr>
            <w:tcW w:w="2613" w:type="dxa"/>
          </w:tcPr>
          <w:p w14:paraId="59E44CB5" w14:textId="5A8B699E" w:rsidR="002C72DE" w:rsidRPr="00D41C44" w:rsidRDefault="002C72DE" w:rsidP="002C72DE">
            <w:pPr>
              <w:spacing w:before="40" w:after="40"/>
              <w:ind w:right="-14"/>
            </w:pPr>
            <w:r w:rsidRPr="00D41C44">
              <w:t>Appendix 3.24</w:t>
            </w:r>
          </w:p>
        </w:tc>
      </w:tr>
      <w:tr w:rsidR="002C72DE" w:rsidRPr="00D41C44" w14:paraId="0A34947D" w14:textId="77777777" w:rsidTr="00F16EC2">
        <w:trPr>
          <w:cantSplit/>
          <w:trHeight w:hRule="exact" w:val="351"/>
          <w:tblHeader/>
          <w:jc w:val="center"/>
        </w:trPr>
        <w:tc>
          <w:tcPr>
            <w:tcW w:w="3150" w:type="dxa"/>
          </w:tcPr>
          <w:p w14:paraId="6DCEF21C" w14:textId="3B795180" w:rsidR="002C72DE" w:rsidRPr="00D41C44" w:rsidRDefault="002C72DE" w:rsidP="002C72DE">
            <w:pPr>
              <w:spacing w:before="40" w:after="40"/>
              <w:ind w:right="-14"/>
            </w:pPr>
            <w:r w:rsidRPr="00D41C44">
              <w:t>Chapter 11</w:t>
            </w:r>
          </w:p>
        </w:tc>
        <w:tc>
          <w:tcPr>
            <w:tcW w:w="2613" w:type="dxa"/>
          </w:tcPr>
          <w:p w14:paraId="372B10E9" w14:textId="77777777" w:rsidR="002C72DE" w:rsidRPr="00D41C44" w:rsidRDefault="002C72DE" w:rsidP="002C72DE">
            <w:pPr>
              <w:spacing w:before="40" w:after="40"/>
              <w:ind w:right="-14"/>
            </w:pPr>
          </w:p>
        </w:tc>
      </w:tr>
      <w:tr w:rsidR="002C72DE" w:rsidRPr="00D41C44" w14:paraId="782E3CE7" w14:textId="77777777" w:rsidTr="00F16EC2">
        <w:trPr>
          <w:cantSplit/>
          <w:trHeight w:hRule="exact" w:val="351"/>
          <w:tblHeader/>
          <w:jc w:val="center"/>
        </w:trPr>
        <w:tc>
          <w:tcPr>
            <w:tcW w:w="3150" w:type="dxa"/>
          </w:tcPr>
          <w:p w14:paraId="27512FD4" w14:textId="72845EEF" w:rsidR="002C72DE" w:rsidRPr="00D41C44" w:rsidRDefault="002C72DE" w:rsidP="002C72DE">
            <w:pPr>
              <w:spacing w:before="40" w:after="40"/>
              <w:ind w:right="-14"/>
            </w:pPr>
          </w:p>
        </w:tc>
        <w:tc>
          <w:tcPr>
            <w:tcW w:w="2613" w:type="dxa"/>
          </w:tcPr>
          <w:p w14:paraId="70A4AA82" w14:textId="77777777" w:rsidR="002C72DE" w:rsidRPr="00D41C44" w:rsidRDefault="002C72DE" w:rsidP="002C72DE">
            <w:pPr>
              <w:spacing w:before="40" w:after="40"/>
              <w:ind w:right="-14"/>
            </w:pPr>
          </w:p>
        </w:tc>
      </w:tr>
      <w:tr w:rsidR="002C72DE" w:rsidRPr="00D41C44" w14:paraId="357609BE" w14:textId="77777777" w:rsidTr="00F16EC2">
        <w:trPr>
          <w:cantSplit/>
          <w:trHeight w:hRule="exact" w:val="351"/>
          <w:tblHeader/>
          <w:jc w:val="center"/>
        </w:trPr>
        <w:tc>
          <w:tcPr>
            <w:tcW w:w="3150" w:type="dxa"/>
          </w:tcPr>
          <w:p w14:paraId="4D6C3DCF" w14:textId="5B3AF693" w:rsidR="002C72DE" w:rsidRPr="00D41C44" w:rsidRDefault="002C72DE" w:rsidP="002C72DE">
            <w:pPr>
              <w:spacing w:before="40" w:after="40"/>
              <w:ind w:right="-14"/>
            </w:pPr>
          </w:p>
        </w:tc>
        <w:tc>
          <w:tcPr>
            <w:tcW w:w="2613" w:type="dxa"/>
          </w:tcPr>
          <w:p w14:paraId="4C8C17B3" w14:textId="77777777" w:rsidR="002C72DE" w:rsidRPr="00D41C44" w:rsidRDefault="002C72DE" w:rsidP="002C72DE">
            <w:pPr>
              <w:spacing w:before="40" w:after="40"/>
              <w:ind w:right="-14"/>
            </w:pPr>
          </w:p>
        </w:tc>
      </w:tr>
    </w:tbl>
    <w:p w14:paraId="7948CCE8" w14:textId="77777777" w:rsidR="00195034" w:rsidRDefault="00195034" w:rsidP="00F16EC2">
      <w:pPr>
        <w:spacing w:before="240" w:after="360"/>
        <w:ind w:right="-14"/>
      </w:pPr>
    </w:p>
    <w:p w14:paraId="44F491E7" w14:textId="1940063C" w:rsidR="00D438FC" w:rsidRDefault="00D438FC" w:rsidP="00D438FC">
      <w:pPr>
        <w:keepNext/>
        <w:keepLines/>
        <w:spacing w:before="240" w:after="240"/>
        <w:ind w:right="-14"/>
      </w:pPr>
      <w:r w:rsidRPr="000F503D">
        <w:rPr>
          <w:color w:val="000000" w:themeColor="text1"/>
        </w:rPr>
        <w:t xml:space="preserve">IV. This change is incorporated into the on-line </w:t>
      </w:r>
      <w:r w:rsidR="00DE786A">
        <w:rPr>
          <w:color w:val="000000" w:themeColor="text1"/>
        </w:rPr>
        <w:t>MILSTRIP</w:t>
      </w:r>
      <w:r w:rsidR="00DE786A" w:rsidRPr="000F503D">
        <w:rPr>
          <w:color w:val="000000" w:themeColor="text1"/>
        </w:rPr>
        <w:t xml:space="preserve"> </w:t>
      </w:r>
      <w:r w:rsidRPr="000F503D">
        <w:rPr>
          <w:color w:val="000000" w:themeColor="text1"/>
        </w:rPr>
        <w:t xml:space="preserve">manual </w:t>
      </w:r>
      <w:r w:rsidR="00003FD5" w:rsidRPr="000F503D">
        <w:rPr>
          <w:color w:val="000000" w:themeColor="text1"/>
        </w:rPr>
        <w:t xml:space="preserve">at the Defense Logistics Managements Standards Website </w:t>
      </w:r>
      <w:r w:rsidR="00003FD5">
        <w:t>Publications Page</w:t>
      </w:r>
      <w:r w:rsidR="00003FD5">
        <w:rPr>
          <w:color w:val="000000" w:themeColor="text1"/>
        </w:rPr>
        <w:t xml:space="preserve"> </w:t>
      </w:r>
      <w:r w:rsidR="00003FD5" w:rsidRPr="000F503D">
        <w:rPr>
          <w:color w:val="000000" w:themeColor="text1"/>
        </w:rPr>
        <w:t xml:space="preserve">and the PDF file containing the entire set of change files is available </w:t>
      </w:r>
      <w:r w:rsidR="00003FD5">
        <w:rPr>
          <w:color w:val="000000" w:themeColor="text1"/>
        </w:rPr>
        <w:t>on the Formal Changes Page.</w:t>
      </w:r>
      <w:bookmarkStart w:id="0" w:name="_GoBack"/>
      <w:bookmarkEnd w:id="0"/>
    </w:p>
    <w:p w14:paraId="4B1F3BC0" w14:textId="77777777" w:rsidR="00285CBE" w:rsidRDefault="00285CBE" w:rsidP="00285CBE">
      <w:pPr>
        <w:keepNext/>
        <w:keepLines/>
        <w:rPr>
          <w:color w:val="000000" w:themeColor="text1"/>
        </w:rPr>
      </w:pPr>
    </w:p>
    <w:p w14:paraId="0843FF62" w14:textId="77777777" w:rsidR="00285CBE" w:rsidRDefault="00285CBE" w:rsidP="00285CBE">
      <w:pPr>
        <w:keepNext/>
        <w:keepLines/>
        <w:spacing w:before="240" w:after="240"/>
        <w:ind w:left="2880" w:right="-187" w:firstLine="720"/>
        <w:contextualSpacing/>
        <w:rPr>
          <w:rStyle w:val="Hyperlink"/>
          <w:color w:val="auto"/>
          <w:u w:val="none"/>
        </w:rPr>
      </w:pPr>
    </w:p>
    <w:p w14:paraId="33A902C8" w14:textId="77777777" w:rsidR="00285CBE" w:rsidRDefault="00285CBE" w:rsidP="00285CBE">
      <w:pPr>
        <w:keepNext/>
        <w:keepLines/>
        <w:spacing w:before="240" w:after="240"/>
        <w:ind w:left="2880" w:right="-187" w:firstLine="720"/>
        <w:contextualSpacing/>
        <w:rPr>
          <w:rStyle w:val="Hyperlink"/>
          <w:color w:val="auto"/>
          <w:u w:val="none"/>
        </w:rPr>
      </w:pPr>
    </w:p>
    <w:p w14:paraId="24585185" w14:textId="3CC216DE" w:rsidR="00D75FC1" w:rsidRPr="00D41C44" w:rsidRDefault="00865011" w:rsidP="00865011">
      <w:pPr>
        <w:keepNext/>
        <w:keepLines/>
        <w:spacing w:before="240" w:after="240"/>
        <w:ind w:left="4320" w:right="-14" w:firstLine="720"/>
        <w:rPr>
          <w:rStyle w:val="Hyperlink"/>
          <w:color w:val="auto"/>
        </w:rPr>
      </w:pPr>
      <w:r>
        <w:rPr>
          <w:rStyle w:val="Hyperlink"/>
          <w:noProof/>
          <w:color w:val="000000" w:themeColor="text1"/>
          <w:u w:val="none"/>
        </w:rPr>
        <w:drawing>
          <wp:inline distT="0" distB="0" distL="0" distR="0" wp14:anchorId="7CF416DD" wp14:editId="1464B28B">
            <wp:extent cx="2997672" cy="13862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4421" cy="1398606"/>
                    </a:xfrm>
                    <a:prstGeom prst="rect">
                      <a:avLst/>
                    </a:prstGeom>
                    <a:noFill/>
                    <a:ln>
                      <a:noFill/>
                    </a:ln>
                  </pic:spPr>
                </pic:pic>
              </a:graphicData>
            </a:graphic>
          </wp:inline>
        </w:drawing>
      </w:r>
    </w:p>
    <w:p w14:paraId="16957CD5" w14:textId="4BDB7270" w:rsidR="00D41C44" w:rsidRPr="00856505" w:rsidRDefault="00856505" w:rsidP="00856505">
      <w:pPr>
        <w:keepNext/>
        <w:keepLines/>
        <w:spacing w:before="240" w:after="240"/>
        <w:ind w:right="-14"/>
        <w:rPr>
          <w:rStyle w:val="Hyperlink"/>
          <w:color w:val="auto"/>
          <w:u w:val="none"/>
        </w:rPr>
      </w:pPr>
      <w:r w:rsidRPr="00856505">
        <w:rPr>
          <w:rStyle w:val="Hyperlink"/>
          <w:u w:val="none"/>
        </w:rPr>
        <w:tab/>
      </w:r>
      <w:r w:rsidRPr="00856505">
        <w:rPr>
          <w:rStyle w:val="Hyperlink"/>
          <w:u w:val="none"/>
        </w:rPr>
        <w:tab/>
      </w:r>
      <w:r w:rsidRPr="00856505">
        <w:rPr>
          <w:rStyle w:val="Hyperlink"/>
          <w:u w:val="none"/>
        </w:rPr>
        <w:tab/>
      </w:r>
      <w:r w:rsidRPr="00856505">
        <w:rPr>
          <w:rStyle w:val="Hyperlink"/>
          <w:u w:val="none"/>
        </w:rPr>
        <w:tab/>
        <w:t xml:space="preserve">          </w:t>
      </w:r>
      <w:r w:rsidRPr="00856505">
        <w:rPr>
          <w:rStyle w:val="Hyperlink"/>
          <w:u w:val="none"/>
        </w:rPr>
        <w:tab/>
        <w:t xml:space="preserve">    </w:t>
      </w:r>
      <w:r w:rsidRPr="00856505">
        <w:rPr>
          <w:rStyle w:val="Hyperlink"/>
          <w:u w:val="none"/>
        </w:rPr>
        <w:tab/>
      </w:r>
    </w:p>
    <w:sectPr w:rsidR="00D41C44" w:rsidRPr="00856505" w:rsidSect="00652930">
      <w:pgSz w:w="12240" w:h="15840"/>
      <w:pgMar w:top="108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0693" w14:textId="77777777" w:rsidR="00443E74" w:rsidRDefault="00443E74">
      <w:r>
        <w:separator/>
      </w:r>
    </w:p>
  </w:endnote>
  <w:endnote w:type="continuationSeparator" w:id="0">
    <w:p w14:paraId="47BC50F3" w14:textId="77777777" w:rsidR="00443E74" w:rsidRDefault="0044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93D3" w14:textId="77777777" w:rsidR="00443E74" w:rsidRDefault="00443E74">
      <w:r>
        <w:separator/>
      </w:r>
    </w:p>
  </w:footnote>
  <w:footnote w:type="continuationSeparator" w:id="0">
    <w:p w14:paraId="25C2F6A6" w14:textId="77777777" w:rsidR="00443E74" w:rsidRDefault="0044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50B75569"/>
    <w:multiLevelType w:val="hybridMultilevel"/>
    <w:tmpl w:val="1248C7DA"/>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E6"/>
    <w:rsid w:val="000010FB"/>
    <w:rsid w:val="00003FD5"/>
    <w:rsid w:val="00006915"/>
    <w:rsid w:val="00007A72"/>
    <w:rsid w:val="0003425D"/>
    <w:rsid w:val="00046BEB"/>
    <w:rsid w:val="00055220"/>
    <w:rsid w:val="00066DFC"/>
    <w:rsid w:val="00075C36"/>
    <w:rsid w:val="00083837"/>
    <w:rsid w:val="0008687E"/>
    <w:rsid w:val="000D1025"/>
    <w:rsid w:val="000D54E6"/>
    <w:rsid w:val="000D57ED"/>
    <w:rsid w:val="000E4A8A"/>
    <w:rsid w:val="000E4DEC"/>
    <w:rsid w:val="000F7226"/>
    <w:rsid w:val="00114627"/>
    <w:rsid w:val="00114FDC"/>
    <w:rsid w:val="001172F9"/>
    <w:rsid w:val="00122761"/>
    <w:rsid w:val="0014435D"/>
    <w:rsid w:val="00157A37"/>
    <w:rsid w:val="001635D5"/>
    <w:rsid w:val="00173CBE"/>
    <w:rsid w:val="001822BB"/>
    <w:rsid w:val="00185B61"/>
    <w:rsid w:val="00195034"/>
    <w:rsid w:val="00195DCE"/>
    <w:rsid w:val="001A5BB9"/>
    <w:rsid w:val="001B1911"/>
    <w:rsid w:val="001D1B5B"/>
    <w:rsid w:val="001D1F76"/>
    <w:rsid w:val="001E431A"/>
    <w:rsid w:val="001E7833"/>
    <w:rsid w:val="00200C0D"/>
    <w:rsid w:val="002052CC"/>
    <w:rsid w:val="0020664E"/>
    <w:rsid w:val="00215DF6"/>
    <w:rsid w:val="00224163"/>
    <w:rsid w:val="00225084"/>
    <w:rsid w:val="00233848"/>
    <w:rsid w:val="0024568C"/>
    <w:rsid w:val="002461BA"/>
    <w:rsid w:val="00250389"/>
    <w:rsid w:val="00270D91"/>
    <w:rsid w:val="0028145A"/>
    <w:rsid w:val="0028500E"/>
    <w:rsid w:val="00285CBE"/>
    <w:rsid w:val="00286745"/>
    <w:rsid w:val="002974D3"/>
    <w:rsid w:val="002B21EF"/>
    <w:rsid w:val="002B409A"/>
    <w:rsid w:val="002C06C0"/>
    <w:rsid w:val="002C72DE"/>
    <w:rsid w:val="002E1C64"/>
    <w:rsid w:val="002F2311"/>
    <w:rsid w:val="002F6167"/>
    <w:rsid w:val="00312A29"/>
    <w:rsid w:val="00327A0E"/>
    <w:rsid w:val="00333B11"/>
    <w:rsid w:val="003369F8"/>
    <w:rsid w:val="00337199"/>
    <w:rsid w:val="00362DD6"/>
    <w:rsid w:val="003733A0"/>
    <w:rsid w:val="00391A73"/>
    <w:rsid w:val="00393A2F"/>
    <w:rsid w:val="003A7968"/>
    <w:rsid w:val="003B5012"/>
    <w:rsid w:val="003B6219"/>
    <w:rsid w:val="003F6A18"/>
    <w:rsid w:val="003F7C91"/>
    <w:rsid w:val="00406235"/>
    <w:rsid w:val="00414BF9"/>
    <w:rsid w:val="00425D66"/>
    <w:rsid w:val="004355D6"/>
    <w:rsid w:val="00443E74"/>
    <w:rsid w:val="0045038D"/>
    <w:rsid w:val="00475EED"/>
    <w:rsid w:val="004B127B"/>
    <w:rsid w:val="004B40C9"/>
    <w:rsid w:val="004B7A24"/>
    <w:rsid w:val="004D1BA3"/>
    <w:rsid w:val="004E0145"/>
    <w:rsid w:val="004E1FFF"/>
    <w:rsid w:val="004E722F"/>
    <w:rsid w:val="005001FC"/>
    <w:rsid w:val="005014F0"/>
    <w:rsid w:val="00532718"/>
    <w:rsid w:val="00573575"/>
    <w:rsid w:val="00577ADD"/>
    <w:rsid w:val="00582092"/>
    <w:rsid w:val="00585DEB"/>
    <w:rsid w:val="00591666"/>
    <w:rsid w:val="005B048C"/>
    <w:rsid w:val="005B055D"/>
    <w:rsid w:val="005B1081"/>
    <w:rsid w:val="005C3464"/>
    <w:rsid w:val="005F3EDB"/>
    <w:rsid w:val="005F402A"/>
    <w:rsid w:val="006020BD"/>
    <w:rsid w:val="00607DF4"/>
    <w:rsid w:val="006141D7"/>
    <w:rsid w:val="006153D6"/>
    <w:rsid w:val="00616A4E"/>
    <w:rsid w:val="006220B5"/>
    <w:rsid w:val="0062781F"/>
    <w:rsid w:val="00632580"/>
    <w:rsid w:val="0064224A"/>
    <w:rsid w:val="00647078"/>
    <w:rsid w:val="00652930"/>
    <w:rsid w:val="0065298B"/>
    <w:rsid w:val="006665C9"/>
    <w:rsid w:val="00677E51"/>
    <w:rsid w:val="00680BF5"/>
    <w:rsid w:val="00681ADB"/>
    <w:rsid w:val="00692617"/>
    <w:rsid w:val="00693B95"/>
    <w:rsid w:val="006A00AB"/>
    <w:rsid w:val="006B57E1"/>
    <w:rsid w:val="006B6898"/>
    <w:rsid w:val="006C5FF5"/>
    <w:rsid w:val="006D0EFF"/>
    <w:rsid w:val="006D6E9F"/>
    <w:rsid w:val="006F19C7"/>
    <w:rsid w:val="006F56E2"/>
    <w:rsid w:val="006F6A11"/>
    <w:rsid w:val="006F7574"/>
    <w:rsid w:val="006F7EB4"/>
    <w:rsid w:val="00704EFA"/>
    <w:rsid w:val="00711BF3"/>
    <w:rsid w:val="0071368F"/>
    <w:rsid w:val="007138DE"/>
    <w:rsid w:val="00725965"/>
    <w:rsid w:val="00726F50"/>
    <w:rsid w:val="0073569F"/>
    <w:rsid w:val="007526DF"/>
    <w:rsid w:val="007711B6"/>
    <w:rsid w:val="00774233"/>
    <w:rsid w:val="007939FE"/>
    <w:rsid w:val="007A2B6A"/>
    <w:rsid w:val="007A4606"/>
    <w:rsid w:val="007B013C"/>
    <w:rsid w:val="007C0D5C"/>
    <w:rsid w:val="007C183D"/>
    <w:rsid w:val="007C3AD4"/>
    <w:rsid w:val="007C596E"/>
    <w:rsid w:val="007C757B"/>
    <w:rsid w:val="007D6F7B"/>
    <w:rsid w:val="00816CBA"/>
    <w:rsid w:val="008479CA"/>
    <w:rsid w:val="00853ABE"/>
    <w:rsid w:val="00856505"/>
    <w:rsid w:val="00865011"/>
    <w:rsid w:val="00882C3B"/>
    <w:rsid w:val="00886B65"/>
    <w:rsid w:val="00895627"/>
    <w:rsid w:val="008A063C"/>
    <w:rsid w:val="008A081F"/>
    <w:rsid w:val="008A61A9"/>
    <w:rsid w:val="008A6E73"/>
    <w:rsid w:val="008B0D9E"/>
    <w:rsid w:val="008C4AE8"/>
    <w:rsid w:val="008C4D6E"/>
    <w:rsid w:val="008C7032"/>
    <w:rsid w:val="008E1F4A"/>
    <w:rsid w:val="008F1FEE"/>
    <w:rsid w:val="008F6370"/>
    <w:rsid w:val="008F76AB"/>
    <w:rsid w:val="008F7D41"/>
    <w:rsid w:val="0090384D"/>
    <w:rsid w:val="00907C2B"/>
    <w:rsid w:val="009217DD"/>
    <w:rsid w:val="00930CC8"/>
    <w:rsid w:val="0093326E"/>
    <w:rsid w:val="009332A8"/>
    <w:rsid w:val="00950FCF"/>
    <w:rsid w:val="009650E9"/>
    <w:rsid w:val="00980E9A"/>
    <w:rsid w:val="00993DA2"/>
    <w:rsid w:val="009A79AC"/>
    <w:rsid w:val="009B2F79"/>
    <w:rsid w:val="009C7C5F"/>
    <w:rsid w:val="009D0ADB"/>
    <w:rsid w:val="009D0BD1"/>
    <w:rsid w:val="009D6800"/>
    <w:rsid w:val="009E3A69"/>
    <w:rsid w:val="009E6316"/>
    <w:rsid w:val="009E65AE"/>
    <w:rsid w:val="009F0E6A"/>
    <w:rsid w:val="009F33CE"/>
    <w:rsid w:val="009F34F0"/>
    <w:rsid w:val="00A16588"/>
    <w:rsid w:val="00A20038"/>
    <w:rsid w:val="00A27E33"/>
    <w:rsid w:val="00A30AA8"/>
    <w:rsid w:val="00A43CDA"/>
    <w:rsid w:val="00A45E66"/>
    <w:rsid w:val="00A461E1"/>
    <w:rsid w:val="00A55DD4"/>
    <w:rsid w:val="00A82ED6"/>
    <w:rsid w:val="00A9413E"/>
    <w:rsid w:val="00AB05D4"/>
    <w:rsid w:val="00AB2197"/>
    <w:rsid w:val="00AB4CA6"/>
    <w:rsid w:val="00AB5EFF"/>
    <w:rsid w:val="00AC5DD9"/>
    <w:rsid w:val="00AC7395"/>
    <w:rsid w:val="00AD702B"/>
    <w:rsid w:val="00AE33F6"/>
    <w:rsid w:val="00AE47D2"/>
    <w:rsid w:val="00B00831"/>
    <w:rsid w:val="00B04F88"/>
    <w:rsid w:val="00B14755"/>
    <w:rsid w:val="00B23455"/>
    <w:rsid w:val="00B27A29"/>
    <w:rsid w:val="00B50BF8"/>
    <w:rsid w:val="00B5769B"/>
    <w:rsid w:val="00B60EA6"/>
    <w:rsid w:val="00B611BA"/>
    <w:rsid w:val="00B70D19"/>
    <w:rsid w:val="00B75306"/>
    <w:rsid w:val="00B776F3"/>
    <w:rsid w:val="00B90017"/>
    <w:rsid w:val="00BB3A7A"/>
    <w:rsid w:val="00BB43C3"/>
    <w:rsid w:val="00C158D2"/>
    <w:rsid w:val="00C23D75"/>
    <w:rsid w:val="00C31A62"/>
    <w:rsid w:val="00C45A9D"/>
    <w:rsid w:val="00C46AC8"/>
    <w:rsid w:val="00C5216E"/>
    <w:rsid w:val="00C52C64"/>
    <w:rsid w:val="00C81537"/>
    <w:rsid w:val="00C83CE6"/>
    <w:rsid w:val="00CB2D13"/>
    <w:rsid w:val="00CB39B9"/>
    <w:rsid w:val="00CB55EA"/>
    <w:rsid w:val="00CD4A75"/>
    <w:rsid w:val="00CD7058"/>
    <w:rsid w:val="00CE23D6"/>
    <w:rsid w:val="00CE752A"/>
    <w:rsid w:val="00D12E60"/>
    <w:rsid w:val="00D141E2"/>
    <w:rsid w:val="00D2265D"/>
    <w:rsid w:val="00D250E4"/>
    <w:rsid w:val="00D253F6"/>
    <w:rsid w:val="00D3484C"/>
    <w:rsid w:val="00D4001F"/>
    <w:rsid w:val="00D41C44"/>
    <w:rsid w:val="00D438FC"/>
    <w:rsid w:val="00D45927"/>
    <w:rsid w:val="00D529F1"/>
    <w:rsid w:val="00D578AA"/>
    <w:rsid w:val="00D57E50"/>
    <w:rsid w:val="00D60DB5"/>
    <w:rsid w:val="00D628AC"/>
    <w:rsid w:val="00D75FC1"/>
    <w:rsid w:val="00D76590"/>
    <w:rsid w:val="00D84836"/>
    <w:rsid w:val="00D868E7"/>
    <w:rsid w:val="00D976E3"/>
    <w:rsid w:val="00D97980"/>
    <w:rsid w:val="00DA0CBC"/>
    <w:rsid w:val="00DA0EAF"/>
    <w:rsid w:val="00DB6646"/>
    <w:rsid w:val="00DE16ED"/>
    <w:rsid w:val="00DE5D45"/>
    <w:rsid w:val="00DE6111"/>
    <w:rsid w:val="00DE786A"/>
    <w:rsid w:val="00E10876"/>
    <w:rsid w:val="00E144DB"/>
    <w:rsid w:val="00E16C18"/>
    <w:rsid w:val="00E30DEF"/>
    <w:rsid w:val="00E351E2"/>
    <w:rsid w:val="00E36A94"/>
    <w:rsid w:val="00E4322F"/>
    <w:rsid w:val="00E45A3D"/>
    <w:rsid w:val="00E45F0C"/>
    <w:rsid w:val="00E54FD3"/>
    <w:rsid w:val="00E6391D"/>
    <w:rsid w:val="00E6655F"/>
    <w:rsid w:val="00E839DC"/>
    <w:rsid w:val="00E8490B"/>
    <w:rsid w:val="00EA1F41"/>
    <w:rsid w:val="00EA36C6"/>
    <w:rsid w:val="00EB2518"/>
    <w:rsid w:val="00EB26D0"/>
    <w:rsid w:val="00EC39C3"/>
    <w:rsid w:val="00ED2267"/>
    <w:rsid w:val="00EE64B8"/>
    <w:rsid w:val="00F073FD"/>
    <w:rsid w:val="00F16EC2"/>
    <w:rsid w:val="00F31163"/>
    <w:rsid w:val="00F3781D"/>
    <w:rsid w:val="00F4319F"/>
    <w:rsid w:val="00F609BE"/>
    <w:rsid w:val="00F7046F"/>
    <w:rsid w:val="00F719AB"/>
    <w:rsid w:val="00F742FA"/>
    <w:rsid w:val="00FA2C64"/>
    <w:rsid w:val="00FB3B62"/>
    <w:rsid w:val="00FB7D3B"/>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C79ACE"/>
  <w15:docId w15:val="{28FC778F-0BD8-49A1-A1C3-16033A50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character" w:styleId="FollowedHyperlink">
    <w:name w:val="FollowedHyperlink"/>
    <w:basedOn w:val="DefaultParagraphFont"/>
    <w:rsid w:val="00FA2C64"/>
    <w:rPr>
      <w:color w:val="800080" w:themeColor="followedHyperlink"/>
      <w:u w:val="single"/>
    </w:rPr>
  </w:style>
  <w:style w:type="character" w:customStyle="1" w:styleId="FooterChar">
    <w:name w:val="Footer Char"/>
    <w:basedOn w:val="DefaultParagraphFont"/>
    <w:link w:val="Footer"/>
    <w:rsid w:val="003733A0"/>
    <w:rPr>
      <w:sz w:val="24"/>
      <w:szCs w:val="24"/>
    </w:rPr>
  </w:style>
  <w:style w:type="character" w:styleId="HTMLAcronym">
    <w:name w:val="HTML Acronym"/>
    <w:basedOn w:val="DefaultParagraphFont"/>
    <w:uiPriority w:val="99"/>
    <w:unhideWhenUsed/>
    <w:rsid w:val="009D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9037">
      <w:bodyDiv w:val="1"/>
      <w:marLeft w:val="0"/>
      <w:marRight w:val="0"/>
      <w:marTop w:val="0"/>
      <w:marBottom w:val="0"/>
      <w:divBdr>
        <w:top w:val="none" w:sz="0" w:space="0" w:color="auto"/>
        <w:left w:val="none" w:sz="0" w:space="0" w:color="auto"/>
        <w:bottom w:val="none" w:sz="0" w:space="0" w:color="auto"/>
        <w:right w:val="none" w:sz="0" w:space="0" w:color="auto"/>
      </w:divBdr>
    </w:div>
    <w:div w:id="667175988">
      <w:bodyDiv w:val="1"/>
      <w:marLeft w:val="0"/>
      <w:marRight w:val="0"/>
      <w:marTop w:val="0"/>
      <w:marBottom w:val="0"/>
      <w:divBdr>
        <w:top w:val="none" w:sz="0" w:space="0" w:color="auto"/>
        <w:left w:val="none" w:sz="0" w:space="0" w:color="auto"/>
        <w:bottom w:val="none" w:sz="0" w:space="0" w:color="auto"/>
        <w:right w:val="none" w:sz="0" w:space="0" w:color="auto"/>
      </w:divBdr>
    </w:div>
    <w:div w:id="13524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2.xml><?xml version="1.0" encoding="utf-8"?>
<ds:datastoreItem xmlns:ds="http://schemas.openxmlformats.org/officeDocument/2006/customXml" ds:itemID="{9437E2D2-3377-49CF-ACBB-8CE6926F3E39}">
  <ds:schemaRefs>
    <ds:schemaRef ds:uri="http://schemas.microsoft.com/office/2006/metadata/properties"/>
    <ds:schemaRef ds:uri="http://schemas.microsoft.com/sharepoint/v4"/>
    <ds:schemaRef ds:uri="1019005c-580f-42ae-adec-ba9490377f66"/>
  </ds:schemaRefs>
</ds:datastoreItem>
</file>

<file path=customXml/itemProps3.xml><?xml version="1.0" encoding="utf-8"?>
<ds:datastoreItem xmlns:ds="http://schemas.openxmlformats.org/officeDocument/2006/customXml" ds:itemID="{AB3CE420-72D7-4540-B551-88E61DB2B3DF}"/>
</file>

<file path=customXml/itemProps4.xml><?xml version="1.0" encoding="utf-8"?>
<ds:datastoreItem xmlns:ds="http://schemas.openxmlformats.org/officeDocument/2006/customXml" ds:itemID="{EA432AF9-AD22-4195-A87E-4E31B0EB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F542004.dotm</Template>
  <TotalTime>32</TotalTime>
  <Pages>2</Pages>
  <Words>627</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MILSTRIP Change 8 Letter</vt:lpstr>
    </vt:vector>
  </TitlesOfParts>
  <Company>DoD</Company>
  <LinksUpToDate>false</LinksUpToDate>
  <CharactersWithSpaces>4376</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MILSTRIP Change 9 Letter</dc:title>
  <dc:creator>prezzysm</dc:creator>
  <cp:lastModifiedBy>Nguyen, Bao X CTR DLA INFO OPERATIONS (US)</cp:lastModifiedBy>
  <cp:revision>14</cp:revision>
  <cp:lastPrinted>2014-04-11T17:12:00Z</cp:lastPrinted>
  <dcterms:created xsi:type="dcterms:W3CDTF">2017-07-27T18:43:00Z</dcterms:created>
  <dcterms:modified xsi:type="dcterms:W3CDTF">2017-12-15T18:13:00Z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Order">
    <vt:r8>32200</vt:r8>
  </property>
  <property fmtid="{D5CDD505-2E9C-101B-9397-08002B2CF9AE}" pid="4" name="xd_ProgID">
    <vt:lpwstr/>
  </property>
  <property fmtid="{D5CDD505-2E9C-101B-9397-08002B2CF9AE}" pid="5" name="TemplateUrl">
    <vt:lpwstr/>
  </property>
</Properties>
</file>