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C79ACE" w14:textId="14138433" w:rsidR="00EA1F41" w:rsidRPr="002F761A" w:rsidRDefault="00D3484C" w:rsidP="00EA1F41">
      <w:pPr>
        <w:pStyle w:val="Header"/>
        <w:spacing w:after="40" w:line="240" w:lineRule="exact"/>
        <w:jc w:val="center"/>
        <w:rPr>
          <w:rFonts w:ascii="Arial Unicode MS" w:eastAsia="Arial Unicode MS" w:hAnsi="Arial Unicode MS" w:cs="Arial Unicode MS"/>
          <w:sz w:val="22"/>
          <w:szCs w:val="22"/>
        </w:rPr>
      </w:pPr>
      <w:r>
        <w:rPr>
          <w:rFonts w:ascii="Arial Unicode MS" w:eastAsia="Arial Unicode MS" w:hAnsi="Arial Unicode MS" w:cs="Arial Unicode MS"/>
          <w:noProof/>
          <w:sz w:val="22"/>
          <w:szCs w:val="22"/>
        </w:rPr>
        <w:drawing>
          <wp:anchor distT="0" distB="0" distL="114300" distR="114300" simplePos="0" relativeHeight="251657728" behindDoc="0" locked="0" layoutInCell="1" allowOverlap="1" wp14:anchorId="74C79B02" wp14:editId="6CE4796F">
            <wp:simplePos x="0" y="0"/>
            <wp:positionH relativeFrom="column">
              <wp:posOffset>-457200</wp:posOffset>
            </wp:positionH>
            <wp:positionV relativeFrom="page">
              <wp:posOffset>347345</wp:posOffset>
            </wp:positionV>
            <wp:extent cx="941705" cy="941705"/>
            <wp:effectExtent l="0" t="0" r="0" b="0"/>
            <wp:wrapThrough wrapText="bothSides">
              <wp:wrapPolygon edited="0">
                <wp:start x="0" y="0"/>
                <wp:lineTo x="0" y="20974"/>
                <wp:lineTo x="20974" y="20974"/>
                <wp:lineTo x="2097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41705" cy="941705"/>
                    </a:xfrm>
                    <a:prstGeom prst="rect">
                      <a:avLst/>
                    </a:prstGeom>
                    <a:noFill/>
                  </pic:spPr>
                </pic:pic>
              </a:graphicData>
            </a:graphic>
            <wp14:sizeRelH relativeFrom="page">
              <wp14:pctWidth>0</wp14:pctWidth>
            </wp14:sizeRelH>
            <wp14:sizeRelV relativeFrom="page">
              <wp14:pctHeight>0</wp14:pctHeight>
            </wp14:sizeRelV>
          </wp:anchor>
        </w:drawing>
      </w:r>
      <w:r w:rsidR="00D250E4">
        <w:rPr>
          <w:rFonts w:ascii="Copperplate Gothic Bold" w:eastAsia="Copperplate Gothic Bold" w:hAnsi="Copperplate Gothic Bold" w:cs="Copperplate Gothic Bold"/>
          <w:color w:val="295694"/>
          <w:sz w:val="22"/>
          <w:szCs w:val="22"/>
        </w:rPr>
        <w:t xml:space="preserve">OFFICE OF THE </w:t>
      </w:r>
      <w:r w:rsidR="00EA1F41">
        <w:rPr>
          <w:rFonts w:ascii="Copperplate Gothic Bold" w:eastAsia="Copperplate Gothic Bold" w:hAnsi="Copperplate Gothic Bold" w:cs="Copperplate Gothic Bold"/>
          <w:color w:val="295694"/>
          <w:sz w:val="22"/>
          <w:szCs w:val="22"/>
        </w:rPr>
        <w:t xml:space="preserve">ASSISTANT </w:t>
      </w:r>
      <w:r w:rsidR="00EA1F41" w:rsidRPr="002F761A">
        <w:rPr>
          <w:rFonts w:ascii="Copperplate Gothic Bold" w:eastAsia="Copperplate Gothic Bold" w:hAnsi="Copperplate Gothic Bold" w:cs="Copperplate Gothic Bold"/>
          <w:color w:val="295694"/>
          <w:sz w:val="22"/>
          <w:szCs w:val="22"/>
        </w:rPr>
        <w:t>SECRETARY OF DEFENSE</w:t>
      </w:r>
    </w:p>
    <w:p w14:paraId="74C79ACF" w14:textId="77777777" w:rsidR="00EA1F41" w:rsidRPr="002F761A" w:rsidRDefault="00EA1F41" w:rsidP="00EA1F41">
      <w:pPr>
        <w:pStyle w:val="Header"/>
        <w:spacing w:line="240" w:lineRule="exact"/>
        <w:jc w:val="center"/>
        <w:rPr>
          <w:rFonts w:ascii="Arial Unicode MS" w:eastAsia="Arial Unicode MS" w:hAnsi="Arial Unicode MS" w:cs="Arial Unicode MS"/>
          <w:sz w:val="20"/>
          <w:szCs w:val="20"/>
        </w:rPr>
      </w:pPr>
      <w:r w:rsidRPr="002F761A">
        <w:rPr>
          <w:rFonts w:ascii="Copperplate Gothic Bold" w:eastAsia="Copperplate Gothic Bold" w:hAnsi="Copperplate Gothic Bold" w:cs="Copperplate Gothic Bold"/>
          <w:color w:val="295694"/>
          <w:sz w:val="17"/>
          <w:szCs w:val="20"/>
        </w:rPr>
        <w:t>3000 DEFENSE PENTAGON</w:t>
      </w:r>
    </w:p>
    <w:p w14:paraId="74C79AD0" w14:textId="77777777" w:rsidR="00EA1F41" w:rsidRPr="002F761A" w:rsidRDefault="00EA1F41" w:rsidP="00EA1F41">
      <w:pPr>
        <w:pStyle w:val="Header"/>
        <w:spacing w:after="140" w:line="170" w:lineRule="exact"/>
        <w:jc w:val="center"/>
        <w:rPr>
          <w:rFonts w:ascii="Copperplate Gothic Bold" w:eastAsia="Copperplate Gothic Bold" w:hAnsi="Copperplate Gothic Bold" w:cs="Copperplate Gothic Bold"/>
          <w:color w:val="295694"/>
          <w:sz w:val="17"/>
          <w:szCs w:val="20"/>
        </w:rPr>
      </w:pPr>
      <w:r w:rsidRPr="002F761A">
        <w:rPr>
          <w:rFonts w:ascii="Copperplate Gothic Bold" w:eastAsia="Copperplate Gothic Bold" w:hAnsi="Copperplate Gothic Bold" w:cs="Copperplate Gothic Bold"/>
          <w:color w:val="295694"/>
          <w:sz w:val="17"/>
          <w:szCs w:val="20"/>
        </w:rPr>
        <w:t>WASHINGTON, DC  20301-3000</w:t>
      </w:r>
    </w:p>
    <w:p w14:paraId="74C79AD1" w14:textId="77777777" w:rsidR="00EA1F41" w:rsidRDefault="00EA1F41" w:rsidP="00EA1F41">
      <w:pPr>
        <w:rPr>
          <w:sz w:val="16"/>
        </w:rPr>
      </w:pPr>
      <w:r>
        <w:rPr>
          <w:rFonts w:ascii="Copperplate Gothic Bold" w:eastAsia="Copperplate Gothic Bold" w:hAnsi="Copperplate Gothic Bold" w:cs="Copperplate Gothic Bold"/>
          <w:sz w:val="20"/>
        </w:rPr>
        <w:t xml:space="preserve"> </w:t>
      </w:r>
      <w:r>
        <w:rPr>
          <w:sz w:val="16"/>
        </w:rPr>
        <w:t xml:space="preserve"> </w:t>
      </w:r>
    </w:p>
    <w:p w14:paraId="74C79AD4" w14:textId="2AAA8F6E" w:rsidR="00EA1F41" w:rsidRDefault="00EA1F41" w:rsidP="00652930">
      <w:pPr>
        <w:rPr>
          <w:rFonts w:ascii="Copperplate Gothic Bold" w:eastAsia="Copperplate Gothic Bold" w:hAnsi="Copperplate Gothic Bold" w:cs="Copperplate Gothic Bold"/>
          <w:color w:val="295694"/>
          <w:sz w:val="13"/>
          <w:szCs w:val="14"/>
        </w:rPr>
      </w:pPr>
      <w:r>
        <w:rPr>
          <w:sz w:val="16"/>
        </w:rPr>
        <w:t xml:space="preserve"> </w:t>
      </w:r>
      <w:r w:rsidRPr="002F761A">
        <w:rPr>
          <w:rFonts w:ascii="Copperplate Gothic Bold" w:eastAsia="Copperplate Gothic Bold" w:hAnsi="Copperplate Gothic Bold" w:cs="Copperplate Gothic Bold"/>
          <w:color w:val="295694"/>
          <w:sz w:val="13"/>
          <w:szCs w:val="14"/>
        </w:rPr>
        <w:t xml:space="preserve">        </w:t>
      </w:r>
    </w:p>
    <w:p w14:paraId="74C79AD5" w14:textId="77777777" w:rsidR="00EA1F41" w:rsidRPr="002F761A" w:rsidRDefault="00EA1F41" w:rsidP="00EA1F41">
      <w:pPr>
        <w:pStyle w:val="Header"/>
        <w:ind w:left="-720"/>
        <w:rPr>
          <w:rFonts w:ascii="Arial Rounded MT Bold" w:eastAsia="Arial Unicode MS" w:hAnsi="Arial Rounded MT Bold" w:cs="Arial Unicode MS"/>
          <w:sz w:val="14"/>
          <w:szCs w:val="14"/>
        </w:rPr>
      </w:pPr>
      <w:r>
        <w:rPr>
          <w:rFonts w:ascii="Copperplate Gothic Bold" w:eastAsia="Copperplate Gothic Bold" w:hAnsi="Copperplate Gothic Bold" w:cs="Copperplate Gothic Bold"/>
          <w:color w:val="295694"/>
          <w:sz w:val="13"/>
          <w:szCs w:val="14"/>
        </w:rPr>
        <w:t xml:space="preserve">            LOGISTICS AND</w:t>
      </w:r>
    </w:p>
    <w:p w14:paraId="74C79AD6" w14:textId="77777777" w:rsidR="00EA1F41" w:rsidRPr="002F761A" w:rsidRDefault="00EA1F41" w:rsidP="00EA1F41">
      <w:pPr>
        <w:pStyle w:val="Header"/>
        <w:ind w:left="-720"/>
        <w:rPr>
          <w:rFonts w:ascii="Arial Rounded MT Bold" w:eastAsia="Arial Unicode MS" w:hAnsi="Arial Rounded MT Bold" w:cs="Arial Unicode MS"/>
          <w:sz w:val="14"/>
          <w:szCs w:val="14"/>
        </w:rPr>
      </w:pPr>
      <w:r w:rsidRPr="002F761A">
        <w:rPr>
          <w:rFonts w:ascii="Copperplate Gothic Bold" w:eastAsia="Copperplate Gothic Bold" w:hAnsi="Copperplate Gothic Bold" w:cs="Copperplate Gothic Bold"/>
          <w:color w:val="295694"/>
          <w:sz w:val="13"/>
          <w:szCs w:val="14"/>
        </w:rPr>
        <w:t xml:space="preserve">    </w:t>
      </w:r>
      <w:r>
        <w:rPr>
          <w:rFonts w:ascii="Copperplate Gothic Bold" w:eastAsia="Copperplate Gothic Bold" w:hAnsi="Copperplate Gothic Bold" w:cs="Copperplate Gothic Bold"/>
          <w:noProof/>
          <w:color w:val="295694"/>
          <w:sz w:val="13"/>
          <w:szCs w:val="14"/>
        </w:rPr>
        <w:t xml:space="preserve">MATERIEL READINESS </w:t>
      </w:r>
    </w:p>
    <w:p w14:paraId="567ADDCE" w14:textId="5DFD77A3" w:rsidR="003733A0" w:rsidRDefault="003733A0" w:rsidP="003733A0">
      <w:pPr>
        <w:pStyle w:val="Footer"/>
        <w:tabs>
          <w:tab w:val="left" w:pos="1620"/>
        </w:tabs>
        <w:ind w:left="1620" w:hanging="1620"/>
        <w:jc w:val="right"/>
        <w:rPr>
          <w:sz w:val="26"/>
          <w:szCs w:val="26"/>
        </w:rPr>
      </w:pPr>
      <w:r>
        <w:rPr>
          <w:sz w:val="26"/>
          <w:szCs w:val="26"/>
        </w:rPr>
        <w:t xml:space="preserve">DLM 4000.25-1, </w:t>
      </w:r>
      <w:r w:rsidR="00ED2267" w:rsidRPr="00ED2267">
        <w:rPr>
          <w:sz w:val="26"/>
          <w:szCs w:val="26"/>
        </w:rPr>
        <w:t>June 16, 2015</w:t>
      </w:r>
    </w:p>
    <w:p w14:paraId="429C086B" w14:textId="6B614E2C" w:rsidR="003733A0" w:rsidRDefault="00B611BA" w:rsidP="003733A0">
      <w:pPr>
        <w:pStyle w:val="Footer"/>
        <w:tabs>
          <w:tab w:val="left" w:pos="1620"/>
        </w:tabs>
        <w:spacing w:after="240"/>
        <w:ind w:left="1627" w:hanging="1627"/>
        <w:jc w:val="right"/>
        <w:rPr>
          <w:sz w:val="26"/>
          <w:szCs w:val="26"/>
        </w:rPr>
      </w:pPr>
      <w:r>
        <w:rPr>
          <w:sz w:val="26"/>
          <w:szCs w:val="26"/>
        </w:rPr>
        <w:t xml:space="preserve">Change </w:t>
      </w:r>
      <w:r w:rsidR="00681ADB">
        <w:rPr>
          <w:sz w:val="26"/>
          <w:szCs w:val="26"/>
        </w:rPr>
        <w:t>5</w:t>
      </w:r>
    </w:p>
    <w:p w14:paraId="76FBCFE1" w14:textId="77777777" w:rsidR="003733A0" w:rsidRDefault="003733A0" w:rsidP="003733A0">
      <w:pPr>
        <w:pStyle w:val="Footer"/>
        <w:tabs>
          <w:tab w:val="left" w:pos="1260"/>
        </w:tabs>
        <w:ind w:left="1260" w:hanging="1260"/>
        <w:jc w:val="center"/>
        <w:rPr>
          <w:bCs/>
        </w:rPr>
      </w:pPr>
      <w:r>
        <w:rPr>
          <w:bCs/>
        </w:rPr>
        <w:t>MILITARY STANDARD REQUISITIONING AND ISSUE PROCEDURES</w:t>
      </w:r>
    </w:p>
    <w:p w14:paraId="3562D0DE" w14:textId="2D6EAAD9" w:rsidR="003733A0" w:rsidRDefault="00B611BA" w:rsidP="003733A0">
      <w:pPr>
        <w:pStyle w:val="Footer"/>
        <w:tabs>
          <w:tab w:val="left" w:pos="1260"/>
        </w:tabs>
        <w:spacing w:after="240"/>
        <w:ind w:left="1260" w:hanging="1260"/>
        <w:jc w:val="center"/>
        <w:rPr>
          <w:bCs/>
        </w:rPr>
      </w:pPr>
      <w:r>
        <w:rPr>
          <w:bCs/>
        </w:rPr>
        <w:t xml:space="preserve">CHANGE </w:t>
      </w:r>
      <w:r w:rsidR="00681ADB">
        <w:rPr>
          <w:bCs/>
        </w:rPr>
        <w:t>5</w:t>
      </w:r>
    </w:p>
    <w:p w14:paraId="3D4472DF" w14:textId="367C0214" w:rsidR="00270D91" w:rsidRDefault="007A4606" w:rsidP="00270D91">
      <w:pPr>
        <w:spacing w:after="240"/>
        <w:ind w:right="180"/>
      </w:pPr>
      <w:r>
        <w:t>I.</w:t>
      </w:r>
      <w:r>
        <w:rPr>
          <w:spacing w:val="57"/>
        </w:rPr>
        <w:t xml:space="preserve"> </w:t>
      </w:r>
      <w:r w:rsidR="004B7A24" w:rsidRPr="004B7A24">
        <w:t xml:space="preserve">This change to DLM 4000.25-1, Military Standard Requisitioning and Issue Procedures </w:t>
      </w:r>
      <w:r w:rsidR="00907C2B">
        <w:t xml:space="preserve">(MILSTRIP), </w:t>
      </w:r>
      <w:r w:rsidR="006220B5">
        <w:t>June 2012</w:t>
      </w:r>
      <w:r w:rsidR="004B7A24" w:rsidRPr="004B7A24">
        <w:t>, is published by direction of the Deputy Assistant Secretary of Defense for Supply Chain Integration under the authority of DoD Instruction (DoDI) 4140.01, “DoD Supply Chain Materiel Management Policy,” December 14, 2011.  Unless otherwise noted, revised text in the manual is identified by</w:t>
      </w:r>
      <w:r w:rsidR="004B7A24" w:rsidRPr="004B7A24">
        <w:rPr>
          <w:b/>
          <w:bCs/>
          <w:i/>
        </w:rPr>
        <w:t xml:space="preserve"> bold, italicized </w:t>
      </w:r>
      <w:r w:rsidR="004B7A24" w:rsidRPr="004B7A24">
        <w:t>print.  The exception would be when the entire chapter or appendix is replaced, or a new one added.</w:t>
      </w:r>
      <w:r w:rsidR="005C3464">
        <w:t xml:space="preserve"> </w:t>
      </w:r>
      <w:r w:rsidR="00270D91">
        <w:rPr>
          <w:color w:val="000000"/>
        </w:rPr>
        <w:t xml:space="preserve">In all updated documents "DLA Logistics Management Standards" is changed to "Defense Logistics Management Standards Office" to reflect the most recent name change for the DLMSO office and abbreviations such as etc., e.g., and i.e. are incorporated inside the parentheses.  </w:t>
      </w:r>
      <w:r w:rsidR="00AC7395" w:rsidRPr="00AC7395">
        <w:t>Change 5 also includes administrative updates not marked by bold italics, to include changing “shall” to “will” per a style change for DoD issuances and updating “Defense Logistics Management System” to “Defense L</w:t>
      </w:r>
      <w:r w:rsidR="00AC7395">
        <w:t>ogistics Management Standards.”</w:t>
      </w:r>
      <w:r w:rsidR="00173CBE">
        <w:t xml:space="preserve"> </w:t>
      </w:r>
      <w:r w:rsidR="00173CBE" w:rsidRPr="00173CBE">
        <w:t>Subsequent to ADC 1135’s updates, “Regional Hazardous Inventory Control System” was updated to “Hazardous Material Management System.”</w:t>
      </w:r>
      <w:r w:rsidR="00270D91">
        <w:rPr>
          <w:color w:val="000000"/>
        </w:rPr>
        <w:t xml:space="preserve"> </w:t>
      </w:r>
    </w:p>
    <w:p w14:paraId="74C79ADE" w14:textId="398DE6D5" w:rsidR="007A4606" w:rsidRPr="00F4319F" w:rsidRDefault="007A4606" w:rsidP="004355D6">
      <w:pPr>
        <w:spacing w:after="240"/>
        <w:ind w:right="-20"/>
        <w:rPr>
          <w:color w:val="000000" w:themeColor="text1"/>
        </w:rPr>
      </w:pPr>
      <w:r w:rsidRPr="0033025A">
        <w:t>II.</w:t>
      </w:r>
      <w:r w:rsidRPr="0033025A">
        <w:rPr>
          <w:spacing w:val="57"/>
        </w:rPr>
        <w:t xml:space="preserve"> </w:t>
      </w:r>
      <w:r w:rsidRPr="0033025A">
        <w:t>This cha</w:t>
      </w:r>
      <w:r w:rsidRPr="0033025A">
        <w:rPr>
          <w:spacing w:val="-1"/>
        </w:rPr>
        <w:t>n</w:t>
      </w:r>
      <w:r w:rsidRPr="0033025A">
        <w:t xml:space="preserve">ge includes Approved Defense Logistics Management </w:t>
      </w:r>
      <w:r w:rsidR="00D628AC">
        <w:t xml:space="preserve">Standards </w:t>
      </w:r>
      <w:r w:rsidRPr="0033025A">
        <w:t xml:space="preserve">(DLMS) Changes (ADC) published by </w:t>
      </w:r>
      <w:r w:rsidR="005C7F0D">
        <w:t xml:space="preserve">the </w:t>
      </w:r>
      <w:r w:rsidR="005C3F7B">
        <w:t>DLMS Program</w:t>
      </w:r>
      <w:r w:rsidR="005C7F0D">
        <w:t xml:space="preserve"> Office</w:t>
      </w:r>
      <w:r w:rsidRPr="0033025A">
        <w:t xml:space="preserve"> </w:t>
      </w:r>
      <w:r w:rsidRPr="00F4319F">
        <w:rPr>
          <w:color w:val="000000" w:themeColor="text1"/>
        </w:rPr>
        <w:t>memorandum:</w:t>
      </w:r>
    </w:p>
    <w:p w14:paraId="382757D2" w14:textId="0C43335C" w:rsidR="00B27A29" w:rsidRPr="00173CBE" w:rsidRDefault="00B27A29" w:rsidP="00173CBE">
      <w:pPr>
        <w:pStyle w:val="ListParagraph"/>
        <w:widowControl w:val="0"/>
        <w:numPr>
          <w:ilvl w:val="0"/>
          <w:numId w:val="2"/>
        </w:numPr>
        <w:spacing w:after="240" w:line="240" w:lineRule="auto"/>
        <w:ind w:left="0" w:firstLine="900"/>
        <w:contextualSpacing w:val="0"/>
        <w:rPr>
          <w:rFonts w:ascii="Times New Roman" w:eastAsia="Times New Roman" w:hAnsi="Times New Roman"/>
          <w:sz w:val="24"/>
          <w:szCs w:val="24"/>
        </w:rPr>
      </w:pPr>
      <w:r w:rsidRPr="00173CBE">
        <w:rPr>
          <w:rFonts w:ascii="Times New Roman" w:eastAsia="Times New Roman" w:hAnsi="Times New Roman"/>
          <w:sz w:val="24"/>
          <w:szCs w:val="24"/>
        </w:rPr>
        <w:t xml:space="preserve">   ADC 1009A dated August 6, 2014.  Established revised procedures for formatting the DLMS requisition transactions with impact to multiple functional processes.  It also eliminated authorization for the DLA Transaction Services Defense Automatic Addressing System (DAAS) to block transmission of supply and shipment status in response to requisitions originated in DOD EMALL that use purchase card/credit card payment.  Revises Chapter Chapters 2 and 5 and Acronyms list.  Revises </w:t>
      </w:r>
      <w:r w:rsidR="0071368F" w:rsidRPr="00173CBE">
        <w:rPr>
          <w:rFonts w:ascii="Times New Roman" w:eastAsia="Times New Roman" w:hAnsi="Times New Roman"/>
          <w:sz w:val="24"/>
          <w:szCs w:val="24"/>
        </w:rPr>
        <w:t xml:space="preserve">Abbreviations and Acronyms.  Revises Chapters 2 and 5.  Revises </w:t>
      </w:r>
      <w:r w:rsidRPr="00173CBE">
        <w:rPr>
          <w:rFonts w:ascii="Times New Roman" w:eastAsia="Times New Roman" w:hAnsi="Times New Roman"/>
          <w:sz w:val="24"/>
          <w:szCs w:val="24"/>
        </w:rPr>
        <w:t xml:space="preserve">Appendices 1.1, 1.35,2.10, 2.14, 2.16, and 3.48. </w:t>
      </w:r>
    </w:p>
    <w:p w14:paraId="4A74794D" w14:textId="1995C96C" w:rsidR="00681ADB" w:rsidRPr="00681ADB" w:rsidRDefault="00681ADB" w:rsidP="007A2B6A">
      <w:pPr>
        <w:pStyle w:val="ListParagraph"/>
        <w:widowControl w:val="0"/>
        <w:numPr>
          <w:ilvl w:val="0"/>
          <w:numId w:val="2"/>
        </w:numPr>
        <w:spacing w:after="240" w:line="240" w:lineRule="auto"/>
        <w:ind w:left="0" w:firstLine="900"/>
        <w:contextualSpacing w:val="0"/>
        <w:rPr>
          <w:rFonts w:ascii="Times New Roman" w:eastAsia="Times New Roman" w:hAnsi="Times New Roman"/>
          <w:sz w:val="24"/>
          <w:szCs w:val="24"/>
        </w:rPr>
      </w:pPr>
      <w:r>
        <w:rPr>
          <w:rFonts w:ascii="Times New Roman" w:eastAsia="Times New Roman" w:hAnsi="Times New Roman"/>
          <w:color w:val="000000" w:themeColor="text1"/>
          <w:sz w:val="24"/>
          <w:szCs w:val="24"/>
        </w:rPr>
        <w:t xml:space="preserve">  </w:t>
      </w:r>
      <w:r w:rsidRPr="00681ADB">
        <w:rPr>
          <w:rFonts w:ascii="Times New Roman" w:eastAsia="Times New Roman" w:hAnsi="Times New Roman"/>
          <w:sz w:val="24"/>
          <w:szCs w:val="24"/>
        </w:rPr>
        <w:t>ADC 1032 dated January 31, 2013.  Withdrew the change to allow the use of a numeric value in addition to existing alphabetic values identifying the Service and Agency as identified in the first position of the RIC. Withdrawn April 8, 2014.</w:t>
      </w:r>
      <w:r w:rsidR="007A2B6A">
        <w:rPr>
          <w:rFonts w:ascii="Times New Roman" w:eastAsia="Times New Roman" w:hAnsi="Times New Roman"/>
          <w:sz w:val="24"/>
          <w:szCs w:val="24"/>
        </w:rPr>
        <w:t xml:space="preserve">  Revises Appendix 2.2. </w:t>
      </w:r>
    </w:p>
    <w:p w14:paraId="6B4D0FBC" w14:textId="5F0F9742" w:rsidR="00B27A29" w:rsidRDefault="00B27A29" w:rsidP="00B27A29">
      <w:pPr>
        <w:pStyle w:val="ListParagraph"/>
        <w:widowControl w:val="0"/>
        <w:numPr>
          <w:ilvl w:val="0"/>
          <w:numId w:val="2"/>
        </w:numPr>
        <w:spacing w:after="240" w:line="240" w:lineRule="auto"/>
        <w:ind w:left="0" w:firstLine="900"/>
        <w:contextualSpacing w:val="0"/>
        <w:rPr>
          <w:rFonts w:ascii="Times New Roman" w:eastAsia="Times New Roman" w:hAnsi="Times New Roman"/>
          <w:sz w:val="24"/>
          <w:szCs w:val="24"/>
        </w:rPr>
      </w:pPr>
      <w:r w:rsidRPr="00F30EF4">
        <w:rPr>
          <w:rFonts w:ascii="Times New Roman" w:eastAsia="Times New Roman" w:hAnsi="Times New Roman"/>
          <w:sz w:val="24"/>
          <w:szCs w:val="24"/>
        </w:rPr>
        <w:t xml:space="preserve">  ADC 1043A dated August 20, 2014.  Amended ADC 1043 guidance regarding rejection transactions returned when DLMS transactions include discrete SLOA data elements that do not correspond to the entries in the SFIS Fund Code to Fund Code Account Conversion Table for t</w:t>
      </w:r>
      <w:r>
        <w:rPr>
          <w:rFonts w:ascii="Times New Roman" w:eastAsia="Times New Roman" w:hAnsi="Times New Roman"/>
          <w:sz w:val="24"/>
          <w:szCs w:val="24"/>
        </w:rPr>
        <w:t xml:space="preserve">he Fund Code in the transaction.  Revises Appendix 2.16.  </w:t>
      </w:r>
    </w:p>
    <w:p w14:paraId="715E6AA4" w14:textId="56F01D98" w:rsidR="00681ADB" w:rsidRDefault="00681ADB" w:rsidP="007A2B6A">
      <w:pPr>
        <w:pStyle w:val="ListParagraph"/>
        <w:widowControl w:val="0"/>
        <w:numPr>
          <w:ilvl w:val="0"/>
          <w:numId w:val="2"/>
        </w:numPr>
        <w:spacing w:after="240" w:line="240" w:lineRule="auto"/>
        <w:ind w:left="0" w:firstLine="900"/>
        <w:contextualSpacing w:val="0"/>
        <w:rPr>
          <w:rFonts w:ascii="Times New Roman" w:eastAsia="Times New Roman" w:hAnsi="Times New Roman"/>
          <w:sz w:val="24"/>
          <w:szCs w:val="24"/>
        </w:rPr>
      </w:pPr>
      <w:r>
        <w:rPr>
          <w:rFonts w:ascii="Times New Roman" w:eastAsia="Times New Roman" w:hAnsi="Times New Roman"/>
          <w:sz w:val="24"/>
          <w:szCs w:val="24"/>
        </w:rPr>
        <w:t xml:space="preserve">  ADC 1075 dated January 17, 2014.  </w:t>
      </w:r>
      <w:r w:rsidRPr="005E65F5">
        <w:rPr>
          <w:rFonts w:ascii="Times New Roman" w:eastAsia="Times New Roman" w:hAnsi="Times New Roman"/>
          <w:sz w:val="24"/>
          <w:szCs w:val="24"/>
        </w:rPr>
        <w:t>Notifie</w:t>
      </w:r>
      <w:r>
        <w:rPr>
          <w:rFonts w:ascii="Times New Roman" w:eastAsia="Times New Roman" w:hAnsi="Times New Roman"/>
          <w:sz w:val="24"/>
          <w:szCs w:val="24"/>
        </w:rPr>
        <w:t>d</w:t>
      </w:r>
      <w:r w:rsidRPr="005E65F5">
        <w:rPr>
          <w:rFonts w:ascii="Times New Roman" w:eastAsia="Times New Roman" w:hAnsi="Times New Roman"/>
          <w:sz w:val="24"/>
          <w:szCs w:val="24"/>
        </w:rPr>
        <w:t xml:space="preserve"> the PRC members of DLMS implementation for the GENC Standard and updates related DLMS documentation and </w:t>
      </w:r>
      <w:r w:rsidRPr="005E65F5">
        <w:rPr>
          <w:rFonts w:ascii="Times New Roman" w:eastAsia="Times New Roman" w:hAnsi="Times New Roman"/>
          <w:sz w:val="24"/>
          <w:szCs w:val="24"/>
        </w:rPr>
        <w:lastRenderedPageBreak/>
        <w:t>database tables at DLA Transacti</w:t>
      </w:r>
      <w:r>
        <w:rPr>
          <w:rFonts w:ascii="Times New Roman" w:eastAsia="Times New Roman" w:hAnsi="Times New Roman"/>
          <w:sz w:val="24"/>
          <w:szCs w:val="24"/>
        </w:rPr>
        <w:t>on Services for Country Codes.</w:t>
      </w:r>
      <w:r w:rsidR="007A2B6A">
        <w:rPr>
          <w:rFonts w:ascii="Times New Roman" w:eastAsia="Times New Roman" w:hAnsi="Times New Roman"/>
          <w:sz w:val="24"/>
          <w:szCs w:val="24"/>
        </w:rPr>
        <w:t xml:space="preserve">  Revises Appendix 2.18 and Definitions list.  </w:t>
      </w:r>
    </w:p>
    <w:p w14:paraId="4E2E1674" w14:textId="283273B9" w:rsidR="00681ADB" w:rsidRPr="00440C7E" w:rsidRDefault="00681ADB" w:rsidP="007A2B6A">
      <w:pPr>
        <w:pStyle w:val="ListParagraph"/>
        <w:widowControl w:val="0"/>
        <w:numPr>
          <w:ilvl w:val="0"/>
          <w:numId w:val="2"/>
        </w:numPr>
        <w:spacing w:after="240" w:line="240" w:lineRule="auto"/>
        <w:ind w:left="0" w:firstLine="900"/>
        <w:contextualSpacing w:val="0"/>
        <w:rPr>
          <w:rFonts w:ascii="Times New Roman" w:eastAsia="Times New Roman" w:hAnsi="Times New Roman"/>
          <w:sz w:val="24"/>
          <w:szCs w:val="24"/>
        </w:rPr>
      </w:pPr>
      <w:r w:rsidRPr="00440C7E">
        <w:rPr>
          <w:rFonts w:ascii="Times New Roman" w:eastAsia="Times New Roman" w:hAnsi="Times New Roman"/>
          <w:sz w:val="24"/>
          <w:szCs w:val="24"/>
        </w:rPr>
        <w:t xml:space="preserve">  ADC </w:t>
      </w:r>
      <w:r>
        <w:rPr>
          <w:rFonts w:ascii="Times New Roman" w:eastAsia="Times New Roman" w:hAnsi="Times New Roman"/>
          <w:sz w:val="24"/>
          <w:szCs w:val="24"/>
        </w:rPr>
        <w:t>1091</w:t>
      </w:r>
      <w:r w:rsidRPr="00440C7E">
        <w:rPr>
          <w:rFonts w:ascii="Times New Roman" w:eastAsia="Times New Roman" w:hAnsi="Times New Roman"/>
          <w:sz w:val="24"/>
          <w:szCs w:val="24"/>
        </w:rPr>
        <w:t xml:space="preserve"> dated </w:t>
      </w:r>
      <w:r>
        <w:rPr>
          <w:rFonts w:ascii="Times New Roman" w:eastAsia="Times New Roman" w:hAnsi="Times New Roman"/>
          <w:sz w:val="24"/>
          <w:szCs w:val="24"/>
        </w:rPr>
        <w:t>January 28, 2014</w:t>
      </w:r>
      <w:r w:rsidRPr="00440C7E">
        <w:rPr>
          <w:rFonts w:ascii="Times New Roman" w:eastAsia="Times New Roman" w:hAnsi="Times New Roman"/>
          <w:sz w:val="24"/>
          <w:szCs w:val="24"/>
        </w:rPr>
        <w:t xml:space="preserve">. </w:t>
      </w:r>
      <w:r w:rsidRPr="005E65F5">
        <w:rPr>
          <w:rFonts w:ascii="Times New Roman" w:eastAsia="Times New Roman" w:hAnsi="Times New Roman"/>
          <w:sz w:val="24"/>
          <w:szCs w:val="24"/>
        </w:rPr>
        <w:t>Update</w:t>
      </w:r>
      <w:r>
        <w:rPr>
          <w:rFonts w:ascii="Times New Roman" w:eastAsia="Times New Roman" w:hAnsi="Times New Roman"/>
          <w:sz w:val="24"/>
          <w:szCs w:val="24"/>
        </w:rPr>
        <w:t>d</w:t>
      </w:r>
      <w:r w:rsidRPr="005E65F5">
        <w:rPr>
          <w:rFonts w:ascii="Times New Roman" w:eastAsia="Times New Roman" w:hAnsi="Times New Roman"/>
          <w:sz w:val="24"/>
          <w:szCs w:val="24"/>
        </w:rPr>
        <w:t xml:space="preserve"> MILSTRIP and SDR guidance for reshipment of materiel in association with an SDR.</w:t>
      </w:r>
      <w:r w:rsidR="007A2B6A">
        <w:rPr>
          <w:rFonts w:ascii="Times New Roman" w:eastAsia="Times New Roman" w:hAnsi="Times New Roman"/>
          <w:sz w:val="24"/>
          <w:szCs w:val="24"/>
        </w:rPr>
        <w:t xml:space="preserve">  Revises Chapters 3 and 4.</w:t>
      </w:r>
    </w:p>
    <w:p w14:paraId="21334B63" w14:textId="328E5ACC" w:rsidR="00681ADB" w:rsidRDefault="00681ADB" w:rsidP="007A2B6A">
      <w:pPr>
        <w:pStyle w:val="ListParagraph"/>
        <w:widowControl w:val="0"/>
        <w:numPr>
          <w:ilvl w:val="0"/>
          <w:numId w:val="2"/>
        </w:numPr>
        <w:spacing w:after="240" w:line="240" w:lineRule="auto"/>
        <w:ind w:left="0" w:firstLine="900"/>
        <w:contextualSpacing w:val="0"/>
        <w:rPr>
          <w:rFonts w:ascii="Times New Roman" w:eastAsia="Times New Roman" w:hAnsi="Times New Roman"/>
          <w:sz w:val="24"/>
          <w:szCs w:val="24"/>
        </w:rPr>
      </w:pPr>
      <w:r>
        <w:rPr>
          <w:rFonts w:ascii="Times New Roman" w:eastAsia="Times New Roman" w:hAnsi="Times New Roman"/>
          <w:sz w:val="24"/>
          <w:szCs w:val="24"/>
        </w:rPr>
        <w:t xml:space="preserve">  ADC 1096 dated May 29, 2014.  </w:t>
      </w:r>
      <w:r w:rsidRPr="00546FF6">
        <w:rPr>
          <w:rFonts w:ascii="Times New Roman" w:eastAsia="Times New Roman" w:hAnsi="Times New Roman"/>
          <w:sz w:val="24"/>
          <w:szCs w:val="24"/>
        </w:rPr>
        <w:t>Request</w:t>
      </w:r>
      <w:r>
        <w:rPr>
          <w:rFonts w:ascii="Times New Roman" w:eastAsia="Times New Roman" w:hAnsi="Times New Roman"/>
          <w:sz w:val="24"/>
          <w:szCs w:val="24"/>
        </w:rPr>
        <w:t>ed</w:t>
      </w:r>
      <w:r w:rsidRPr="00546FF6">
        <w:rPr>
          <w:rFonts w:ascii="Times New Roman" w:eastAsia="Times New Roman" w:hAnsi="Times New Roman"/>
          <w:sz w:val="24"/>
          <w:szCs w:val="24"/>
        </w:rPr>
        <w:t xml:space="preserve"> the option for DLA Disposition Services sites to utilize the Commercial Venture (CV) Workload Location List (WLL) in lieu of an IRRD.</w:t>
      </w:r>
      <w:r w:rsidR="007A2B6A">
        <w:rPr>
          <w:rFonts w:ascii="Times New Roman" w:eastAsia="Times New Roman" w:hAnsi="Times New Roman"/>
          <w:sz w:val="24"/>
          <w:szCs w:val="24"/>
        </w:rPr>
        <w:t xml:space="preserve">  Revises Chapter 5.</w:t>
      </w:r>
    </w:p>
    <w:p w14:paraId="442CAC6F" w14:textId="6AE4DDFB" w:rsidR="00B27A29" w:rsidRDefault="00B27A29" w:rsidP="00B27A29">
      <w:pPr>
        <w:pStyle w:val="ListParagraph"/>
        <w:widowControl w:val="0"/>
        <w:numPr>
          <w:ilvl w:val="0"/>
          <w:numId w:val="2"/>
        </w:numPr>
        <w:spacing w:after="240" w:line="240" w:lineRule="auto"/>
        <w:ind w:left="0" w:firstLine="900"/>
        <w:contextualSpacing w:val="0"/>
        <w:rPr>
          <w:rFonts w:ascii="Times New Roman" w:eastAsia="Times New Roman" w:hAnsi="Times New Roman"/>
          <w:sz w:val="24"/>
          <w:szCs w:val="24"/>
        </w:rPr>
      </w:pPr>
      <w:r>
        <w:rPr>
          <w:rFonts w:ascii="Times New Roman" w:eastAsia="Times New Roman" w:hAnsi="Times New Roman"/>
          <w:sz w:val="24"/>
          <w:szCs w:val="24"/>
        </w:rPr>
        <w:t xml:space="preserve">  ADC 1098 dated November 7, 2014.  </w:t>
      </w:r>
      <w:r w:rsidRPr="001C25D2">
        <w:rPr>
          <w:rFonts w:ascii="Times New Roman" w:eastAsia="Times New Roman" w:hAnsi="Times New Roman"/>
          <w:sz w:val="24"/>
          <w:szCs w:val="24"/>
        </w:rPr>
        <w:t>Update</w:t>
      </w:r>
      <w:r>
        <w:rPr>
          <w:rFonts w:ascii="Times New Roman" w:eastAsia="Times New Roman" w:hAnsi="Times New Roman"/>
          <w:sz w:val="24"/>
          <w:szCs w:val="24"/>
        </w:rPr>
        <w:t>d</w:t>
      </w:r>
      <w:r w:rsidRPr="001C25D2">
        <w:rPr>
          <w:rFonts w:ascii="Times New Roman" w:eastAsia="Times New Roman" w:hAnsi="Times New Roman"/>
          <w:sz w:val="24"/>
          <w:szCs w:val="24"/>
        </w:rPr>
        <w:t xml:space="preserve"> the DD Form 1348-5, Notice of Availability; update</w:t>
      </w:r>
      <w:r>
        <w:rPr>
          <w:rFonts w:ascii="Times New Roman" w:eastAsia="Times New Roman" w:hAnsi="Times New Roman"/>
          <w:sz w:val="24"/>
          <w:szCs w:val="24"/>
        </w:rPr>
        <w:t>d</w:t>
      </w:r>
      <w:r w:rsidRPr="001C25D2">
        <w:rPr>
          <w:rFonts w:ascii="Times New Roman" w:eastAsia="Times New Roman" w:hAnsi="Times New Roman"/>
          <w:sz w:val="24"/>
          <w:szCs w:val="24"/>
        </w:rPr>
        <w:t xml:space="preserve"> the DLMS 856N NOA and DLMS 870N NOA Reply to align with the hard copy data content of the DD Form 1348-5; establishe</w:t>
      </w:r>
      <w:r>
        <w:rPr>
          <w:rFonts w:ascii="Times New Roman" w:eastAsia="Times New Roman" w:hAnsi="Times New Roman"/>
          <w:sz w:val="24"/>
          <w:szCs w:val="24"/>
        </w:rPr>
        <w:t>d</w:t>
      </w:r>
      <w:r w:rsidRPr="001C25D2">
        <w:rPr>
          <w:rFonts w:ascii="Times New Roman" w:eastAsia="Times New Roman" w:hAnsi="Times New Roman"/>
          <w:sz w:val="24"/>
          <w:szCs w:val="24"/>
        </w:rPr>
        <w:t xml:space="preserve"> the foundation for a mechanized implementation for the NOA process to provide the International Logistics Control Office (ILCO) visibility; and update</w:t>
      </w:r>
      <w:r>
        <w:rPr>
          <w:rFonts w:ascii="Times New Roman" w:eastAsia="Times New Roman" w:hAnsi="Times New Roman"/>
          <w:sz w:val="24"/>
          <w:szCs w:val="24"/>
        </w:rPr>
        <w:t>d</w:t>
      </w:r>
      <w:r w:rsidRPr="001C25D2">
        <w:rPr>
          <w:rFonts w:ascii="Times New Roman" w:eastAsia="Times New Roman" w:hAnsi="Times New Roman"/>
          <w:sz w:val="24"/>
          <w:szCs w:val="24"/>
        </w:rPr>
        <w:t xml:space="preserve"> procedures for ensuring timely replies to NOAs by actively engaging the ILCOs when there is no response to a follow-up NOA.</w:t>
      </w:r>
      <w:r>
        <w:rPr>
          <w:rFonts w:ascii="Times New Roman" w:eastAsia="Times New Roman" w:hAnsi="Times New Roman"/>
          <w:sz w:val="24"/>
          <w:szCs w:val="24"/>
        </w:rPr>
        <w:t xml:space="preserve">  Revises Chapter 6 and Appendices 1.4, 3.3</w:t>
      </w:r>
      <w:r w:rsidR="0014435D">
        <w:rPr>
          <w:rFonts w:ascii="Times New Roman" w:eastAsia="Times New Roman" w:hAnsi="Times New Roman"/>
          <w:sz w:val="24"/>
          <w:szCs w:val="24"/>
        </w:rPr>
        <w:t>0</w:t>
      </w:r>
      <w:r>
        <w:rPr>
          <w:rFonts w:ascii="Times New Roman" w:eastAsia="Times New Roman" w:hAnsi="Times New Roman"/>
          <w:sz w:val="24"/>
          <w:szCs w:val="24"/>
        </w:rPr>
        <w:t>, 3.</w:t>
      </w:r>
      <w:r w:rsidR="0014435D">
        <w:rPr>
          <w:rFonts w:ascii="Times New Roman" w:eastAsia="Times New Roman" w:hAnsi="Times New Roman"/>
          <w:sz w:val="24"/>
          <w:szCs w:val="24"/>
        </w:rPr>
        <w:t>31</w:t>
      </w:r>
      <w:r>
        <w:rPr>
          <w:rFonts w:ascii="Times New Roman" w:eastAsia="Times New Roman" w:hAnsi="Times New Roman"/>
          <w:sz w:val="24"/>
          <w:szCs w:val="24"/>
        </w:rPr>
        <w:t xml:space="preserve">, and 3.32.  </w:t>
      </w:r>
    </w:p>
    <w:p w14:paraId="40FF8489" w14:textId="0A6AE2D3" w:rsidR="00681ADB" w:rsidRDefault="00681ADB" w:rsidP="007A2B6A">
      <w:pPr>
        <w:pStyle w:val="ListParagraph"/>
        <w:widowControl w:val="0"/>
        <w:numPr>
          <w:ilvl w:val="0"/>
          <w:numId w:val="2"/>
        </w:numPr>
        <w:spacing w:after="240" w:line="240" w:lineRule="auto"/>
        <w:ind w:left="0" w:firstLine="900"/>
        <w:contextualSpacing w:val="0"/>
        <w:rPr>
          <w:rFonts w:ascii="Times New Roman" w:eastAsia="Times New Roman" w:hAnsi="Times New Roman"/>
          <w:sz w:val="24"/>
          <w:szCs w:val="24"/>
        </w:rPr>
      </w:pPr>
      <w:r>
        <w:rPr>
          <w:rFonts w:ascii="Times New Roman" w:eastAsia="Times New Roman" w:hAnsi="Times New Roman"/>
          <w:sz w:val="24"/>
          <w:szCs w:val="24"/>
        </w:rPr>
        <w:t xml:space="preserve">  ADC 1110 dated July 30, 2014. </w:t>
      </w:r>
      <w:r w:rsidRPr="00546FF6">
        <w:rPr>
          <w:rFonts w:ascii="Times New Roman" w:eastAsia="Times New Roman" w:hAnsi="Times New Roman"/>
          <w:sz w:val="24"/>
          <w:szCs w:val="24"/>
        </w:rPr>
        <w:t>Add</w:t>
      </w:r>
      <w:r>
        <w:rPr>
          <w:rFonts w:ascii="Times New Roman" w:eastAsia="Times New Roman" w:hAnsi="Times New Roman"/>
          <w:sz w:val="24"/>
          <w:szCs w:val="24"/>
        </w:rPr>
        <w:t>ed</w:t>
      </w:r>
      <w:r w:rsidRPr="00546FF6">
        <w:rPr>
          <w:rFonts w:ascii="Times New Roman" w:eastAsia="Times New Roman" w:hAnsi="Times New Roman"/>
          <w:sz w:val="24"/>
          <w:szCs w:val="24"/>
        </w:rPr>
        <w:t xml:space="preserve"> a new Appendix for Delivery Priority/Special Processing Codes, update</w:t>
      </w:r>
      <w:r>
        <w:rPr>
          <w:rFonts w:ascii="Times New Roman" w:eastAsia="Times New Roman" w:hAnsi="Times New Roman"/>
          <w:sz w:val="24"/>
          <w:szCs w:val="24"/>
        </w:rPr>
        <w:t>d</w:t>
      </w:r>
      <w:r w:rsidRPr="00546FF6">
        <w:rPr>
          <w:rFonts w:ascii="Times New Roman" w:eastAsia="Times New Roman" w:hAnsi="Times New Roman"/>
          <w:sz w:val="24"/>
          <w:szCs w:val="24"/>
        </w:rPr>
        <w:t xml:space="preserve"> the DLMS Data Dictionary to reflect usage of this data element across applicable DLMS ICs, and update</w:t>
      </w:r>
      <w:r>
        <w:rPr>
          <w:rFonts w:ascii="Times New Roman" w:eastAsia="Times New Roman" w:hAnsi="Times New Roman"/>
          <w:sz w:val="24"/>
          <w:szCs w:val="24"/>
        </w:rPr>
        <w:t>d</w:t>
      </w:r>
      <w:r w:rsidRPr="00546FF6">
        <w:rPr>
          <w:rFonts w:ascii="Times New Roman" w:eastAsia="Times New Roman" w:hAnsi="Times New Roman"/>
          <w:sz w:val="24"/>
          <w:szCs w:val="24"/>
        </w:rPr>
        <w:t xml:space="preserve"> DLMS ICs to reflect the approved migration code DPC – Delivery Priority Code.</w:t>
      </w:r>
      <w:r w:rsidR="007A2B6A">
        <w:rPr>
          <w:rFonts w:ascii="Times New Roman" w:eastAsia="Times New Roman" w:hAnsi="Times New Roman"/>
          <w:sz w:val="24"/>
          <w:szCs w:val="24"/>
        </w:rPr>
        <w:t xml:space="preserve">  </w:t>
      </w:r>
      <w:r w:rsidR="0014435D">
        <w:rPr>
          <w:rFonts w:ascii="Times New Roman" w:eastAsia="Times New Roman" w:hAnsi="Times New Roman"/>
          <w:sz w:val="24"/>
          <w:szCs w:val="24"/>
        </w:rPr>
        <w:t>A</w:t>
      </w:r>
      <w:r w:rsidR="007A2B6A">
        <w:rPr>
          <w:rFonts w:ascii="Times New Roman" w:eastAsia="Times New Roman" w:hAnsi="Times New Roman"/>
          <w:sz w:val="24"/>
          <w:szCs w:val="24"/>
        </w:rPr>
        <w:t xml:space="preserve">dds Appendix 2.26.  </w:t>
      </w:r>
    </w:p>
    <w:p w14:paraId="3C5349AB" w14:textId="7A9BE78A" w:rsidR="0014435D" w:rsidRDefault="00B27A29" w:rsidP="00B27A29">
      <w:pPr>
        <w:pStyle w:val="ListParagraph"/>
        <w:widowControl w:val="0"/>
        <w:numPr>
          <w:ilvl w:val="0"/>
          <w:numId w:val="2"/>
        </w:numPr>
        <w:spacing w:after="240" w:line="240" w:lineRule="auto"/>
        <w:ind w:left="0" w:firstLine="900"/>
        <w:contextualSpacing w:val="0"/>
        <w:rPr>
          <w:rFonts w:ascii="Times New Roman" w:eastAsia="Times New Roman" w:hAnsi="Times New Roman"/>
          <w:sz w:val="24"/>
          <w:szCs w:val="24"/>
        </w:rPr>
      </w:pPr>
      <w:r>
        <w:rPr>
          <w:rFonts w:ascii="Times New Roman" w:eastAsia="Times New Roman" w:hAnsi="Times New Roman"/>
          <w:sz w:val="24"/>
          <w:szCs w:val="24"/>
        </w:rPr>
        <w:t xml:space="preserve">  </w:t>
      </w:r>
      <w:r w:rsidR="0014435D">
        <w:rPr>
          <w:rFonts w:ascii="Times New Roman" w:eastAsia="Times New Roman" w:hAnsi="Times New Roman"/>
          <w:sz w:val="24"/>
          <w:szCs w:val="24"/>
        </w:rPr>
        <w:t xml:space="preserve">ADC 1111 dated August 28, 2014.  </w:t>
      </w:r>
      <w:r w:rsidR="009F34F0" w:rsidRPr="009F34F0">
        <w:rPr>
          <w:rFonts w:ascii="Times New Roman" w:eastAsia="Times New Roman" w:hAnsi="Times New Roman"/>
          <w:sz w:val="24"/>
          <w:szCs w:val="24"/>
        </w:rPr>
        <w:t xml:space="preserve">Revises the procedures for intransit control of materiel turned in to DLA Disposition Services and establishes use of DLMS 527R as a new Disposition Services Turn-In Receipt Acknowledgement transaction.  Revises Chapter </w:t>
      </w:r>
      <w:r w:rsidR="009F34F0">
        <w:rPr>
          <w:rFonts w:ascii="Times New Roman" w:eastAsia="Times New Roman" w:hAnsi="Times New Roman"/>
          <w:sz w:val="24"/>
          <w:szCs w:val="24"/>
        </w:rPr>
        <w:t>3.</w:t>
      </w:r>
    </w:p>
    <w:p w14:paraId="77F7CB01" w14:textId="27026E39" w:rsidR="00B27A29" w:rsidRDefault="00B90017" w:rsidP="00B27A29">
      <w:pPr>
        <w:pStyle w:val="ListParagraph"/>
        <w:widowControl w:val="0"/>
        <w:numPr>
          <w:ilvl w:val="0"/>
          <w:numId w:val="2"/>
        </w:numPr>
        <w:spacing w:after="240" w:line="240" w:lineRule="auto"/>
        <w:ind w:left="0" w:firstLine="900"/>
        <w:contextualSpacing w:val="0"/>
        <w:rPr>
          <w:rFonts w:ascii="Times New Roman" w:eastAsia="Times New Roman" w:hAnsi="Times New Roman"/>
          <w:sz w:val="24"/>
          <w:szCs w:val="24"/>
        </w:rPr>
      </w:pPr>
      <w:r>
        <w:rPr>
          <w:rFonts w:ascii="Times New Roman" w:eastAsia="Times New Roman" w:hAnsi="Times New Roman"/>
          <w:sz w:val="24"/>
          <w:szCs w:val="24"/>
        </w:rPr>
        <w:t xml:space="preserve">  </w:t>
      </w:r>
      <w:r w:rsidR="00B27A29">
        <w:rPr>
          <w:rFonts w:ascii="Times New Roman" w:eastAsia="Times New Roman" w:hAnsi="Times New Roman"/>
          <w:sz w:val="24"/>
          <w:szCs w:val="24"/>
        </w:rPr>
        <w:t xml:space="preserve">ADC 1117 dated July 2, 2014.  </w:t>
      </w:r>
      <w:r w:rsidR="00B27A29" w:rsidRPr="00546FF6">
        <w:rPr>
          <w:rFonts w:ascii="Times New Roman" w:eastAsia="Times New Roman" w:hAnsi="Times New Roman"/>
          <w:sz w:val="24"/>
          <w:szCs w:val="24"/>
        </w:rPr>
        <w:t>Improve</w:t>
      </w:r>
      <w:r w:rsidR="00B27A29">
        <w:rPr>
          <w:rFonts w:ascii="Times New Roman" w:eastAsia="Times New Roman" w:hAnsi="Times New Roman"/>
          <w:sz w:val="24"/>
          <w:szCs w:val="24"/>
        </w:rPr>
        <w:t>d</w:t>
      </w:r>
      <w:r w:rsidR="00B27A29" w:rsidRPr="00546FF6">
        <w:rPr>
          <w:rFonts w:ascii="Times New Roman" w:eastAsia="Times New Roman" w:hAnsi="Times New Roman"/>
          <w:sz w:val="24"/>
          <w:szCs w:val="24"/>
        </w:rPr>
        <w:t xml:space="preserve"> and refine</w:t>
      </w:r>
      <w:r w:rsidR="00B27A29">
        <w:rPr>
          <w:rFonts w:ascii="Times New Roman" w:eastAsia="Times New Roman" w:hAnsi="Times New Roman"/>
          <w:sz w:val="24"/>
          <w:szCs w:val="24"/>
        </w:rPr>
        <w:t>d</w:t>
      </w:r>
      <w:r w:rsidR="00B27A29" w:rsidRPr="00546FF6">
        <w:rPr>
          <w:rFonts w:ascii="Times New Roman" w:eastAsia="Times New Roman" w:hAnsi="Times New Roman"/>
          <w:sz w:val="24"/>
          <w:szCs w:val="24"/>
        </w:rPr>
        <w:t xml:space="preserve"> the business rules associated with the type address codes (TAC) used in the DoDAAD and removes TAC 4.</w:t>
      </w:r>
      <w:r w:rsidR="00B27A29">
        <w:rPr>
          <w:rFonts w:ascii="Times New Roman" w:eastAsia="Times New Roman" w:hAnsi="Times New Roman"/>
          <w:sz w:val="24"/>
          <w:szCs w:val="24"/>
        </w:rPr>
        <w:t xml:space="preserve">  Revises Chapters 2 and 3.</w:t>
      </w:r>
    </w:p>
    <w:p w14:paraId="779C48AD" w14:textId="70ED29EB" w:rsidR="00B60EA6" w:rsidRPr="00E54FD3" w:rsidRDefault="00E54FD3" w:rsidP="00E54FD3">
      <w:pPr>
        <w:pStyle w:val="ListParagraph"/>
        <w:widowControl w:val="0"/>
        <w:numPr>
          <w:ilvl w:val="0"/>
          <w:numId w:val="2"/>
        </w:numPr>
        <w:spacing w:after="240" w:line="240" w:lineRule="auto"/>
        <w:ind w:left="0" w:firstLine="900"/>
        <w:contextualSpacing w:val="0"/>
        <w:rPr>
          <w:rFonts w:ascii="Times New Roman" w:eastAsia="Times New Roman" w:hAnsi="Times New Roman"/>
          <w:sz w:val="24"/>
          <w:szCs w:val="24"/>
        </w:rPr>
      </w:pPr>
      <w:r>
        <w:rPr>
          <w:rFonts w:ascii="Times New Roman" w:eastAsia="Times New Roman" w:hAnsi="Times New Roman"/>
          <w:sz w:val="24"/>
          <w:szCs w:val="24"/>
        </w:rPr>
        <w:t xml:space="preserve">  ADC 1142A dated October 21, 2014.  </w:t>
      </w:r>
      <w:r w:rsidRPr="001C25D2">
        <w:rPr>
          <w:rFonts w:ascii="Times New Roman" w:eastAsia="Times New Roman" w:hAnsi="Times New Roman"/>
          <w:sz w:val="24"/>
          <w:szCs w:val="24"/>
        </w:rPr>
        <w:t>Formally withdr</w:t>
      </w:r>
      <w:r>
        <w:rPr>
          <w:rFonts w:ascii="Times New Roman" w:eastAsia="Times New Roman" w:hAnsi="Times New Roman"/>
          <w:sz w:val="24"/>
          <w:szCs w:val="24"/>
        </w:rPr>
        <w:t>ew</w:t>
      </w:r>
      <w:r w:rsidRPr="001C25D2">
        <w:rPr>
          <w:rFonts w:ascii="Times New Roman" w:eastAsia="Times New Roman" w:hAnsi="Times New Roman"/>
          <w:sz w:val="24"/>
          <w:szCs w:val="24"/>
        </w:rPr>
        <w:t xml:space="preserve"> GSA from the Materiel Returns Program (MRP) effective March 1, 2014.</w:t>
      </w:r>
      <w:r>
        <w:rPr>
          <w:rFonts w:ascii="Times New Roman" w:eastAsia="Times New Roman" w:hAnsi="Times New Roman"/>
          <w:sz w:val="24"/>
          <w:szCs w:val="24"/>
        </w:rPr>
        <w:t xml:space="preserve">  Revises Chapters 8, 9, and 10. Revises Appendix 2.16.</w:t>
      </w:r>
    </w:p>
    <w:p w14:paraId="7551A6FB" w14:textId="77777777" w:rsidR="00774233" w:rsidRDefault="007A4606" w:rsidP="000E4DEC">
      <w:pPr>
        <w:spacing w:after="240"/>
        <w:ind w:right="-20"/>
      </w:pPr>
      <w:r>
        <w:t>III. The list below identifies the chapters, appendices or other files from the manual that are replaced by this change:</w:t>
      </w:r>
    </w:p>
    <w:tbl>
      <w:tblPr>
        <w:tblW w:w="0" w:type="auto"/>
        <w:jc w:val="center"/>
        <w:tblCellMar>
          <w:left w:w="0" w:type="dxa"/>
          <w:right w:w="0" w:type="dxa"/>
        </w:tblCellMar>
        <w:tblLook w:val="01E0" w:firstRow="1" w:lastRow="1" w:firstColumn="1" w:lastColumn="1" w:noHBand="0" w:noVBand="0"/>
      </w:tblPr>
      <w:tblGrid>
        <w:gridCol w:w="3150"/>
        <w:gridCol w:w="2613"/>
      </w:tblGrid>
      <w:tr w:rsidR="0064224A" w:rsidRPr="003D312C" w14:paraId="74C79AE9" w14:textId="77777777" w:rsidTr="00E16C18">
        <w:trPr>
          <w:cantSplit/>
          <w:trHeight w:hRule="exact" w:val="460"/>
          <w:tblHeader/>
          <w:jc w:val="center"/>
        </w:trPr>
        <w:tc>
          <w:tcPr>
            <w:tcW w:w="3150" w:type="dxa"/>
          </w:tcPr>
          <w:p w14:paraId="1A27A0C2" w14:textId="3E1740F0" w:rsidR="0064224A" w:rsidRDefault="0064224A" w:rsidP="000E4DEC">
            <w:pPr>
              <w:spacing w:after="80"/>
              <w:ind w:right="-14"/>
              <w:rPr>
                <w:b/>
                <w:bCs/>
                <w:u w:val="single"/>
              </w:rPr>
            </w:pPr>
            <w:r>
              <w:rPr>
                <w:b/>
                <w:bCs/>
                <w:u w:val="single"/>
              </w:rPr>
              <w:t xml:space="preserve">Added or </w:t>
            </w:r>
            <w:r w:rsidRPr="003D312C">
              <w:rPr>
                <w:b/>
                <w:bCs/>
                <w:u w:val="single"/>
              </w:rPr>
              <w:t>Replaced Files</w:t>
            </w:r>
          </w:p>
        </w:tc>
        <w:tc>
          <w:tcPr>
            <w:tcW w:w="2613" w:type="dxa"/>
          </w:tcPr>
          <w:p w14:paraId="55753E44" w14:textId="570E448B" w:rsidR="0064224A" w:rsidRDefault="0064224A" w:rsidP="000E4DEC">
            <w:pPr>
              <w:spacing w:after="80"/>
              <w:ind w:right="-14"/>
              <w:rPr>
                <w:b/>
                <w:bCs/>
                <w:u w:val="single"/>
              </w:rPr>
            </w:pPr>
            <w:r>
              <w:rPr>
                <w:b/>
                <w:bCs/>
                <w:u w:val="single"/>
              </w:rPr>
              <w:t xml:space="preserve">Added or </w:t>
            </w:r>
            <w:r w:rsidRPr="003D312C">
              <w:rPr>
                <w:b/>
                <w:bCs/>
                <w:u w:val="single"/>
              </w:rPr>
              <w:t>Replaced Files</w:t>
            </w:r>
          </w:p>
        </w:tc>
      </w:tr>
      <w:tr w:rsidR="0064224A" w:rsidRPr="000B3DAB" w14:paraId="74C79AEB" w14:textId="77777777" w:rsidTr="00E16C18">
        <w:trPr>
          <w:cantSplit/>
          <w:trHeight w:hRule="exact" w:val="352"/>
          <w:tblHeader/>
          <w:jc w:val="center"/>
        </w:trPr>
        <w:tc>
          <w:tcPr>
            <w:tcW w:w="3150" w:type="dxa"/>
          </w:tcPr>
          <w:p w14:paraId="5A454BDE" w14:textId="410B9E60" w:rsidR="0064224A" w:rsidRPr="000B3DAB" w:rsidRDefault="00066DFC" w:rsidP="0064224A">
            <w:pPr>
              <w:spacing w:before="40" w:after="40"/>
              <w:ind w:right="-14"/>
            </w:pPr>
            <w:r>
              <w:t>Table of Contents</w:t>
            </w:r>
          </w:p>
        </w:tc>
        <w:tc>
          <w:tcPr>
            <w:tcW w:w="2613" w:type="dxa"/>
          </w:tcPr>
          <w:p w14:paraId="4AF4D1F5" w14:textId="41F5E8CC" w:rsidR="0064224A" w:rsidRPr="000B3DAB" w:rsidRDefault="00D976E3" w:rsidP="0064224A">
            <w:pPr>
              <w:spacing w:before="40" w:after="40"/>
              <w:ind w:right="-14"/>
            </w:pPr>
            <w:r>
              <w:t>Appendix 1</w:t>
            </w:r>
            <w:r w:rsidR="00406235">
              <w:t>.1</w:t>
            </w:r>
          </w:p>
        </w:tc>
      </w:tr>
      <w:tr w:rsidR="00066DFC" w:rsidRPr="000B3DAB" w14:paraId="74C79AED" w14:textId="77777777" w:rsidTr="00233848">
        <w:trPr>
          <w:cantSplit/>
          <w:trHeight w:hRule="exact" w:val="387"/>
          <w:tblHeader/>
          <w:jc w:val="center"/>
        </w:trPr>
        <w:tc>
          <w:tcPr>
            <w:tcW w:w="3150" w:type="dxa"/>
          </w:tcPr>
          <w:p w14:paraId="06249EE2" w14:textId="7A845AE5" w:rsidR="00066DFC" w:rsidRPr="00066DFC" w:rsidRDefault="00066DFC" w:rsidP="00066DFC">
            <w:pPr>
              <w:spacing w:before="40" w:after="40"/>
              <w:ind w:right="-14"/>
            </w:pPr>
            <w:r>
              <w:t>Change History Page</w:t>
            </w:r>
          </w:p>
        </w:tc>
        <w:tc>
          <w:tcPr>
            <w:tcW w:w="2613" w:type="dxa"/>
          </w:tcPr>
          <w:p w14:paraId="5E8F5F17" w14:textId="7C03C0C0" w:rsidR="00066DFC" w:rsidRPr="000B3DAB" w:rsidRDefault="00066DFC" w:rsidP="00406235">
            <w:pPr>
              <w:spacing w:before="40" w:after="40"/>
              <w:ind w:right="-14"/>
            </w:pPr>
            <w:r>
              <w:t>Appendix 1.4</w:t>
            </w:r>
          </w:p>
        </w:tc>
      </w:tr>
      <w:tr w:rsidR="00066DFC" w:rsidRPr="000B3DAB" w14:paraId="74C79AEF" w14:textId="77777777" w:rsidTr="00233848">
        <w:trPr>
          <w:cantSplit/>
          <w:trHeight w:hRule="exact" w:val="360"/>
          <w:tblHeader/>
          <w:jc w:val="center"/>
        </w:trPr>
        <w:tc>
          <w:tcPr>
            <w:tcW w:w="3150" w:type="dxa"/>
          </w:tcPr>
          <w:p w14:paraId="55400E90" w14:textId="2C30C18E" w:rsidR="00066DFC" w:rsidRPr="000B3DAB" w:rsidRDefault="00066DFC" w:rsidP="00406235">
            <w:pPr>
              <w:spacing w:before="40" w:after="40"/>
              <w:ind w:right="-14"/>
            </w:pPr>
            <w:r>
              <w:t>Definitions List</w:t>
            </w:r>
          </w:p>
        </w:tc>
        <w:tc>
          <w:tcPr>
            <w:tcW w:w="2613" w:type="dxa"/>
          </w:tcPr>
          <w:p w14:paraId="5395077E" w14:textId="1D7633FC" w:rsidR="00066DFC" w:rsidRPr="000B3DAB" w:rsidRDefault="00066DFC" w:rsidP="00406235">
            <w:pPr>
              <w:spacing w:before="40" w:after="40"/>
              <w:ind w:right="-14"/>
            </w:pPr>
            <w:r>
              <w:t>Appendix 1.35</w:t>
            </w:r>
          </w:p>
        </w:tc>
      </w:tr>
      <w:tr w:rsidR="00066DFC" w:rsidRPr="000B3DAB" w14:paraId="53136A5E" w14:textId="77777777" w:rsidTr="00233848">
        <w:trPr>
          <w:cantSplit/>
          <w:trHeight w:hRule="exact" w:val="351"/>
          <w:tblHeader/>
          <w:jc w:val="center"/>
        </w:trPr>
        <w:tc>
          <w:tcPr>
            <w:tcW w:w="3150" w:type="dxa"/>
          </w:tcPr>
          <w:p w14:paraId="3140A0E9" w14:textId="6814ECA5" w:rsidR="00066DFC" w:rsidRDefault="00066DFC" w:rsidP="00406235">
            <w:pPr>
              <w:spacing w:before="40" w:after="40"/>
              <w:ind w:right="-14"/>
            </w:pPr>
            <w:r>
              <w:t>Acronyms List</w:t>
            </w:r>
          </w:p>
        </w:tc>
        <w:tc>
          <w:tcPr>
            <w:tcW w:w="2613" w:type="dxa"/>
          </w:tcPr>
          <w:p w14:paraId="1769DB6C" w14:textId="1FF9E1DA" w:rsidR="00066DFC" w:rsidRPr="00EB26D0" w:rsidRDefault="00066DFC" w:rsidP="00406235">
            <w:pPr>
              <w:spacing w:before="40" w:after="40"/>
              <w:ind w:right="-14"/>
            </w:pPr>
            <w:r>
              <w:t>Appendix 2.2</w:t>
            </w:r>
          </w:p>
        </w:tc>
      </w:tr>
      <w:tr w:rsidR="00066DFC" w:rsidRPr="000B3DAB" w14:paraId="0F12DF11" w14:textId="77777777" w:rsidTr="00233848">
        <w:trPr>
          <w:cantSplit/>
          <w:trHeight w:hRule="exact" w:val="351"/>
          <w:tblHeader/>
          <w:jc w:val="center"/>
        </w:trPr>
        <w:tc>
          <w:tcPr>
            <w:tcW w:w="3150" w:type="dxa"/>
          </w:tcPr>
          <w:p w14:paraId="1E184987" w14:textId="77777777" w:rsidR="00066DFC" w:rsidRDefault="00066DFC" w:rsidP="00572953">
            <w:pPr>
              <w:spacing w:before="40" w:after="40"/>
              <w:ind w:right="-14"/>
            </w:pPr>
            <w:r>
              <w:t>Chapter 2</w:t>
            </w:r>
          </w:p>
          <w:p w14:paraId="55FC919E" w14:textId="48E9CDA5" w:rsidR="00066DFC" w:rsidRDefault="00066DFC" w:rsidP="00406235">
            <w:pPr>
              <w:spacing w:before="40" w:after="40"/>
              <w:ind w:right="-14"/>
            </w:pPr>
          </w:p>
        </w:tc>
        <w:tc>
          <w:tcPr>
            <w:tcW w:w="2613" w:type="dxa"/>
          </w:tcPr>
          <w:p w14:paraId="556B43BF" w14:textId="1419930A" w:rsidR="00066DFC" w:rsidRDefault="00066DFC" w:rsidP="00406235">
            <w:pPr>
              <w:spacing w:before="40" w:after="40"/>
              <w:ind w:right="-14"/>
            </w:pPr>
            <w:r>
              <w:t>Appendix 2.10</w:t>
            </w:r>
          </w:p>
        </w:tc>
      </w:tr>
      <w:tr w:rsidR="009C7C5F" w:rsidRPr="000B3DAB" w14:paraId="06071C7F" w14:textId="77777777" w:rsidTr="00233848">
        <w:trPr>
          <w:cantSplit/>
          <w:trHeight w:hRule="exact" w:val="351"/>
          <w:tblHeader/>
          <w:jc w:val="center"/>
        </w:trPr>
        <w:tc>
          <w:tcPr>
            <w:tcW w:w="3150" w:type="dxa"/>
          </w:tcPr>
          <w:p w14:paraId="351E371D" w14:textId="24C98CB2" w:rsidR="009C7C5F" w:rsidRDefault="009C7C5F" w:rsidP="00406235">
            <w:pPr>
              <w:spacing w:before="40" w:after="40"/>
              <w:ind w:right="-14"/>
            </w:pPr>
            <w:r>
              <w:t>Chapter 3</w:t>
            </w:r>
          </w:p>
        </w:tc>
        <w:tc>
          <w:tcPr>
            <w:tcW w:w="2613" w:type="dxa"/>
          </w:tcPr>
          <w:p w14:paraId="6335122C" w14:textId="1121FC18" w:rsidR="009C7C5F" w:rsidRDefault="009C7C5F" w:rsidP="00406235">
            <w:pPr>
              <w:spacing w:before="40" w:after="40"/>
              <w:ind w:right="-14"/>
            </w:pPr>
            <w:r>
              <w:t>Appendix 2.14</w:t>
            </w:r>
          </w:p>
        </w:tc>
      </w:tr>
      <w:tr w:rsidR="009C7C5F" w:rsidRPr="000B3DAB" w14:paraId="1D55FEA1" w14:textId="77777777" w:rsidTr="00233848">
        <w:trPr>
          <w:cantSplit/>
          <w:trHeight w:hRule="exact" w:val="351"/>
          <w:tblHeader/>
          <w:jc w:val="center"/>
        </w:trPr>
        <w:tc>
          <w:tcPr>
            <w:tcW w:w="3150" w:type="dxa"/>
          </w:tcPr>
          <w:p w14:paraId="79EE9720" w14:textId="63275B88" w:rsidR="009C7C5F" w:rsidRDefault="009C7C5F" w:rsidP="00406235">
            <w:pPr>
              <w:spacing w:before="40" w:after="40"/>
              <w:ind w:right="-14"/>
            </w:pPr>
            <w:r>
              <w:lastRenderedPageBreak/>
              <w:t>Chapter 4</w:t>
            </w:r>
          </w:p>
        </w:tc>
        <w:tc>
          <w:tcPr>
            <w:tcW w:w="2613" w:type="dxa"/>
          </w:tcPr>
          <w:p w14:paraId="512897D7" w14:textId="5FD0ECCC" w:rsidR="009C7C5F" w:rsidRDefault="009C7C5F" w:rsidP="00406235">
            <w:pPr>
              <w:spacing w:before="40" w:after="40"/>
              <w:ind w:right="-14"/>
            </w:pPr>
            <w:r>
              <w:t>Appendix 2.16</w:t>
            </w:r>
          </w:p>
        </w:tc>
      </w:tr>
      <w:tr w:rsidR="009C7C5F" w:rsidRPr="000B3DAB" w14:paraId="4296F055" w14:textId="77777777" w:rsidTr="00233848">
        <w:trPr>
          <w:cantSplit/>
          <w:trHeight w:hRule="exact" w:val="351"/>
          <w:tblHeader/>
          <w:jc w:val="center"/>
        </w:trPr>
        <w:tc>
          <w:tcPr>
            <w:tcW w:w="3150" w:type="dxa"/>
          </w:tcPr>
          <w:p w14:paraId="0956A95B" w14:textId="77EF6C8F" w:rsidR="009C7C5F" w:rsidRDefault="009C7C5F" w:rsidP="00406235">
            <w:pPr>
              <w:spacing w:before="40" w:after="40"/>
              <w:ind w:right="-14"/>
            </w:pPr>
            <w:r>
              <w:t>Chapter 5</w:t>
            </w:r>
          </w:p>
        </w:tc>
        <w:tc>
          <w:tcPr>
            <w:tcW w:w="2613" w:type="dxa"/>
          </w:tcPr>
          <w:p w14:paraId="5CABB6F6" w14:textId="6D194445" w:rsidR="009C7C5F" w:rsidRDefault="009C7C5F" w:rsidP="00406235">
            <w:pPr>
              <w:spacing w:before="40" w:after="40"/>
              <w:ind w:right="-14"/>
            </w:pPr>
            <w:r>
              <w:t>Appendix 2.18</w:t>
            </w:r>
          </w:p>
        </w:tc>
      </w:tr>
      <w:tr w:rsidR="009C7C5F" w:rsidRPr="000B3DAB" w14:paraId="10958593" w14:textId="77777777" w:rsidTr="00233848">
        <w:trPr>
          <w:cantSplit/>
          <w:trHeight w:hRule="exact" w:val="351"/>
          <w:tblHeader/>
          <w:jc w:val="center"/>
        </w:trPr>
        <w:tc>
          <w:tcPr>
            <w:tcW w:w="3150" w:type="dxa"/>
          </w:tcPr>
          <w:p w14:paraId="45A9A256" w14:textId="3724A954" w:rsidR="009C7C5F" w:rsidRDefault="009C7C5F" w:rsidP="00406235">
            <w:pPr>
              <w:spacing w:before="40" w:after="40"/>
              <w:ind w:right="-14"/>
            </w:pPr>
            <w:r>
              <w:t>Chapter 6</w:t>
            </w:r>
          </w:p>
        </w:tc>
        <w:tc>
          <w:tcPr>
            <w:tcW w:w="2613" w:type="dxa"/>
          </w:tcPr>
          <w:p w14:paraId="17C58BEB" w14:textId="7D5CF610" w:rsidR="009C7C5F" w:rsidRDefault="009C7C5F" w:rsidP="00406235">
            <w:pPr>
              <w:spacing w:before="40" w:after="40"/>
              <w:ind w:right="-14"/>
            </w:pPr>
            <w:r>
              <w:t>Appendix 2.26</w:t>
            </w:r>
          </w:p>
        </w:tc>
      </w:tr>
      <w:tr w:rsidR="009C7C5F" w:rsidRPr="000B3DAB" w14:paraId="04490594" w14:textId="77777777" w:rsidTr="00233848">
        <w:trPr>
          <w:cantSplit/>
          <w:trHeight w:hRule="exact" w:val="360"/>
          <w:tblHeader/>
          <w:jc w:val="center"/>
        </w:trPr>
        <w:tc>
          <w:tcPr>
            <w:tcW w:w="3150" w:type="dxa"/>
          </w:tcPr>
          <w:p w14:paraId="6C11D9DB" w14:textId="1480CD44" w:rsidR="009C7C5F" w:rsidRDefault="009C7C5F" w:rsidP="00A9413E">
            <w:pPr>
              <w:spacing w:before="40" w:after="40"/>
              <w:ind w:right="-14"/>
            </w:pPr>
            <w:r>
              <w:t>Chapter 8</w:t>
            </w:r>
          </w:p>
        </w:tc>
        <w:tc>
          <w:tcPr>
            <w:tcW w:w="2613" w:type="dxa"/>
          </w:tcPr>
          <w:p w14:paraId="1DE84947" w14:textId="5732D374" w:rsidR="009C7C5F" w:rsidRDefault="009C7C5F" w:rsidP="00406235">
            <w:pPr>
              <w:spacing w:before="40" w:after="40"/>
              <w:ind w:right="-14"/>
            </w:pPr>
            <w:r>
              <w:t>Appendix 3.30</w:t>
            </w:r>
          </w:p>
        </w:tc>
      </w:tr>
      <w:tr w:rsidR="009C7C5F" w:rsidRPr="000B3DAB" w14:paraId="7730494A" w14:textId="77777777" w:rsidTr="00066DFC">
        <w:trPr>
          <w:cantSplit/>
          <w:trHeight w:hRule="exact" w:val="333"/>
          <w:tblHeader/>
          <w:jc w:val="center"/>
        </w:trPr>
        <w:tc>
          <w:tcPr>
            <w:tcW w:w="3150" w:type="dxa"/>
          </w:tcPr>
          <w:p w14:paraId="0F089568" w14:textId="2C4F63B3" w:rsidR="009C7C5F" w:rsidRDefault="009C7C5F" w:rsidP="00A9413E">
            <w:pPr>
              <w:spacing w:before="40" w:after="40"/>
              <w:ind w:right="-14"/>
            </w:pPr>
            <w:r>
              <w:t>Chapter 9</w:t>
            </w:r>
          </w:p>
        </w:tc>
        <w:tc>
          <w:tcPr>
            <w:tcW w:w="2613" w:type="dxa"/>
          </w:tcPr>
          <w:p w14:paraId="57587293" w14:textId="5D3F561A" w:rsidR="009C7C5F" w:rsidRDefault="009C7C5F" w:rsidP="009C7C5F">
            <w:pPr>
              <w:spacing w:before="40" w:after="40"/>
              <w:ind w:right="-14"/>
            </w:pPr>
            <w:r>
              <w:t>Appendix 3.31</w:t>
            </w:r>
          </w:p>
        </w:tc>
      </w:tr>
      <w:tr w:rsidR="009C7C5F" w:rsidRPr="000B3DAB" w14:paraId="29397E83" w14:textId="77777777" w:rsidTr="00E16C18">
        <w:trPr>
          <w:cantSplit/>
          <w:trHeight w:hRule="exact" w:val="406"/>
          <w:tblHeader/>
          <w:jc w:val="center"/>
        </w:trPr>
        <w:tc>
          <w:tcPr>
            <w:tcW w:w="3150" w:type="dxa"/>
          </w:tcPr>
          <w:p w14:paraId="781529C0" w14:textId="7CB09421" w:rsidR="009C7C5F" w:rsidRDefault="009C7C5F" w:rsidP="00A9413E">
            <w:pPr>
              <w:spacing w:before="40" w:after="40"/>
              <w:ind w:right="-14"/>
            </w:pPr>
            <w:r>
              <w:t>Chapter 10</w:t>
            </w:r>
          </w:p>
        </w:tc>
        <w:tc>
          <w:tcPr>
            <w:tcW w:w="2613" w:type="dxa"/>
          </w:tcPr>
          <w:p w14:paraId="5EEF9BD1" w14:textId="5A519282" w:rsidR="009C7C5F" w:rsidRDefault="009C7C5F" w:rsidP="00406235">
            <w:pPr>
              <w:spacing w:before="40" w:after="40"/>
              <w:ind w:right="-14"/>
            </w:pPr>
            <w:r>
              <w:t>Appendix 3.32</w:t>
            </w:r>
          </w:p>
        </w:tc>
      </w:tr>
      <w:tr w:rsidR="009C7C5F" w:rsidRPr="000B3DAB" w14:paraId="16EB9DC8" w14:textId="77777777" w:rsidTr="00E16C18">
        <w:trPr>
          <w:cantSplit/>
          <w:trHeight w:hRule="exact" w:val="406"/>
          <w:tblHeader/>
          <w:jc w:val="center"/>
        </w:trPr>
        <w:tc>
          <w:tcPr>
            <w:tcW w:w="3150" w:type="dxa"/>
          </w:tcPr>
          <w:p w14:paraId="10A96B92" w14:textId="487ADB02" w:rsidR="009C7C5F" w:rsidRDefault="009C7C5F" w:rsidP="00A9413E">
            <w:pPr>
              <w:spacing w:before="40" w:after="40"/>
              <w:ind w:right="-14"/>
            </w:pPr>
          </w:p>
        </w:tc>
        <w:tc>
          <w:tcPr>
            <w:tcW w:w="2613" w:type="dxa"/>
          </w:tcPr>
          <w:p w14:paraId="4E90752A" w14:textId="066E795F" w:rsidR="009C7C5F" w:rsidRDefault="009C7C5F" w:rsidP="00406235">
            <w:pPr>
              <w:spacing w:before="40" w:after="40"/>
              <w:ind w:right="-14"/>
            </w:pPr>
            <w:r>
              <w:t>Appendix 3.48</w:t>
            </w:r>
          </w:p>
        </w:tc>
      </w:tr>
    </w:tbl>
    <w:p w14:paraId="240D0E38" w14:textId="3B1DE5AD" w:rsidR="008E0083" w:rsidRDefault="008E0083" w:rsidP="008E0083">
      <w:pPr>
        <w:keepNext/>
        <w:keepLines/>
        <w:spacing w:before="240" w:after="240"/>
        <w:ind w:right="-14"/>
      </w:pPr>
      <w:r w:rsidRPr="000F503D">
        <w:rPr>
          <w:color w:val="000000" w:themeColor="text1"/>
        </w:rPr>
        <w:t xml:space="preserve">IV. </w:t>
      </w:r>
      <w:r w:rsidR="00D30C19" w:rsidRPr="000F503D">
        <w:rPr>
          <w:color w:val="000000" w:themeColor="text1"/>
        </w:rPr>
        <w:t xml:space="preserve">This change is incorporated into the on-line </w:t>
      </w:r>
      <w:r w:rsidR="00D30C19">
        <w:rPr>
          <w:color w:val="000000" w:themeColor="text1"/>
        </w:rPr>
        <w:t>MILSTRIP</w:t>
      </w:r>
      <w:r w:rsidR="00D30C19" w:rsidRPr="000F503D">
        <w:rPr>
          <w:color w:val="000000" w:themeColor="text1"/>
        </w:rPr>
        <w:t xml:space="preserve"> manual at the Defense Logistics Managements Standards Website </w:t>
      </w:r>
      <w:r w:rsidR="00D30C19">
        <w:t>Publications Page</w:t>
      </w:r>
      <w:r w:rsidR="00D30C19">
        <w:rPr>
          <w:color w:val="000000" w:themeColor="text1"/>
        </w:rPr>
        <w:t xml:space="preserve"> </w:t>
      </w:r>
      <w:r w:rsidR="00D30C19" w:rsidRPr="000F503D">
        <w:rPr>
          <w:color w:val="000000" w:themeColor="text1"/>
        </w:rPr>
        <w:t xml:space="preserve">and the PDF file containing the entire set of change files is available </w:t>
      </w:r>
      <w:r w:rsidR="00D30C19">
        <w:rPr>
          <w:color w:val="000000" w:themeColor="text1"/>
        </w:rPr>
        <w:t>on the Formal Changes Page.</w:t>
      </w:r>
      <w:bookmarkStart w:id="0" w:name="_GoBack"/>
      <w:bookmarkEnd w:id="0"/>
    </w:p>
    <w:p w14:paraId="74C79AFB" w14:textId="07B6A4E6" w:rsidR="00EA1F41" w:rsidRPr="006F6A11" w:rsidRDefault="00EA1F41" w:rsidP="00EA1F41"/>
    <w:p w14:paraId="74C79AFC" w14:textId="216D438E" w:rsidR="00EA1F41" w:rsidRPr="006F6A11" w:rsidRDefault="00EA1F41" w:rsidP="00EA1F41"/>
    <w:p w14:paraId="74C79AFD" w14:textId="77777777" w:rsidR="00EA1F41" w:rsidRPr="006F6A11" w:rsidRDefault="00EA1F41" w:rsidP="00EA1F41"/>
    <w:p w14:paraId="74C79AFE" w14:textId="1DC59F91" w:rsidR="00EA1F41" w:rsidRPr="006F6A11" w:rsidRDefault="002461BA" w:rsidP="002461BA">
      <w:pPr>
        <w:ind w:left="4320" w:firstLine="720"/>
      </w:pPr>
      <w:r>
        <w:rPr>
          <w:noProof/>
        </w:rPr>
        <w:drawing>
          <wp:inline distT="0" distB="0" distL="0" distR="0" wp14:anchorId="41874409" wp14:editId="7D49D63F">
            <wp:extent cx="2317897" cy="1005511"/>
            <wp:effectExtent l="0" t="0" r="635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322995" cy="1007723"/>
                    </a:xfrm>
                    <a:prstGeom prst="rect">
                      <a:avLst/>
                    </a:prstGeom>
                  </pic:spPr>
                </pic:pic>
              </a:graphicData>
            </a:graphic>
          </wp:inline>
        </w:drawing>
      </w:r>
    </w:p>
    <w:p w14:paraId="74C79B01" w14:textId="643ABC19" w:rsidR="009B2F79" w:rsidRPr="006F6A11" w:rsidRDefault="00EA1F41" w:rsidP="002461BA">
      <w:pPr>
        <w:tabs>
          <w:tab w:val="left" w:pos="4320"/>
        </w:tabs>
      </w:pPr>
      <w:r w:rsidRPr="006F6A11">
        <w:tab/>
      </w:r>
    </w:p>
    <w:sectPr w:rsidR="009B2F79" w:rsidRPr="006F6A11" w:rsidSect="00652930">
      <w:pgSz w:w="12240" w:h="15840"/>
      <w:pgMar w:top="108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900F5" w14:textId="77777777" w:rsidR="00425D66" w:rsidRDefault="00425D66">
      <w:r>
        <w:separator/>
      </w:r>
    </w:p>
  </w:endnote>
  <w:endnote w:type="continuationSeparator" w:id="0">
    <w:p w14:paraId="219C1797" w14:textId="77777777" w:rsidR="00425D66" w:rsidRDefault="0042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2E4FF" w14:textId="77777777" w:rsidR="00425D66" w:rsidRDefault="00425D66">
      <w:r>
        <w:separator/>
      </w:r>
    </w:p>
  </w:footnote>
  <w:footnote w:type="continuationSeparator" w:id="0">
    <w:p w14:paraId="5A0FE09E" w14:textId="77777777" w:rsidR="00425D66" w:rsidRDefault="00425D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247F1"/>
    <w:multiLevelType w:val="hybridMultilevel"/>
    <w:tmpl w:val="2CC247F1"/>
    <w:lvl w:ilvl="0" w:tplc="FFFFFFFF">
      <w:start w:val="1"/>
      <w:numFmt w:val="bullet"/>
      <w:lvlText w:val="l"/>
      <w:lvlJc w:val="left"/>
      <w:pPr>
        <w:tabs>
          <w:tab w:val="num" w:pos="360"/>
        </w:tabs>
        <w:ind w:left="360" w:hanging="360"/>
      </w:pPr>
      <w:rPr>
        <w:rFonts w:ascii="Wingdings" w:eastAsia="Wingdings" w:hAnsi="Wingdings" w:cs="Wingdings"/>
        <w:color w:val="000000"/>
        <w:sz w:val="16"/>
      </w:rPr>
    </w:lvl>
    <w:lvl w:ilvl="1" w:tplc="FFFFFFFF">
      <w:start w:val="1"/>
      <w:numFmt w:val="bullet"/>
      <w:lvlText w:val="¡"/>
      <w:lvlJc w:val="left"/>
      <w:pPr>
        <w:tabs>
          <w:tab w:val="num" w:pos="720"/>
        </w:tabs>
        <w:ind w:left="720" w:hanging="360"/>
      </w:pPr>
      <w:rPr>
        <w:rFonts w:ascii="Wingdings" w:eastAsia="Wingdings" w:hAnsi="Wingdings" w:cs="Wingdings"/>
        <w:color w:val="000000"/>
        <w:sz w:val="16"/>
      </w:rPr>
    </w:lvl>
    <w:lvl w:ilvl="2" w:tplc="FFFFFFFF">
      <w:start w:val="1"/>
      <w:numFmt w:val="bullet"/>
      <w:lvlText w:val="¡"/>
      <w:lvlJc w:val="left"/>
      <w:pPr>
        <w:tabs>
          <w:tab w:val="num" w:pos="1080"/>
        </w:tabs>
        <w:ind w:left="1080" w:hanging="360"/>
      </w:pPr>
      <w:rPr>
        <w:rFonts w:ascii="Wingdings" w:eastAsia="Wingdings" w:hAnsi="Wingdings" w:cs="Wingdings"/>
        <w:color w:val="000000"/>
        <w:sz w:val="16"/>
      </w:rPr>
    </w:lvl>
    <w:lvl w:ilvl="3" w:tplc="FFFFFFFF">
      <w:start w:val="1"/>
      <w:numFmt w:val="bullet"/>
      <w:lvlText w:val="¡"/>
      <w:lvlJc w:val="left"/>
      <w:pPr>
        <w:tabs>
          <w:tab w:val="num" w:pos="1440"/>
        </w:tabs>
        <w:ind w:left="1440" w:hanging="360"/>
      </w:pPr>
      <w:rPr>
        <w:rFonts w:ascii="Wingdings" w:eastAsia="Wingdings" w:hAnsi="Wingdings" w:cs="Wingdings"/>
        <w:color w:val="000000"/>
        <w:sz w:val="16"/>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50B75569"/>
    <w:multiLevelType w:val="hybridMultilevel"/>
    <w:tmpl w:val="1248C7DA"/>
    <w:lvl w:ilvl="0" w:tplc="F2F42124">
      <w:start w:val="1"/>
      <w:numFmt w:val="upperLetter"/>
      <w:suff w:val="nothing"/>
      <w:lvlText w:val="%1."/>
      <w:lvlJc w:val="left"/>
      <w:pPr>
        <w:ind w:left="996" w:hanging="96"/>
      </w:pPr>
    </w:lvl>
    <w:lvl w:ilvl="1" w:tplc="04090019">
      <w:start w:val="1"/>
      <w:numFmt w:val="lowerLetter"/>
      <w:lvlText w:val="%2."/>
      <w:lvlJc w:val="left"/>
      <w:pPr>
        <w:ind w:left="1920" w:hanging="360"/>
      </w:pPr>
    </w:lvl>
    <w:lvl w:ilvl="2" w:tplc="0409001B">
      <w:start w:val="1"/>
      <w:numFmt w:val="lowerRoman"/>
      <w:lvlText w:val="%3."/>
      <w:lvlJc w:val="right"/>
      <w:pPr>
        <w:ind w:left="2640" w:hanging="180"/>
      </w:pPr>
    </w:lvl>
    <w:lvl w:ilvl="3" w:tplc="0409000F">
      <w:start w:val="1"/>
      <w:numFmt w:val="decimal"/>
      <w:lvlText w:val="%4."/>
      <w:lvlJc w:val="left"/>
      <w:pPr>
        <w:ind w:left="3360" w:hanging="360"/>
      </w:pPr>
    </w:lvl>
    <w:lvl w:ilvl="4" w:tplc="04090019">
      <w:start w:val="1"/>
      <w:numFmt w:val="lowerLetter"/>
      <w:lvlText w:val="%5."/>
      <w:lvlJc w:val="left"/>
      <w:pPr>
        <w:ind w:left="4080" w:hanging="360"/>
      </w:pPr>
    </w:lvl>
    <w:lvl w:ilvl="5" w:tplc="0409001B">
      <w:start w:val="1"/>
      <w:numFmt w:val="lowerRoman"/>
      <w:lvlText w:val="%6."/>
      <w:lvlJc w:val="right"/>
      <w:pPr>
        <w:ind w:left="4800" w:hanging="180"/>
      </w:pPr>
    </w:lvl>
    <w:lvl w:ilvl="6" w:tplc="0409000F">
      <w:start w:val="1"/>
      <w:numFmt w:val="decimal"/>
      <w:lvlText w:val="%7."/>
      <w:lvlJc w:val="left"/>
      <w:pPr>
        <w:ind w:left="5520" w:hanging="360"/>
      </w:pPr>
    </w:lvl>
    <w:lvl w:ilvl="7" w:tplc="04090019">
      <w:start w:val="1"/>
      <w:numFmt w:val="lowerLetter"/>
      <w:lvlText w:val="%8."/>
      <w:lvlJc w:val="left"/>
      <w:pPr>
        <w:ind w:left="6240" w:hanging="360"/>
      </w:pPr>
    </w:lvl>
    <w:lvl w:ilvl="8" w:tplc="0409001B">
      <w:start w:val="1"/>
      <w:numFmt w:val="lowerRoman"/>
      <w:lvlText w:val="%9."/>
      <w:lvlJc w:val="right"/>
      <w:pPr>
        <w:ind w:left="6960" w:hanging="180"/>
      </w:p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CE6"/>
    <w:rsid w:val="000010FB"/>
    <w:rsid w:val="00006915"/>
    <w:rsid w:val="00007A72"/>
    <w:rsid w:val="0003425D"/>
    <w:rsid w:val="00055220"/>
    <w:rsid w:val="00066DFC"/>
    <w:rsid w:val="00075C36"/>
    <w:rsid w:val="0008687E"/>
    <w:rsid w:val="000D54E6"/>
    <w:rsid w:val="000D57ED"/>
    <w:rsid w:val="000E4A8A"/>
    <w:rsid w:val="000E4DEC"/>
    <w:rsid w:val="000F7226"/>
    <w:rsid w:val="00114FDC"/>
    <w:rsid w:val="001172F9"/>
    <w:rsid w:val="0014435D"/>
    <w:rsid w:val="00157A37"/>
    <w:rsid w:val="001635D5"/>
    <w:rsid w:val="00173CBE"/>
    <w:rsid w:val="001822BB"/>
    <w:rsid w:val="00185B61"/>
    <w:rsid w:val="00195DCE"/>
    <w:rsid w:val="001D1B5B"/>
    <w:rsid w:val="001D1F76"/>
    <w:rsid w:val="001E7833"/>
    <w:rsid w:val="00200C0D"/>
    <w:rsid w:val="0020664E"/>
    <w:rsid w:val="00216D67"/>
    <w:rsid w:val="00224163"/>
    <w:rsid w:val="00225084"/>
    <w:rsid w:val="00233848"/>
    <w:rsid w:val="0024568C"/>
    <w:rsid w:val="002461BA"/>
    <w:rsid w:val="00250389"/>
    <w:rsid w:val="00270D91"/>
    <w:rsid w:val="0028500E"/>
    <w:rsid w:val="00286745"/>
    <w:rsid w:val="002974D3"/>
    <w:rsid w:val="002B409A"/>
    <w:rsid w:val="002C06C0"/>
    <w:rsid w:val="002F2311"/>
    <w:rsid w:val="002F6167"/>
    <w:rsid w:val="00312A29"/>
    <w:rsid w:val="00327A0E"/>
    <w:rsid w:val="00333B11"/>
    <w:rsid w:val="003733A0"/>
    <w:rsid w:val="003A7968"/>
    <w:rsid w:val="003B5012"/>
    <w:rsid w:val="003B6219"/>
    <w:rsid w:val="003F6A18"/>
    <w:rsid w:val="00406235"/>
    <w:rsid w:val="00414BF9"/>
    <w:rsid w:val="00425D66"/>
    <w:rsid w:val="004355D6"/>
    <w:rsid w:val="0045038D"/>
    <w:rsid w:val="00475EED"/>
    <w:rsid w:val="004B127B"/>
    <w:rsid w:val="004B40C9"/>
    <w:rsid w:val="004B7A24"/>
    <w:rsid w:val="004D1BA3"/>
    <w:rsid w:val="004E0145"/>
    <w:rsid w:val="004E1FFF"/>
    <w:rsid w:val="004E722F"/>
    <w:rsid w:val="005001FC"/>
    <w:rsid w:val="005014F0"/>
    <w:rsid w:val="00532718"/>
    <w:rsid w:val="00573575"/>
    <w:rsid w:val="00577ADD"/>
    <w:rsid w:val="00582092"/>
    <w:rsid w:val="00591666"/>
    <w:rsid w:val="005B055D"/>
    <w:rsid w:val="005C3464"/>
    <w:rsid w:val="005C3F7B"/>
    <w:rsid w:val="005C7F0D"/>
    <w:rsid w:val="005F3EDB"/>
    <w:rsid w:val="005F402A"/>
    <w:rsid w:val="006020BD"/>
    <w:rsid w:val="00607DF4"/>
    <w:rsid w:val="006141D7"/>
    <w:rsid w:val="006153D6"/>
    <w:rsid w:val="00616A4E"/>
    <w:rsid w:val="006220B5"/>
    <w:rsid w:val="0062781F"/>
    <w:rsid w:val="00632580"/>
    <w:rsid w:val="0064224A"/>
    <w:rsid w:val="00647078"/>
    <w:rsid w:val="00652930"/>
    <w:rsid w:val="0065298B"/>
    <w:rsid w:val="00681ADB"/>
    <w:rsid w:val="006B57E1"/>
    <w:rsid w:val="006D6E9F"/>
    <w:rsid w:val="006F6A11"/>
    <w:rsid w:val="006F7EB4"/>
    <w:rsid w:val="00704EFA"/>
    <w:rsid w:val="00711BF3"/>
    <w:rsid w:val="0071368F"/>
    <w:rsid w:val="007138DE"/>
    <w:rsid w:val="00725965"/>
    <w:rsid w:val="00726F50"/>
    <w:rsid w:val="0073569F"/>
    <w:rsid w:val="007526DF"/>
    <w:rsid w:val="00774233"/>
    <w:rsid w:val="007939FE"/>
    <w:rsid w:val="007A2B6A"/>
    <w:rsid w:val="007A4606"/>
    <w:rsid w:val="007B013C"/>
    <w:rsid w:val="007C0D5C"/>
    <w:rsid w:val="007C183D"/>
    <w:rsid w:val="007C3AD4"/>
    <w:rsid w:val="007C596E"/>
    <w:rsid w:val="007C757B"/>
    <w:rsid w:val="007D6F7B"/>
    <w:rsid w:val="00816CBA"/>
    <w:rsid w:val="00853ABE"/>
    <w:rsid w:val="00882C3B"/>
    <w:rsid w:val="00886B65"/>
    <w:rsid w:val="00895627"/>
    <w:rsid w:val="008A063C"/>
    <w:rsid w:val="008A081F"/>
    <w:rsid w:val="008A61A9"/>
    <w:rsid w:val="008B0D9E"/>
    <w:rsid w:val="008C4AE8"/>
    <w:rsid w:val="008C4D6E"/>
    <w:rsid w:val="008C7032"/>
    <w:rsid w:val="008E0083"/>
    <w:rsid w:val="008F1FEE"/>
    <w:rsid w:val="008F6370"/>
    <w:rsid w:val="008F76AB"/>
    <w:rsid w:val="008F7D41"/>
    <w:rsid w:val="0090384D"/>
    <w:rsid w:val="00907C2B"/>
    <w:rsid w:val="00916525"/>
    <w:rsid w:val="009217DD"/>
    <w:rsid w:val="0093326E"/>
    <w:rsid w:val="009650E9"/>
    <w:rsid w:val="00980E9A"/>
    <w:rsid w:val="009A79AC"/>
    <w:rsid w:val="009B2F79"/>
    <w:rsid w:val="009C7C5F"/>
    <w:rsid w:val="009D0BD1"/>
    <w:rsid w:val="009D6800"/>
    <w:rsid w:val="009E3A69"/>
    <w:rsid w:val="009E65AE"/>
    <w:rsid w:val="009F0E6A"/>
    <w:rsid w:val="009F33CE"/>
    <w:rsid w:val="009F34F0"/>
    <w:rsid w:val="00A16588"/>
    <w:rsid w:val="00A27E33"/>
    <w:rsid w:val="00A30AA8"/>
    <w:rsid w:val="00A43CDA"/>
    <w:rsid w:val="00A461E1"/>
    <w:rsid w:val="00A9413E"/>
    <w:rsid w:val="00AB05D4"/>
    <w:rsid w:val="00AB2197"/>
    <w:rsid w:val="00AB4CA6"/>
    <w:rsid w:val="00AB5EFF"/>
    <w:rsid w:val="00AC5DD9"/>
    <w:rsid w:val="00AC7395"/>
    <w:rsid w:val="00AE33F6"/>
    <w:rsid w:val="00AE47D2"/>
    <w:rsid w:val="00B00831"/>
    <w:rsid w:val="00B04F88"/>
    <w:rsid w:val="00B14755"/>
    <w:rsid w:val="00B23455"/>
    <w:rsid w:val="00B27A29"/>
    <w:rsid w:val="00B50BF8"/>
    <w:rsid w:val="00B5769B"/>
    <w:rsid w:val="00B60EA6"/>
    <w:rsid w:val="00B611BA"/>
    <w:rsid w:val="00B70D19"/>
    <w:rsid w:val="00B75306"/>
    <w:rsid w:val="00B90017"/>
    <w:rsid w:val="00BB3A7A"/>
    <w:rsid w:val="00C158D2"/>
    <w:rsid w:val="00C31A62"/>
    <w:rsid w:val="00C45A9D"/>
    <w:rsid w:val="00C5216E"/>
    <w:rsid w:val="00C52C64"/>
    <w:rsid w:val="00C81537"/>
    <w:rsid w:val="00C83CE6"/>
    <w:rsid w:val="00CB2D13"/>
    <w:rsid w:val="00CD4A75"/>
    <w:rsid w:val="00CD7058"/>
    <w:rsid w:val="00CE752A"/>
    <w:rsid w:val="00D12E60"/>
    <w:rsid w:val="00D141E2"/>
    <w:rsid w:val="00D2265D"/>
    <w:rsid w:val="00D250E4"/>
    <w:rsid w:val="00D253F6"/>
    <w:rsid w:val="00D30C19"/>
    <w:rsid w:val="00D3484C"/>
    <w:rsid w:val="00D4001F"/>
    <w:rsid w:val="00D529F1"/>
    <w:rsid w:val="00D578AA"/>
    <w:rsid w:val="00D57E50"/>
    <w:rsid w:val="00D628AC"/>
    <w:rsid w:val="00D76590"/>
    <w:rsid w:val="00D868E7"/>
    <w:rsid w:val="00D976E3"/>
    <w:rsid w:val="00D97980"/>
    <w:rsid w:val="00DA0CBC"/>
    <w:rsid w:val="00DA0EAF"/>
    <w:rsid w:val="00DE6111"/>
    <w:rsid w:val="00E10876"/>
    <w:rsid w:val="00E16C18"/>
    <w:rsid w:val="00E351E2"/>
    <w:rsid w:val="00E36A94"/>
    <w:rsid w:val="00E4322F"/>
    <w:rsid w:val="00E45A3D"/>
    <w:rsid w:val="00E54FD3"/>
    <w:rsid w:val="00E6655F"/>
    <w:rsid w:val="00E839DC"/>
    <w:rsid w:val="00E8490B"/>
    <w:rsid w:val="00EA1F41"/>
    <w:rsid w:val="00EB2518"/>
    <w:rsid w:val="00EB26D0"/>
    <w:rsid w:val="00EC39C3"/>
    <w:rsid w:val="00ED2267"/>
    <w:rsid w:val="00F31163"/>
    <w:rsid w:val="00F3781D"/>
    <w:rsid w:val="00F4319F"/>
    <w:rsid w:val="00F609BE"/>
    <w:rsid w:val="00F7046F"/>
    <w:rsid w:val="00F719AB"/>
    <w:rsid w:val="00F742FA"/>
    <w:rsid w:val="00FA2C64"/>
    <w:rsid w:val="00FE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4C79ACE"/>
  <w15:docId w15:val="{AF1B8478-33D2-4244-AEB8-F4B347F73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C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3CE6"/>
    <w:pPr>
      <w:tabs>
        <w:tab w:val="center" w:pos="4320"/>
        <w:tab w:val="right" w:pos="8640"/>
      </w:tabs>
    </w:pPr>
  </w:style>
  <w:style w:type="paragraph" w:styleId="Footer">
    <w:name w:val="footer"/>
    <w:basedOn w:val="Normal"/>
    <w:link w:val="FooterChar"/>
    <w:rsid w:val="00C83CE6"/>
    <w:pPr>
      <w:tabs>
        <w:tab w:val="center" w:pos="4320"/>
        <w:tab w:val="right" w:pos="8640"/>
      </w:tabs>
    </w:pPr>
  </w:style>
  <w:style w:type="character" w:styleId="Hyperlink">
    <w:name w:val="Hyperlink"/>
    <w:uiPriority w:val="99"/>
    <w:unhideWhenUsed/>
    <w:rsid w:val="007A4606"/>
    <w:rPr>
      <w:color w:val="0000FF"/>
      <w:u w:val="single"/>
    </w:rPr>
  </w:style>
  <w:style w:type="paragraph" w:styleId="ListParagraph">
    <w:name w:val="List Paragraph"/>
    <w:basedOn w:val="Normal"/>
    <w:uiPriority w:val="34"/>
    <w:qFormat/>
    <w:rsid w:val="007A4606"/>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647078"/>
    <w:rPr>
      <w:rFonts w:ascii="Tahoma" w:hAnsi="Tahoma" w:cs="Tahoma"/>
      <w:sz w:val="16"/>
      <w:szCs w:val="16"/>
    </w:rPr>
  </w:style>
  <w:style w:type="character" w:customStyle="1" w:styleId="BalloonTextChar">
    <w:name w:val="Balloon Text Char"/>
    <w:link w:val="BalloonText"/>
    <w:rsid w:val="00647078"/>
    <w:rPr>
      <w:rFonts w:ascii="Tahoma" w:hAnsi="Tahoma" w:cs="Tahoma"/>
      <w:sz w:val="16"/>
      <w:szCs w:val="16"/>
    </w:rPr>
  </w:style>
  <w:style w:type="character" w:styleId="CommentReference">
    <w:name w:val="annotation reference"/>
    <w:basedOn w:val="DefaultParagraphFont"/>
    <w:rsid w:val="00250389"/>
    <w:rPr>
      <w:sz w:val="16"/>
      <w:szCs w:val="16"/>
    </w:rPr>
  </w:style>
  <w:style w:type="paragraph" w:styleId="CommentText">
    <w:name w:val="annotation text"/>
    <w:basedOn w:val="Normal"/>
    <w:link w:val="CommentTextChar"/>
    <w:rsid w:val="00250389"/>
    <w:rPr>
      <w:sz w:val="20"/>
      <w:szCs w:val="20"/>
    </w:rPr>
  </w:style>
  <w:style w:type="character" w:customStyle="1" w:styleId="CommentTextChar">
    <w:name w:val="Comment Text Char"/>
    <w:basedOn w:val="DefaultParagraphFont"/>
    <w:link w:val="CommentText"/>
    <w:rsid w:val="00250389"/>
  </w:style>
  <w:style w:type="paragraph" w:styleId="CommentSubject">
    <w:name w:val="annotation subject"/>
    <w:basedOn w:val="CommentText"/>
    <w:next w:val="CommentText"/>
    <w:link w:val="CommentSubjectChar"/>
    <w:rsid w:val="00250389"/>
    <w:rPr>
      <w:b/>
      <w:bCs/>
    </w:rPr>
  </w:style>
  <w:style w:type="character" w:customStyle="1" w:styleId="CommentSubjectChar">
    <w:name w:val="Comment Subject Char"/>
    <w:basedOn w:val="CommentTextChar"/>
    <w:link w:val="CommentSubject"/>
    <w:rsid w:val="00250389"/>
    <w:rPr>
      <w:b/>
      <w:bCs/>
    </w:rPr>
  </w:style>
  <w:style w:type="character" w:styleId="FollowedHyperlink">
    <w:name w:val="FollowedHyperlink"/>
    <w:basedOn w:val="DefaultParagraphFont"/>
    <w:rsid w:val="00FA2C64"/>
    <w:rPr>
      <w:color w:val="800080" w:themeColor="followedHyperlink"/>
      <w:u w:val="single"/>
    </w:rPr>
  </w:style>
  <w:style w:type="character" w:customStyle="1" w:styleId="FooterChar">
    <w:name w:val="Footer Char"/>
    <w:basedOn w:val="DefaultParagraphFont"/>
    <w:link w:val="Footer"/>
    <w:rsid w:val="003733A0"/>
    <w:rPr>
      <w:sz w:val="24"/>
      <w:szCs w:val="24"/>
    </w:rPr>
  </w:style>
  <w:style w:type="character" w:styleId="HTMLAcronym">
    <w:name w:val="HTML Acronym"/>
    <w:basedOn w:val="DefaultParagraphFont"/>
    <w:uiPriority w:val="99"/>
    <w:unhideWhenUsed/>
    <w:rsid w:val="009D0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089037">
      <w:bodyDiv w:val="1"/>
      <w:marLeft w:val="0"/>
      <w:marRight w:val="0"/>
      <w:marTop w:val="0"/>
      <w:marBottom w:val="0"/>
      <w:divBdr>
        <w:top w:val="none" w:sz="0" w:space="0" w:color="auto"/>
        <w:left w:val="none" w:sz="0" w:space="0" w:color="auto"/>
        <w:bottom w:val="none" w:sz="0" w:space="0" w:color="auto"/>
        <w:right w:val="none" w:sz="0" w:space="0" w:color="auto"/>
      </w:divBdr>
    </w:div>
    <w:div w:id="667175988">
      <w:bodyDiv w:val="1"/>
      <w:marLeft w:val="0"/>
      <w:marRight w:val="0"/>
      <w:marTop w:val="0"/>
      <w:marBottom w:val="0"/>
      <w:divBdr>
        <w:top w:val="none" w:sz="0" w:space="0" w:color="auto"/>
        <w:left w:val="none" w:sz="0" w:space="0" w:color="auto"/>
        <w:bottom w:val="none" w:sz="0" w:space="0" w:color="auto"/>
        <w:right w:val="none" w:sz="0" w:space="0" w:color="auto"/>
      </w:divBdr>
    </w:div>
    <w:div w:id="135248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067591ED77D34A898142EA7400D04A" ma:contentTypeVersion="7" ma:contentTypeDescription="Create a new document." ma:contentTypeScope="" ma:versionID="3cac73d94a5e53075ebdc74059d8bf2a">
  <xsd:schema xmlns:xsd="http://www.w3.org/2001/XMLSchema" xmlns:xs="http://www.w3.org/2001/XMLSchema" xmlns:p="http://schemas.microsoft.com/office/2006/metadata/properties" xmlns:ns1="http://schemas.microsoft.com/sharepoint/v3" xmlns:ns2="http://schemas.microsoft.com/sharepoint/v4" xmlns:ns3="285639a9-1903-4c4b-b008-ef5107d44cb5" xmlns:ns4="20c6e9ec-10ab-44a3-a789-2f95b600109b" targetNamespace="http://schemas.microsoft.com/office/2006/metadata/properties" ma:root="true" ma:fieldsID="50985f3e9ebeb901289ed9a67c0f24af" ns1:_="" ns2:_="" ns3:_="" ns4:_="">
    <xsd:import namespace="http://schemas.microsoft.com/sharepoint/v3"/>
    <xsd:import namespace="http://schemas.microsoft.com/sharepoint/v4"/>
    <xsd:import namespace="285639a9-1903-4c4b-b008-ef5107d44cb5"/>
    <xsd:import namespace="20c6e9ec-10ab-44a3-a789-2f95b600109b"/>
    <xsd:element name="properties">
      <xsd:complexType>
        <xsd:sequence>
          <xsd:element name="documentManagement">
            <xsd:complexType>
              <xsd:all>
                <xsd:element ref="ns1:_vti_ItemHoldRecordStatus" minOccurs="0"/>
                <xsd:element ref="ns2:IconOverlay" minOccurs="0"/>
                <xsd:element ref="ns3:Assigne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8" nillable="true" ma:displayName="Hold and Record Status" ma:decimals="0" ma:hidden="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5639a9-1903-4c4b-b008-ef5107d44cb5" elementFormDefault="qualified">
    <xsd:import namespace="http://schemas.microsoft.com/office/2006/documentManagement/types"/>
    <xsd:import namespace="http://schemas.microsoft.com/office/infopath/2007/PartnerControls"/>
    <xsd:element name="Assigned" ma:index="10" nillable="true" ma:displayName="Assigned to" ma:description="Assigned for review" ma:internalName="Assigned">
      <xsd:complexType>
        <xsd:complexContent>
          <xsd:extension base="dms:MultiChoice">
            <xsd:sequence>
              <xsd:element name="Value" maxOccurs="unbounded" minOccurs="0" nillable="true">
                <xsd:simpleType>
                  <xsd:restriction base="dms:Choice">
                    <xsd:enumeration value="Belcher"/>
                    <xsd:enumeration value="Breen"/>
                    <xsd:enumeration value="Daniels"/>
                    <xsd:enumeration value="Daverede"/>
                    <xsd:enumeration value="Davis (DAAS)"/>
                    <xsd:enumeration value="Delaney"/>
                    <xsd:enumeration value="Flanagan"/>
                    <xsd:enumeration value="Fromm"/>
                    <xsd:enumeration value="Gonzalez"/>
                    <xsd:enumeration value="Hammond"/>
                    <xsd:enumeration value="Jensen"/>
                    <xsd:enumeration value="Kohlbacher (DAAS)"/>
                    <xsd:enumeration value="Macias"/>
                    <xsd:enumeration value="Napoli"/>
                    <xsd:enumeration value="Nguyen"/>
                    <xsd:enumeration value="Norman"/>
                    <xsd:enumeration value="Ross"/>
                    <xsd:enumeration value="Tanner"/>
                    <xsd:enumeration value="Vasquez-Banchon"/>
                    <xsd:enumeration value="Williams, R"/>
                    <xsd:enumeration value="Williams, 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c6e9ec-10ab-44a3-a789-2f95b600109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IconOverlay xmlns="http://schemas.microsoft.com/sharepoint/v4" xsi:nil="true"/>
    <Assigned xmlns="285639a9-1903-4c4b-b008-ef5107d44cb5"/>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B1688-4436-4EC3-B384-DDD314A7A513}"/>
</file>

<file path=customXml/itemProps2.xml><?xml version="1.0" encoding="utf-8"?>
<ds:datastoreItem xmlns:ds="http://schemas.openxmlformats.org/officeDocument/2006/customXml" ds:itemID="{90830DF4-C9CE-49BD-9A08-9B1A7562B751}">
  <ds:schemaRefs>
    <ds:schemaRef ds:uri="http://schemas.microsoft.com/sharepoint/v3/contenttype/forms"/>
  </ds:schemaRefs>
</ds:datastoreItem>
</file>

<file path=customXml/itemProps3.xml><?xml version="1.0" encoding="utf-8"?>
<ds:datastoreItem xmlns:ds="http://schemas.openxmlformats.org/officeDocument/2006/customXml" ds:itemID="{9437E2D2-3377-49CF-ACBB-8CE6926F3E39}">
  <ds:schemaRefs>
    <ds:schemaRef ds:uri="http://schemas.microsoft.com/office/2006/metadata/properties"/>
    <ds:schemaRef ds:uri="1019005c-580f-42ae-adec-ba9490377f66"/>
    <ds:schemaRef ds:uri="http://schemas.microsoft.com/sharepoint/v4"/>
  </ds:schemaRefs>
</ds:datastoreItem>
</file>

<file path=customXml/itemProps4.xml><?xml version="1.0" encoding="utf-8"?>
<ds:datastoreItem xmlns:ds="http://schemas.openxmlformats.org/officeDocument/2006/customXml" ds:itemID="{8AF3A6E7-AA5E-44A4-A4DA-CCAA51B0C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F542004.dotm</Template>
  <TotalTime>43</TotalTime>
  <Pages>3</Pages>
  <Words>837</Words>
  <Characters>4773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MILSTRIP Change 5 Letter</vt:lpstr>
    </vt:vector>
  </TitlesOfParts>
  <Company>DoD</Company>
  <LinksUpToDate>false</LinksUpToDate>
  <CharactersWithSpaces>5599</CharactersWithSpaces>
  <SharedDoc>false</SharedDoc>
  <HLinks>
    <vt:vector size="12" baseType="variant">
      <vt:variant>
        <vt:i4>6946910</vt:i4>
      </vt:variant>
      <vt:variant>
        <vt:i4>3</vt:i4>
      </vt:variant>
      <vt:variant>
        <vt:i4>0</vt:i4>
      </vt:variant>
      <vt:variant>
        <vt:i4>5</vt:i4>
      </vt:variant>
      <vt:variant>
        <vt:lpwstr>http://www.dla.mil/j-6/dlmso/eLibrary/Manuals/DLMS/formal_changes.asp</vt:lpwstr>
      </vt:variant>
      <vt:variant>
        <vt:lpwstr/>
      </vt:variant>
      <vt:variant>
        <vt:i4>8060945</vt:i4>
      </vt:variant>
      <vt:variant>
        <vt:i4>0</vt:i4>
      </vt:variant>
      <vt:variant>
        <vt:i4>0</vt:i4>
      </vt:variant>
      <vt:variant>
        <vt:i4>5</vt:i4>
      </vt:variant>
      <vt:variant>
        <vt:lpwstr>http://www2.dla.mil/j-6/dlmso/elibrary/manuals/dlm/dlm_pubs.asp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MILSTRIP Change 5 Letter</dc:title>
  <dc:creator>prezzysm</dc:creator>
  <cp:lastModifiedBy>Nguyen, Bao X CTR DLA INFO OPERATIONS (US)</cp:lastModifiedBy>
  <cp:revision>13</cp:revision>
  <cp:lastPrinted>2014-04-11T17:12:00Z</cp:lastPrinted>
  <dcterms:created xsi:type="dcterms:W3CDTF">2015-01-29T13:46:00Z</dcterms:created>
  <dcterms:modified xsi:type="dcterms:W3CDTF">2017-12-15T19:05:00Z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0x0101002B067591ED77D34A898142EA7400D04A</vt:lpwstr>
  </property>
  <property fmtid="{D5CDD505-2E9C-101B-9397-08002B2CF9AE}" pid="3" name="Order">
    <vt:r8>32200</vt:r8>
  </property>
  <property fmtid="{D5CDD505-2E9C-101B-9397-08002B2CF9AE}" pid="4" name="xd_ProgID">
    <vt:lpwstr/>
  </property>
  <property fmtid="{D5CDD505-2E9C-101B-9397-08002B2CF9AE}" pid="5" name="TemplateUrl">
    <vt:lpwstr/>
  </property>
</Properties>
</file>