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8240"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2" w14:textId="77777777" w:rsidR="00EA1F41" w:rsidRDefault="00EA1F41" w:rsidP="00EA1F41">
      <w:pPr>
        <w:rPr>
          <w:sz w:val="16"/>
        </w:rPr>
      </w:pPr>
      <w:r>
        <w:rPr>
          <w:sz w:val="16"/>
        </w:rPr>
        <w:t xml:space="preserve"> </w:t>
      </w:r>
    </w:p>
    <w:p w14:paraId="74C79AD5" w14:textId="4CB0A326"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sidR="004268AD">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791C09F9" w14:textId="73B3AE41" w:rsidR="00C67291" w:rsidRDefault="00C67291" w:rsidP="00C67291">
      <w:pPr>
        <w:pStyle w:val="Footer"/>
        <w:tabs>
          <w:tab w:val="left" w:pos="1620"/>
        </w:tabs>
        <w:ind w:left="1620" w:hanging="1620"/>
        <w:jc w:val="right"/>
        <w:rPr>
          <w:sz w:val="26"/>
          <w:szCs w:val="26"/>
        </w:rPr>
      </w:pPr>
      <w:r>
        <w:rPr>
          <w:sz w:val="26"/>
          <w:szCs w:val="26"/>
        </w:rPr>
        <w:t xml:space="preserve">DLM 4000.25, Volume </w:t>
      </w:r>
      <w:r w:rsidR="0028222D">
        <w:rPr>
          <w:sz w:val="26"/>
          <w:szCs w:val="26"/>
        </w:rPr>
        <w:t>1</w:t>
      </w:r>
      <w:r>
        <w:rPr>
          <w:sz w:val="26"/>
          <w:szCs w:val="26"/>
        </w:rPr>
        <w:t xml:space="preserve">, </w:t>
      </w:r>
      <w:r w:rsidR="001058F4">
        <w:rPr>
          <w:sz w:val="26"/>
          <w:szCs w:val="26"/>
        </w:rPr>
        <w:t>June 16</w:t>
      </w:r>
      <w:r>
        <w:rPr>
          <w:sz w:val="26"/>
          <w:szCs w:val="26"/>
        </w:rPr>
        <w:t>, 201</w:t>
      </w:r>
      <w:r w:rsidR="001058F4">
        <w:rPr>
          <w:sz w:val="26"/>
          <w:szCs w:val="26"/>
        </w:rPr>
        <w:t>5</w:t>
      </w:r>
    </w:p>
    <w:p w14:paraId="43B78733" w14:textId="28248607" w:rsidR="00C67291" w:rsidRDefault="00C67291" w:rsidP="00C67291">
      <w:pPr>
        <w:pStyle w:val="Footer"/>
        <w:tabs>
          <w:tab w:val="left" w:pos="1620"/>
        </w:tabs>
        <w:spacing w:after="240"/>
        <w:ind w:left="1627" w:hanging="1627"/>
        <w:jc w:val="right"/>
        <w:rPr>
          <w:sz w:val="26"/>
          <w:szCs w:val="26"/>
        </w:rPr>
      </w:pPr>
      <w:r>
        <w:rPr>
          <w:sz w:val="26"/>
          <w:szCs w:val="26"/>
        </w:rPr>
        <w:t xml:space="preserve">Change </w:t>
      </w:r>
      <w:r w:rsidR="0028222D">
        <w:rPr>
          <w:sz w:val="26"/>
          <w:szCs w:val="26"/>
        </w:rPr>
        <w:t>1</w:t>
      </w:r>
    </w:p>
    <w:p w14:paraId="72CA7F06" w14:textId="2FF3D81A" w:rsidR="00C67291" w:rsidRDefault="00C67291" w:rsidP="00C67291">
      <w:pPr>
        <w:pStyle w:val="Footer"/>
        <w:tabs>
          <w:tab w:val="left" w:pos="1260"/>
        </w:tabs>
        <w:spacing w:after="240"/>
        <w:ind w:left="1267" w:hanging="1267"/>
        <w:contextualSpacing/>
        <w:jc w:val="center"/>
        <w:rPr>
          <w:bCs/>
        </w:rPr>
      </w:pPr>
      <w:r w:rsidRPr="007A4606">
        <w:rPr>
          <w:bCs/>
        </w:rPr>
        <w:t xml:space="preserve">DEFENSE LOGISTICS MANAGEMENT </w:t>
      </w:r>
      <w:r w:rsidR="001F5FFA">
        <w:rPr>
          <w:bCs/>
        </w:rPr>
        <w:t>STANDARDS</w:t>
      </w:r>
    </w:p>
    <w:p w14:paraId="5D77FEAA" w14:textId="692E9A67" w:rsidR="00C67291" w:rsidRDefault="00C67291" w:rsidP="00C67291">
      <w:pPr>
        <w:pStyle w:val="Footer"/>
        <w:tabs>
          <w:tab w:val="left" w:pos="1260"/>
        </w:tabs>
        <w:spacing w:after="240"/>
        <w:ind w:left="1267" w:hanging="1267"/>
        <w:contextualSpacing/>
        <w:jc w:val="center"/>
        <w:rPr>
          <w:bCs/>
        </w:rPr>
      </w:pPr>
      <w:r w:rsidRPr="007A4606">
        <w:rPr>
          <w:bCs/>
        </w:rPr>
        <w:t xml:space="preserve">VOLUME </w:t>
      </w:r>
      <w:r w:rsidR="0028222D">
        <w:rPr>
          <w:bCs/>
        </w:rPr>
        <w:t>1</w:t>
      </w:r>
      <w:r w:rsidRPr="007A4606">
        <w:rPr>
          <w:bCs/>
        </w:rPr>
        <w:t xml:space="preserve">, </w:t>
      </w:r>
      <w:r w:rsidR="0028222D" w:rsidRPr="0028222D">
        <w:rPr>
          <w:bCs/>
        </w:rPr>
        <w:t>CONCEPTS AND PROCEDURES</w:t>
      </w:r>
    </w:p>
    <w:p w14:paraId="5F71B8C4" w14:textId="714C8EC9" w:rsidR="00C67291" w:rsidRPr="007A4606" w:rsidRDefault="00C67291" w:rsidP="00C67291">
      <w:pPr>
        <w:pStyle w:val="Footer"/>
        <w:tabs>
          <w:tab w:val="left" w:pos="1260"/>
        </w:tabs>
        <w:spacing w:after="240"/>
        <w:ind w:left="1267" w:hanging="1267"/>
        <w:contextualSpacing/>
        <w:jc w:val="center"/>
        <w:rPr>
          <w:bCs/>
        </w:rPr>
      </w:pPr>
      <w:r w:rsidRPr="007A4606">
        <w:rPr>
          <w:bCs/>
        </w:rPr>
        <w:t>C</w:t>
      </w:r>
      <w:r>
        <w:rPr>
          <w:bCs/>
        </w:rPr>
        <w:t xml:space="preserve">HANGE </w:t>
      </w:r>
      <w:r w:rsidR="0028222D">
        <w:rPr>
          <w:bCs/>
        </w:rPr>
        <w:t>1</w:t>
      </w:r>
    </w:p>
    <w:p w14:paraId="74C79ADC" w14:textId="77777777" w:rsidR="007A4606" w:rsidRDefault="007A4606" w:rsidP="007A4606">
      <w:pPr>
        <w:pStyle w:val="Footer"/>
        <w:tabs>
          <w:tab w:val="left" w:pos="1620"/>
        </w:tabs>
        <w:ind w:left="1620" w:hanging="1620"/>
      </w:pPr>
    </w:p>
    <w:p w14:paraId="74C79ADD" w14:textId="38FBAC5A" w:rsidR="007A4606" w:rsidRDefault="00A833FC" w:rsidP="00775B76">
      <w:pPr>
        <w:spacing w:after="240"/>
        <w:ind w:right="360"/>
      </w:pPr>
      <w:r w:rsidRPr="00A833FC">
        <w:t xml:space="preserve">I. </w:t>
      </w:r>
      <w:r w:rsidR="00C67291" w:rsidRPr="00C67291">
        <w:t xml:space="preserve">This change to DLM 4000.25, Defense Logistics Management System (DLMS), Volume </w:t>
      </w:r>
      <w:r w:rsidR="0028222D">
        <w:t>1</w:t>
      </w:r>
      <w:r w:rsidR="00C67291" w:rsidRPr="00C67291">
        <w:t xml:space="preserve">, </w:t>
      </w:r>
      <w:r w:rsidR="0028222D">
        <w:t>May 2014</w:t>
      </w:r>
      <w:r w:rsidR="00C67291" w:rsidRPr="00C67291">
        <w:t>, is published by direction of the Deputy Assistant Secretary of Defense for Supply Chain Integration under the authority of DoD Instruction (DoDI) 4140.01, “DoD Supply Chain Materiel Management Policy,” December 14, 2011.  Unless otherwise noted, revised text in the manual is identified by</w:t>
      </w:r>
      <w:r w:rsidR="00C67291" w:rsidRPr="00C67291">
        <w:rPr>
          <w:b/>
          <w:bCs/>
          <w:i/>
        </w:rPr>
        <w:t xml:space="preserve"> bold, italicized </w:t>
      </w:r>
      <w:r w:rsidR="00C67291" w:rsidRPr="00C67291">
        <w:t xml:space="preserve">print.  The exception would be when the entire chapter or appendix is replaced, or a new one added.  Change </w:t>
      </w:r>
      <w:r w:rsidR="0028222D">
        <w:t>1</w:t>
      </w:r>
      <w:r w:rsidR="00C67291" w:rsidRPr="00C67291">
        <w:t xml:space="preserve"> also includes administrative updates not marked by bold italics, to include changing “shall” to “will” per a style change for DoD issuances</w:t>
      </w:r>
      <w:r w:rsidR="002A2ABC">
        <w:t xml:space="preserve"> and updating “</w:t>
      </w:r>
      <w:r w:rsidR="002A2ABC" w:rsidRPr="0033025A">
        <w:t xml:space="preserve">Defense Logistics Management </w:t>
      </w:r>
      <w:r w:rsidR="002A2ABC">
        <w:t>System” to “</w:t>
      </w:r>
      <w:r w:rsidR="002A2ABC" w:rsidRPr="0033025A">
        <w:t xml:space="preserve">Defense Logistics Management </w:t>
      </w:r>
      <w:r w:rsidR="002A2ABC">
        <w:t>Standards</w:t>
      </w:r>
      <w:r w:rsidR="00C67291" w:rsidRPr="00C67291">
        <w:t>.</w:t>
      </w:r>
      <w:r w:rsidR="002A2ABC">
        <w:t>”</w:t>
      </w:r>
    </w:p>
    <w:p w14:paraId="74C79ADE" w14:textId="47D0EAAB" w:rsidR="007A4606" w:rsidRPr="0033025A" w:rsidRDefault="007A4606" w:rsidP="004355D6">
      <w:pPr>
        <w:spacing w:after="240"/>
        <w:ind w:right="-2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rsidR="00665E2A">
        <w:t>Standards</w:t>
      </w:r>
      <w:r w:rsidRPr="0033025A">
        <w:t xml:space="preserve"> (DLMS) Changes (ADC) published by </w:t>
      </w:r>
      <w:r w:rsidR="00F05978">
        <w:t>Enterprise Business</w:t>
      </w:r>
      <w:r w:rsidRPr="0033025A">
        <w:t xml:space="preserve"> Standards Office memorandum:</w:t>
      </w:r>
    </w:p>
    <w:p w14:paraId="2D5FD25E" w14:textId="40A34650" w:rsidR="00CD176C" w:rsidRDefault="00CD176C"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CD176C">
        <w:rPr>
          <w:rFonts w:ascii="Times New Roman" w:eastAsia="Times New Roman" w:hAnsi="Times New Roman"/>
          <w:sz w:val="24"/>
          <w:szCs w:val="24"/>
        </w:rPr>
        <w:t xml:space="preserve">ADC 1043 dated September 18, 2013.  Added discrete Standard Line of Accounting (SLOA)/Accounting Classification data elements to logistics transactions with financial implications to implement SLOA within DLMS.  Revises </w:t>
      </w:r>
      <w:r>
        <w:rPr>
          <w:rFonts w:ascii="Times New Roman" w:eastAsia="Times New Roman" w:hAnsi="Times New Roman"/>
          <w:sz w:val="24"/>
          <w:szCs w:val="24"/>
        </w:rPr>
        <w:t>Appendix</w:t>
      </w:r>
      <w:r w:rsidRPr="00CD176C">
        <w:rPr>
          <w:rFonts w:ascii="Times New Roman" w:eastAsia="Times New Roman" w:hAnsi="Times New Roman"/>
          <w:sz w:val="24"/>
          <w:szCs w:val="24"/>
        </w:rPr>
        <w:t xml:space="preserve"> 2</w:t>
      </w:r>
      <w:r>
        <w:rPr>
          <w:rFonts w:ascii="Times New Roman" w:eastAsia="Times New Roman" w:hAnsi="Times New Roman"/>
          <w:sz w:val="24"/>
          <w:szCs w:val="24"/>
        </w:rPr>
        <w:t>.</w:t>
      </w:r>
      <w:r w:rsidRPr="00CD176C">
        <w:rPr>
          <w:rFonts w:ascii="Times New Roman" w:eastAsia="Times New Roman" w:hAnsi="Times New Roman"/>
          <w:sz w:val="24"/>
          <w:szCs w:val="24"/>
        </w:rPr>
        <w:t>.  Revises DLMS Implementation Conventions 180M,  511M, 511R, 517M, 810L, 842 A/W, 856S, 867I, 869F, and 940R.</w:t>
      </w:r>
    </w:p>
    <w:p w14:paraId="42F57332" w14:textId="69C1DA1E" w:rsidR="00125389" w:rsidRDefault="00CD176C"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00125389" w:rsidRPr="00A833FC">
        <w:rPr>
          <w:rFonts w:ascii="Times New Roman" w:eastAsia="Times New Roman" w:hAnsi="Times New Roman"/>
          <w:sz w:val="24"/>
          <w:szCs w:val="24"/>
        </w:rPr>
        <w:t xml:space="preserve">ADC </w:t>
      </w:r>
      <w:r w:rsidR="00125389">
        <w:rPr>
          <w:rFonts w:ascii="Times New Roman" w:eastAsia="Times New Roman" w:hAnsi="Times New Roman"/>
          <w:sz w:val="24"/>
          <w:szCs w:val="24"/>
        </w:rPr>
        <w:t>1043A</w:t>
      </w:r>
      <w:r w:rsidR="00125389" w:rsidRPr="00A833FC">
        <w:rPr>
          <w:rFonts w:ascii="Times New Roman" w:eastAsia="Times New Roman" w:hAnsi="Times New Roman"/>
          <w:sz w:val="24"/>
          <w:szCs w:val="24"/>
        </w:rPr>
        <w:t xml:space="preserve"> dated </w:t>
      </w:r>
      <w:r w:rsidR="00125389">
        <w:rPr>
          <w:rFonts w:ascii="Times New Roman" w:eastAsia="Times New Roman" w:hAnsi="Times New Roman"/>
          <w:sz w:val="24"/>
          <w:szCs w:val="24"/>
        </w:rPr>
        <w:t>August 20, 2014</w:t>
      </w:r>
      <w:r w:rsidR="00125389" w:rsidRPr="00A833FC">
        <w:rPr>
          <w:rFonts w:ascii="Times New Roman" w:eastAsia="Times New Roman" w:hAnsi="Times New Roman"/>
          <w:sz w:val="24"/>
          <w:szCs w:val="24"/>
        </w:rPr>
        <w:t xml:space="preserve">.  </w:t>
      </w:r>
      <w:r w:rsidR="00125389" w:rsidRPr="004F771B">
        <w:rPr>
          <w:rFonts w:ascii="Times New Roman" w:eastAsia="Times New Roman" w:hAnsi="Times New Roman"/>
          <w:sz w:val="24"/>
          <w:szCs w:val="24"/>
        </w:rPr>
        <w:t>Amend</w:t>
      </w:r>
      <w:r w:rsidR="00125389">
        <w:rPr>
          <w:rFonts w:ascii="Times New Roman" w:eastAsia="Times New Roman" w:hAnsi="Times New Roman"/>
          <w:sz w:val="24"/>
          <w:szCs w:val="24"/>
        </w:rPr>
        <w:t>ed</w:t>
      </w:r>
      <w:r w:rsidR="00125389" w:rsidRPr="004F771B">
        <w:rPr>
          <w:rFonts w:ascii="Times New Roman" w:eastAsia="Times New Roman" w:hAnsi="Times New Roman"/>
          <w:sz w:val="24"/>
          <w:szCs w:val="24"/>
        </w:rPr>
        <w:t xml:space="preserve"> ADC 1043 guidance regarding rejection transactions returned when DLMS transactions include discrete </w:t>
      </w:r>
      <w:r w:rsidR="00EB0CDE">
        <w:rPr>
          <w:rFonts w:ascii="Times New Roman" w:eastAsia="Times New Roman" w:hAnsi="Times New Roman"/>
          <w:sz w:val="24"/>
          <w:szCs w:val="24"/>
        </w:rPr>
        <w:t>Standard Line of Accounting (</w:t>
      </w:r>
      <w:r w:rsidR="00125389" w:rsidRPr="004F771B">
        <w:rPr>
          <w:rFonts w:ascii="Times New Roman" w:eastAsia="Times New Roman" w:hAnsi="Times New Roman"/>
          <w:sz w:val="24"/>
          <w:szCs w:val="24"/>
        </w:rPr>
        <w:t>SLOA</w:t>
      </w:r>
      <w:r w:rsidR="00EB0CDE">
        <w:rPr>
          <w:rFonts w:ascii="Times New Roman" w:eastAsia="Times New Roman" w:hAnsi="Times New Roman"/>
          <w:sz w:val="24"/>
          <w:szCs w:val="24"/>
        </w:rPr>
        <w:t>)</w:t>
      </w:r>
      <w:r w:rsidR="00125389" w:rsidRPr="004F771B">
        <w:rPr>
          <w:rFonts w:ascii="Times New Roman" w:eastAsia="Times New Roman" w:hAnsi="Times New Roman"/>
          <w:sz w:val="24"/>
          <w:szCs w:val="24"/>
        </w:rPr>
        <w:t xml:space="preserve"> data elements that do not correspond to the entries in the </w:t>
      </w:r>
      <w:r w:rsidR="00EB0CDE">
        <w:rPr>
          <w:rFonts w:ascii="Times New Roman" w:eastAsia="Times New Roman" w:hAnsi="Times New Roman"/>
          <w:sz w:val="24"/>
          <w:szCs w:val="24"/>
        </w:rPr>
        <w:t>Standard Financial Information Structure (</w:t>
      </w:r>
      <w:r w:rsidR="00125389" w:rsidRPr="004F771B">
        <w:rPr>
          <w:rFonts w:ascii="Times New Roman" w:eastAsia="Times New Roman" w:hAnsi="Times New Roman"/>
          <w:sz w:val="24"/>
          <w:szCs w:val="24"/>
        </w:rPr>
        <w:t>SFIS</w:t>
      </w:r>
      <w:r w:rsidR="00EB0CDE">
        <w:rPr>
          <w:rFonts w:ascii="Times New Roman" w:eastAsia="Times New Roman" w:hAnsi="Times New Roman"/>
          <w:sz w:val="24"/>
          <w:szCs w:val="24"/>
        </w:rPr>
        <w:t>)</w:t>
      </w:r>
      <w:r w:rsidR="00125389" w:rsidRPr="004F771B">
        <w:rPr>
          <w:rFonts w:ascii="Times New Roman" w:eastAsia="Times New Roman" w:hAnsi="Times New Roman"/>
          <w:sz w:val="24"/>
          <w:szCs w:val="24"/>
        </w:rPr>
        <w:t xml:space="preserve"> Fund Code to Fund Code Account Conversion Table for the Fund Code in the transaction.</w:t>
      </w:r>
      <w:r w:rsidR="00125389" w:rsidRPr="00A833FC">
        <w:rPr>
          <w:rFonts w:ascii="Times New Roman" w:eastAsia="Times New Roman" w:hAnsi="Times New Roman"/>
          <w:sz w:val="24"/>
          <w:szCs w:val="24"/>
        </w:rPr>
        <w:t xml:space="preserve">  Revises </w:t>
      </w:r>
      <w:r w:rsidR="00DA698D">
        <w:rPr>
          <w:rFonts w:ascii="Times New Roman" w:eastAsia="Times New Roman" w:hAnsi="Times New Roman"/>
          <w:sz w:val="24"/>
          <w:szCs w:val="24"/>
        </w:rPr>
        <w:t>Appendices</w:t>
      </w:r>
      <w:r w:rsidR="00125389">
        <w:rPr>
          <w:rFonts w:ascii="Times New Roman" w:eastAsia="Times New Roman" w:hAnsi="Times New Roman"/>
          <w:sz w:val="24"/>
          <w:szCs w:val="24"/>
        </w:rPr>
        <w:t xml:space="preserve"> 2 and 3.  Revises DLMS ICs </w:t>
      </w:r>
      <w:r w:rsidR="00125389" w:rsidRPr="00A675AA">
        <w:rPr>
          <w:rFonts w:ascii="Times New Roman" w:eastAsia="Times New Roman" w:hAnsi="Times New Roman"/>
          <w:sz w:val="24"/>
          <w:szCs w:val="24"/>
        </w:rPr>
        <w:t xml:space="preserve">824R, 180M, 511M, 511R, 517M, 810L, 842A/W, 856S, 867I, 869F, </w:t>
      </w:r>
      <w:r w:rsidR="00125389">
        <w:rPr>
          <w:rFonts w:ascii="Times New Roman" w:eastAsia="Times New Roman" w:hAnsi="Times New Roman"/>
          <w:sz w:val="24"/>
          <w:szCs w:val="24"/>
        </w:rPr>
        <w:t xml:space="preserve">and </w:t>
      </w:r>
      <w:r w:rsidR="00125389" w:rsidRPr="00A675AA">
        <w:rPr>
          <w:rFonts w:ascii="Times New Roman" w:eastAsia="Times New Roman" w:hAnsi="Times New Roman"/>
          <w:sz w:val="24"/>
          <w:szCs w:val="24"/>
        </w:rPr>
        <w:t>940R</w:t>
      </w:r>
      <w:r w:rsidR="00125389" w:rsidRPr="00A833FC">
        <w:rPr>
          <w:rFonts w:ascii="Times New Roman" w:eastAsia="Times New Roman" w:hAnsi="Times New Roman"/>
          <w:sz w:val="24"/>
          <w:szCs w:val="24"/>
        </w:rPr>
        <w:t>.</w:t>
      </w:r>
    </w:p>
    <w:p w14:paraId="5D511A5B" w14:textId="77777777" w:rsidR="00125389" w:rsidRDefault="00125389"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125389">
        <w:rPr>
          <w:rFonts w:ascii="Times New Roman" w:eastAsia="Times New Roman" w:hAnsi="Times New Roman"/>
          <w:sz w:val="24"/>
          <w:szCs w:val="24"/>
        </w:rPr>
        <w:t>ADC 1090 dated December 12, 2013.  Updated the DLMS Unit of Material Measure (Unit of Issue/Purchase Unit) Conversion Guide to add Standard Advertising Unit and the corresponding X12 Code S8 and DOD code SW.  Revises Appendix 4.</w:t>
      </w:r>
    </w:p>
    <w:p w14:paraId="49E9F1A0" w14:textId="5FA16B94" w:rsidR="00125389" w:rsidRPr="00125389" w:rsidRDefault="00125389"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9A625D">
        <w:rPr>
          <w:rFonts w:ascii="Times New Roman" w:eastAsia="Times New Roman" w:hAnsi="Times New Roman"/>
          <w:sz w:val="24"/>
          <w:szCs w:val="24"/>
        </w:rPr>
        <w:t xml:space="preserve">ADC 1098 dated November 7, 2014.  Updated the DD Form 1348-5, Notice of Availability; updated the DLMS 856N NOA and DLMS 870N NOA Reply to align with the hard copy data content of the DD Form 1348-5; established the </w:t>
      </w:r>
      <w:r w:rsidRPr="009A625D">
        <w:rPr>
          <w:rFonts w:ascii="Times New Roman" w:eastAsia="Times New Roman" w:hAnsi="Times New Roman"/>
          <w:sz w:val="24"/>
          <w:szCs w:val="24"/>
        </w:rPr>
        <w:lastRenderedPageBreak/>
        <w:t xml:space="preserve">foundation for a mechanized implementation for the NOA process to provide the International Logistics Control Office (ILCO) visibility; and updated procedures for ensuring timely replies to NOAs by actively engaging the ILCOs when there is no response to a follow-up NOA.  Revises Chapter </w:t>
      </w:r>
      <w:r>
        <w:rPr>
          <w:rFonts w:ascii="Times New Roman" w:eastAsia="Times New Roman" w:hAnsi="Times New Roman"/>
          <w:sz w:val="24"/>
          <w:szCs w:val="24"/>
        </w:rPr>
        <w:t xml:space="preserve">Appendix 2 and </w:t>
      </w:r>
      <w:r w:rsidRPr="009A625D">
        <w:rPr>
          <w:rFonts w:ascii="Times New Roman" w:eastAsia="Times New Roman" w:hAnsi="Times New Roman"/>
          <w:sz w:val="24"/>
          <w:szCs w:val="24"/>
        </w:rPr>
        <w:t>DLMS ICs 856N and 870N.</w:t>
      </w:r>
    </w:p>
    <w:p w14:paraId="4DF1A23E" w14:textId="77777777" w:rsidR="00125389" w:rsidRDefault="00125389" w:rsidP="00125389">
      <w:pPr>
        <w:pStyle w:val="ListParagraph"/>
        <w:keepLines/>
        <w:widowControl w:val="0"/>
        <w:numPr>
          <w:ilvl w:val="0"/>
          <w:numId w:val="2"/>
        </w:numPr>
        <w:spacing w:after="240" w:line="240" w:lineRule="auto"/>
        <w:ind w:left="0" w:right="706" w:firstLine="907"/>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A833FC">
        <w:rPr>
          <w:rFonts w:ascii="Times New Roman" w:eastAsia="Times New Roman" w:hAnsi="Times New Roman"/>
          <w:sz w:val="24"/>
          <w:szCs w:val="24"/>
        </w:rPr>
        <w:t xml:space="preserve">ADC </w:t>
      </w:r>
      <w:r>
        <w:rPr>
          <w:rFonts w:ascii="Times New Roman" w:eastAsia="Times New Roman" w:hAnsi="Times New Roman"/>
          <w:sz w:val="24"/>
          <w:szCs w:val="24"/>
        </w:rPr>
        <w:t>1103</w:t>
      </w:r>
      <w:r w:rsidRPr="00A833FC">
        <w:rPr>
          <w:rFonts w:ascii="Times New Roman" w:eastAsia="Times New Roman" w:hAnsi="Times New Roman"/>
          <w:sz w:val="24"/>
          <w:szCs w:val="24"/>
        </w:rPr>
        <w:t xml:space="preserve"> dated </w:t>
      </w:r>
      <w:r>
        <w:rPr>
          <w:rFonts w:ascii="Times New Roman" w:eastAsia="Times New Roman" w:hAnsi="Times New Roman"/>
          <w:sz w:val="24"/>
          <w:szCs w:val="24"/>
        </w:rPr>
        <w:t>August 20, 2014</w:t>
      </w:r>
      <w:r w:rsidRPr="00A833FC">
        <w:rPr>
          <w:rFonts w:ascii="Times New Roman" w:eastAsia="Times New Roman" w:hAnsi="Times New Roman"/>
          <w:sz w:val="24"/>
          <w:szCs w:val="24"/>
        </w:rPr>
        <w:t xml:space="preserve">.  </w:t>
      </w:r>
      <w:r w:rsidRPr="004F771B">
        <w:rPr>
          <w:rFonts w:ascii="Times New Roman" w:eastAsia="Times New Roman" w:hAnsi="Times New Roman"/>
          <w:sz w:val="24"/>
          <w:szCs w:val="24"/>
        </w:rPr>
        <w:t>Modifie</w:t>
      </w:r>
      <w:r>
        <w:rPr>
          <w:rFonts w:ascii="Times New Roman" w:eastAsia="Times New Roman" w:hAnsi="Times New Roman"/>
          <w:sz w:val="24"/>
          <w:szCs w:val="24"/>
        </w:rPr>
        <w:t>d</w:t>
      </w:r>
      <w:r w:rsidRPr="004F771B">
        <w:rPr>
          <w:rFonts w:ascii="Times New Roman" w:eastAsia="Times New Roman" w:hAnsi="Times New Roman"/>
          <w:sz w:val="24"/>
          <w:szCs w:val="24"/>
        </w:rPr>
        <w:t xml:space="preserve"> the DLMS 824R to expand the scope to include rejection of logistics bills and make administrative adjustments to convert the supplement into an implementation convention (IC) and to reflect current element </w:t>
      </w:r>
      <w:r>
        <w:rPr>
          <w:rFonts w:ascii="Times New Roman" w:eastAsia="Times New Roman" w:hAnsi="Times New Roman"/>
          <w:sz w:val="24"/>
          <w:szCs w:val="24"/>
        </w:rPr>
        <w:t>use by DLA Transaction Services</w:t>
      </w:r>
      <w:r w:rsidRPr="00F67F39">
        <w:rPr>
          <w:rFonts w:ascii="Times New Roman" w:eastAsia="Times New Roman" w:hAnsi="Times New Roman"/>
          <w:sz w:val="24"/>
          <w:szCs w:val="24"/>
        </w:rPr>
        <w:t>.</w:t>
      </w:r>
      <w:r w:rsidRPr="00A833FC">
        <w:rPr>
          <w:rFonts w:ascii="Times New Roman" w:eastAsia="Times New Roman" w:hAnsi="Times New Roman"/>
          <w:sz w:val="24"/>
          <w:szCs w:val="24"/>
        </w:rPr>
        <w:t xml:space="preserve">  Revises </w:t>
      </w:r>
      <w:r>
        <w:rPr>
          <w:rFonts w:ascii="Times New Roman" w:eastAsia="Times New Roman" w:hAnsi="Times New Roman"/>
          <w:sz w:val="24"/>
          <w:szCs w:val="24"/>
        </w:rPr>
        <w:t>Chapter 4 and DLMS IC 824R</w:t>
      </w:r>
      <w:r w:rsidRPr="00A833FC">
        <w:rPr>
          <w:rFonts w:ascii="Times New Roman" w:eastAsia="Times New Roman" w:hAnsi="Times New Roman"/>
          <w:sz w:val="24"/>
          <w:szCs w:val="24"/>
        </w:rPr>
        <w:t>.</w:t>
      </w:r>
    </w:p>
    <w:p w14:paraId="368FE946" w14:textId="77777777" w:rsidR="00125389" w:rsidRDefault="00125389"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sidRPr="00A833FC">
        <w:rPr>
          <w:rFonts w:ascii="Times New Roman" w:eastAsia="Times New Roman" w:hAnsi="Times New Roman"/>
          <w:sz w:val="24"/>
          <w:szCs w:val="24"/>
        </w:rPr>
        <w:t xml:space="preserve">  ADC </w:t>
      </w:r>
      <w:r>
        <w:rPr>
          <w:rFonts w:ascii="Times New Roman" w:eastAsia="Times New Roman" w:hAnsi="Times New Roman"/>
          <w:sz w:val="24"/>
          <w:szCs w:val="24"/>
        </w:rPr>
        <w:t>1107</w:t>
      </w:r>
      <w:r w:rsidRPr="00A833FC">
        <w:rPr>
          <w:rFonts w:ascii="Times New Roman" w:eastAsia="Times New Roman" w:hAnsi="Times New Roman"/>
          <w:sz w:val="24"/>
          <w:szCs w:val="24"/>
        </w:rPr>
        <w:t xml:space="preserve"> dated </w:t>
      </w:r>
      <w:r>
        <w:rPr>
          <w:rFonts w:ascii="Times New Roman" w:eastAsia="Times New Roman" w:hAnsi="Times New Roman"/>
          <w:sz w:val="24"/>
          <w:szCs w:val="24"/>
        </w:rPr>
        <w:t>May 13, 2014</w:t>
      </w:r>
      <w:r w:rsidRPr="00A833FC">
        <w:rPr>
          <w:rFonts w:ascii="Times New Roman" w:eastAsia="Times New Roman" w:hAnsi="Times New Roman"/>
          <w:sz w:val="24"/>
          <w:szCs w:val="24"/>
        </w:rPr>
        <w:t xml:space="preserve">.  </w:t>
      </w:r>
      <w:r w:rsidRPr="004F771B">
        <w:rPr>
          <w:rFonts w:ascii="Times New Roman" w:eastAsia="Times New Roman" w:hAnsi="Times New Roman"/>
          <w:sz w:val="24"/>
          <w:szCs w:val="24"/>
        </w:rPr>
        <w:t>Correct</w:t>
      </w:r>
      <w:r>
        <w:rPr>
          <w:rFonts w:ascii="Times New Roman" w:eastAsia="Times New Roman" w:hAnsi="Times New Roman"/>
          <w:sz w:val="24"/>
          <w:szCs w:val="24"/>
        </w:rPr>
        <w:t>ed</w:t>
      </w:r>
      <w:r w:rsidRPr="004F771B">
        <w:rPr>
          <w:rFonts w:ascii="Times New Roman" w:eastAsia="Times New Roman" w:hAnsi="Times New Roman"/>
          <w:sz w:val="24"/>
          <w:szCs w:val="24"/>
        </w:rPr>
        <w:t xml:space="preserve"> the DLMS Unit of Materiel Measure (Unit of Issue/Purchase Unit) Conversion Guide name descriptions for Fahrenheit, Kelvin, Ounces, Persons, and Persons Capacity to al</w:t>
      </w:r>
      <w:r>
        <w:rPr>
          <w:rFonts w:ascii="Times New Roman" w:eastAsia="Times New Roman" w:hAnsi="Times New Roman"/>
          <w:sz w:val="24"/>
          <w:szCs w:val="24"/>
        </w:rPr>
        <w:t>ign with the X12 standard names</w:t>
      </w:r>
      <w:r w:rsidRPr="00F67F39">
        <w:rPr>
          <w:rFonts w:ascii="Times New Roman" w:eastAsia="Times New Roman" w:hAnsi="Times New Roman"/>
          <w:sz w:val="24"/>
          <w:szCs w:val="24"/>
        </w:rPr>
        <w:t>.</w:t>
      </w:r>
      <w:r w:rsidRPr="00A833FC">
        <w:rPr>
          <w:rFonts w:ascii="Times New Roman" w:eastAsia="Times New Roman" w:hAnsi="Times New Roman"/>
          <w:sz w:val="24"/>
          <w:szCs w:val="24"/>
        </w:rPr>
        <w:t xml:space="preserve">  Revises </w:t>
      </w:r>
      <w:r>
        <w:rPr>
          <w:rFonts w:ascii="Times New Roman" w:eastAsia="Times New Roman" w:hAnsi="Times New Roman"/>
          <w:sz w:val="24"/>
          <w:szCs w:val="24"/>
        </w:rPr>
        <w:t>Appendix 4</w:t>
      </w:r>
      <w:r w:rsidRPr="00A833FC">
        <w:rPr>
          <w:rFonts w:ascii="Times New Roman" w:eastAsia="Times New Roman" w:hAnsi="Times New Roman"/>
          <w:sz w:val="24"/>
          <w:szCs w:val="24"/>
        </w:rPr>
        <w:t>.</w:t>
      </w:r>
    </w:p>
    <w:p w14:paraId="08E89DC6" w14:textId="166961A9" w:rsidR="004F771B" w:rsidRDefault="00125389"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A833FC">
        <w:rPr>
          <w:rFonts w:ascii="Times New Roman" w:eastAsia="Times New Roman" w:hAnsi="Times New Roman"/>
          <w:sz w:val="24"/>
          <w:szCs w:val="24"/>
        </w:rPr>
        <w:t xml:space="preserve">ADC </w:t>
      </w:r>
      <w:r>
        <w:rPr>
          <w:rFonts w:ascii="Times New Roman" w:eastAsia="Times New Roman" w:hAnsi="Times New Roman"/>
          <w:sz w:val="24"/>
          <w:szCs w:val="24"/>
        </w:rPr>
        <w:t>1108</w:t>
      </w:r>
      <w:r w:rsidRPr="00A833FC">
        <w:rPr>
          <w:rFonts w:ascii="Times New Roman" w:eastAsia="Times New Roman" w:hAnsi="Times New Roman"/>
          <w:sz w:val="24"/>
          <w:szCs w:val="24"/>
        </w:rPr>
        <w:t xml:space="preserve"> dated </w:t>
      </w:r>
      <w:r>
        <w:rPr>
          <w:rFonts w:ascii="Times New Roman" w:eastAsia="Times New Roman" w:hAnsi="Times New Roman"/>
          <w:sz w:val="24"/>
          <w:szCs w:val="24"/>
        </w:rPr>
        <w:t>April 1, 2014</w:t>
      </w:r>
      <w:r w:rsidRPr="00A833FC">
        <w:rPr>
          <w:rFonts w:ascii="Times New Roman" w:eastAsia="Times New Roman" w:hAnsi="Times New Roman"/>
          <w:sz w:val="24"/>
          <w:szCs w:val="24"/>
        </w:rPr>
        <w:t xml:space="preserve">.  </w:t>
      </w:r>
      <w:r w:rsidRPr="004F771B">
        <w:rPr>
          <w:rFonts w:ascii="Times New Roman" w:eastAsia="Times New Roman" w:hAnsi="Times New Roman"/>
          <w:sz w:val="24"/>
          <w:szCs w:val="24"/>
        </w:rPr>
        <w:t>Update</w:t>
      </w:r>
      <w:r>
        <w:rPr>
          <w:rFonts w:ascii="Times New Roman" w:eastAsia="Times New Roman" w:hAnsi="Times New Roman"/>
          <w:sz w:val="24"/>
          <w:szCs w:val="24"/>
        </w:rPr>
        <w:t>d</w:t>
      </w:r>
      <w:r w:rsidRPr="004F771B">
        <w:rPr>
          <w:rFonts w:ascii="Times New Roman" w:eastAsia="Times New Roman" w:hAnsi="Times New Roman"/>
          <w:sz w:val="24"/>
          <w:szCs w:val="24"/>
        </w:rPr>
        <w:t xml:space="preserve"> the DLMS Unit of Materiel Measure (Unit of Issue/Purchase Unit) Conversion Guide to add Liters at 15 Degrees Celsius with the corresponding X12 Code L5 and DOD code L5.  This UoM is used in the DLA Energy Supply Chain in Electronic Business</w:t>
      </w:r>
      <w:r>
        <w:rPr>
          <w:rFonts w:ascii="Times New Roman" w:eastAsia="Times New Roman" w:hAnsi="Times New Roman"/>
          <w:sz w:val="24"/>
          <w:szCs w:val="24"/>
        </w:rPr>
        <w:t xml:space="preserve"> System</w:t>
      </w:r>
      <w:r w:rsidRPr="00F67F39">
        <w:rPr>
          <w:rFonts w:ascii="Times New Roman" w:eastAsia="Times New Roman" w:hAnsi="Times New Roman"/>
          <w:sz w:val="24"/>
          <w:szCs w:val="24"/>
        </w:rPr>
        <w:t>.</w:t>
      </w:r>
      <w:r w:rsidRPr="00A833FC">
        <w:rPr>
          <w:rFonts w:ascii="Times New Roman" w:eastAsia="Times New Roman" w:hAnsi="Times New Roman"/>
          <w:sz w:val="24"/>
          <w:szCs w:val="24"/>
        </w:rPr>
        <w:t xml:space="preserve">  Revises </w:t>
      </w:r>
      <w:r>
        <w:rPr>
          <w:rFonts w:ascii="Times New Roman" w:eastAsia="Times New Roman" w:hAnsi="Times New Roman"/>
          <w:sz w:val="24"/>
          <w:szCs w:val="24"/>
        </w:rPr>
        <w:t>Appendix 4</w:t>
      </w:r>
      <w:r w:rsidRPr="00A833FC">
        <w:rPr>
          <w:rFonts w:ascii="Times New Roman" w:eastAsia="Times New Roman" w:hAnsi="Times New Roman"/>
          <w:sz w:val="24"/>
          <w:szCs w:val="24"/>
        </w:rPr>
        <w:t>.</w:t>
      </w:r>
    </w:p>
    <w:p w14:paraId="701AFC6F" w14:textId="17C0CE27" w:rsidR="00125389" w:rsidRPr="00125389" w:rsidRDefault="00125389" w:rsidP="00125389">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Pr="00A833FC">
        <w:rPr>
          <w:rFonts w:ascii="Times New Roman" w:eastAsia="Times New Roman" w:hAnsi="Times New Roman"/>
          <w:sz w:val="24"/>
          <w:szCs w:val="24"/>
        </w:rPr>
        <w:t xml:space="preserve">ADC </w:t>
      </w:r>
      <w:r>
        <w:rPr>
          <w:rFonts w:ascii="Times New Roman" w:eastAsia="Times New Roman" w:hAnsi="Times New Roman"/>
          <w:sz w:val="24"/>
          <w:szCs w:val="24"/>
        </w:rPr>
        <w:t>1111</w:t>
      </w:r>
      <w:r w:rsidRPr="00A833FC">
        <w:rPr>
          <w:rFonts w:ascii="Times New Roman" w:eastAsia="Times New Roman" w:hAnsi="Times New Roman"/>
          <w:sz w:val="24"/>
          <w:szCs w:val="24"/>
        </w:rPr>
        <w:t xml:space="preserve"> dated </w:t>
      </w:r>
      <w:r>
        <w:rPr>
          <w:rFonts w:ascii="Times New Roman" w:eastAsia="Times New Roman" w:hAnsi="Times New Roman"/>
          <w:sz w:val="24"/>
          <w:szCs w:val="24"/>
        </w:rPr>
        <w:t>August 27, 2014</w:t>
      </w:r>
      <w:r w:rsidRPr="00A833FC">
        <w:rPr>
          <w:rFonts w:ascii="Times New Roman" w:eastAsia="Times New Roman" w:hAnsi="Times New Roman"/>
          <w:sz w:val="24"/>
          <w:szCs w:val="24"/>
        </w:rPr>
        <w:t xml:space="preserve">.  </w:t>
      </w:r>
      <w:r w:rsidR="0016353D">
        <w:rPr>
          <w:rFonts w:ascii="Times New Roman" w:eastAsia="Times New Roman" w:hAnsi="Times New Roman"/>
          <w:sz w:val="24"/>
          <w:szCs w:val="24"/>
        </w:rPr>
        <w:t>Updated procedures for intransit control of materiel turned in to DLA Disposition Services and established use of the DLMS 527R as a Disposition Services Turn-In Receipt Acknowledgement</w:t>
      </w:r>
      <w:r w:rsidRPr="00F67F39">
        <w:rPr>
          <w:rFonts w:ascii="Times New Roman" w:eastAsia="Times New Roman" w:hAnsi="Times New Roman"/>
          <w:sz w:val="24"/>
          <w:szCs w:val="24"/>
        </w:rPr>
        <w:t>.</w:t>
      </w:r>
      <w:r w:rsidRPr="00A833FC">
        <w:rPr>
          <w:rFonts w:ascii="Times New Roman" w:eastAsia="Times New Roman" w:hAnsi="Times New Roman"/>
          <w:sz w:val="24"/>
          <w:szCs w:val="24"/>
        </w:rPr>
        <w:t xml:space="preserve">  Revises </w:t>
      </w:r>
      <w:r>
        <w:rPr>
          <w:rFonts w:ascii="Times New Roman" w:eastAsia="Times New Roman" w:hAnsi="Times New Roman"/>
          <w:sz w:val="24"/>
          <w:szCs w:val="24"/>
        </w:rPr>
        <w:t>Appendix 3 and DLMS IC 527R</w:t>
      </w:r>
      <w:r w:rsidRPr="00A833FC">
        <w:rPr>
          <w:rFonts w:ascii="Times New Roman" w:eastAsia="Times New Roman" w:hAnsi="Times New Roman"/>
          <w:sz w:val="24"/>
          <w:szCs w:val="24"/>
        </w:rPr>
        <w:t>.</w:t>
      </w:r>
    </w:p>
    <w:p w14:paraId="23661597" w14:textId="6CAD9708" w:rsidR="004F771B" w:rsidRPr="004F771B" w:rsidRDefault="004F771B" w:rsidP="004F771B">
      <w:pPr>
        <w:pStyle w:val="ListParagraph"/>
        <w:widowControl w:val="0"/>
        <w:numPr>
          <w:ilvl w:val="0"/>
          <w:numId w:val="2"/>
        </w:numPr>
        <w:spacing w:after="240" w:line="240" w:lineRule="auto"/>
        <w:ind w:left="0" w:right="706" w:firstLine="900"/>
        <w:contextualSpacing w:val="0"/>
        <w:rPr>
          <w:rFonts w:ascii="Times New Roman" w:eastAsia="Times New Roman" w:hAnsi="Times New Roman"/>
          <w:sz w:val="24"/>
          <w:szCs w:val="24"/>
        </w:rPr>
      </w:pPr>
      <w:r w:rsidRPr="004F771B">
        <w:rPr>
          <w:rFonts w:ascii="Times New Roman" w:eastAsia="Times New Roman" w:hAnsi="Times New Roman"/>
          <w:sz w:val="24"/>
          <w:szCs w:val="24"/>
        </w:rPr>
        <w:t xml:space="preserve">  ADC 1113 dated July 2, 2014.  Enhance</w:t>
      </w:r>
      <w:r w:rsidR="009B72CC">
        <w:rPr>
          <w:rFonts w:ascii="Times New Roman" w:eastAsia="Times New Roman" w:hAnsi="Times New Roman"/>
          <w:sz w:val="24"/>
          <w:szCs w:val="24"/>
        </w:rPr>
        <w:t>d</w:t>
      </w:r>
      <w:r w:rsidRPr="004F771B">
        <w:rPr>
          <w:rFonts w:ascii="Times New Roman" w:eastAsia="Times New Roman" w:hAnsi="Times New Roman"/>
          <w:sz w:val="24"/>
          <w:szCs w:val="24"/>
        </w:rPr>
        <w:t xml:space="preserve"> </w:t>
      </w:r>
      <w:r w:rsidR="00EB0CDE">
        <w:rPr>
          <w:rFonts w:ascii="Times New Roman" w:eastAsia="Times New Roman" w:hAnsi="Times New Roman"/>
          <w:sz w:val="24"/>
          <w:szCs w:val="24"/>
        </w:rPr>
        <w:t>Wide Area WorkFlow (</w:t>
      </w:r>
      <w:r w:rsidRPr="004F771B">
        <w:rPr>
          <w:rFonts w:ascii="Times New Roman" w:eastAsia="Times New Roman" w:hAnsi="Times New Roman"/>
          <w:sz w:val="24"/>
          <w:szCs w:val="24"/>
        </w:rPr>
        <w:t>WAWF</w:t>
      </w:r>
      <w:r w:rsidR="00EB0CDE">
        <w:rPr>
          <w:rFonts w:ascii="Times New Roman" w:eastAsia="Times New Roman" w:hAnsi="Times New Roman"/>
          <w:sz w:val="24"/>
          <w:szCs w:val="24"/>
        </w:rPr>
        <w:t>)</w:t>
      </w:r>
      <w:r w:rsidRPr="004F771B">
        <w:rPr>
          <w:rFonts w:ascii="Times New Roman" w:eastAsia="Times New Roman" w:hAnsi="Times New Roman"/>
          <w:sz w:val="24"/>
          <w:szCs w:val="24"/>
        </w:rPr>
        <w:t xml:space="preserve"> to carry additional data fields found on contracts and delivery orders to the WAWF receiving report (RR) as requested by DLMS Trading partners supporting </w:t>
      </w:r>
      <w:r w:rsidR="00EB0CDE">
        <w:rPr>
          <w:rFonts w:ascii="Times New Roman" w:eastAsia="Times New Roman" w:hAnsi="Times New Roman"/>
          <w:sz w:val="24"/>
          <w:szCs w:val="24"/>
        </w:rPr>
        <w:t>Security Cooperation (</w:t>
      </w:r>
      <w:r w:rsidRPr="004F771B">
        <w:rPr>
          <w:rFonts w:ascii="Times New Roman" w:eastAsia="Times New Roman" w:hAnsi="Times New Roman"/>
          <w:sz w:val="24"/>
          <w:szCs w:val="24"/>
        </w:rPr>
        <w:t>SC</w:t>
      </w:r>
      <w:r w:rsidR="00EB0CDE">
        <w:rPr>
          <w:rFonts w:ascii="Times New Roman" w:eastAsia="Times New Roman" w:hAnsi="Times New Roman"/>
          <w:sz w:val="24"/>
          <w:szCs w:val="24"/>
        </w:rPr>
        <w:t>)</w:t>
      </w:r>
      <w:r w:rsidRPr="004F771B">
        <w:rPr>
          <w:rFonts w:ascii="Times New Roman" w:eastAsia="Times New Roman" w:hAnsi="Times New Roman"/>
          <w:sz w:val="24"/>
          <w:szCs w:val="24"/>
        </w:rPr>
        <w:t xml:space="preserve"> shipments.  Revises </w:t>
      </w:r>
      <w:r w:rsidR="00A675AA">
        <w:rPr>
          <w:rFonts w:ascii="Times New Roman" w:eastAsia="Times New Roman" w:hAnsi="Times New Roman"/>
          <w:sz w:val="24"/>
          <w:szCs w:val="24"/>
        </w:rPr>
        <w:t xml:space="preserve">Appendix 4 </w:t>
      </w:r>
      <w:r w:rsidRPr="004F771B">
        <w:rPr>
          <w:rFonts w:ascii="Times New Roman" w:eastAsia="Times New Roman" w:hAnsi="Times New Roman"/>
          <w:sz w:val="24"/>
          <w:szCs w:val="24"/>
        </w:rPr>
        <w:t xml:space="preserve">and DLMS </w:t>
      </w:r>
      <w:r w:rsidR="00843479">
        <w:rPr>
          <w:rFonts w:ascii="Times New Roman" w:eastAsia="Times New Roman" w:hAnsi="Times New Roman"/>
          <w:sz w:val="24"/>
          <w:szCs w:val="24"/>
        </w:rPr>
        <w:t xml:space="preserve">Implementation Convention (IC) </w:t>
      </w:r>
      <w:r w:rsidR="00A675AA">
        <w:rPr>
          <w:rFonts w:ascii="Times New Roman" w:eastAsia="Times New Roman" w:hAnsi="Times New Roman"/>
          <w:sz w:val="24"/>
          <w:szCs w:val="24"/>
        </w:rPr>
        <w:t>856</w:t>
      </w:r>
      <w:r w:rsidRPr="004F771B">
        <w:rPr>
          <w:rFonts w:ascii="Times New Roman" w:eastAsia="Times New Roman" w:hAnsi="Times New Roman"/>
          <w:sz w:val="24"/>
          <w:szCs w:val="24"/>
        </w:rPr>
        <w:t>.</w:t>
      </w:r>
    </w:p>
    <w:p w14:paraId="500B6725" w14:textId="62E8E460" w:rsidR="004F771B" w:rsidRPr="004F771B" w:rsidRDefault="004F771B" w:rsidP="004F771B">
      <w:pPr>
        <w:pStyle w:val="ListParagraph"/>
        <w:numPr>
          <w:ilvl w:val="0"/>
          <w:numId w:val="2"/>
        </w:numPr>
        <w:ind w:left="0" w:firstLine="900"/>
        <w:rPr>
          <w:rFonts w:ascii="Times New Roman" w:eastAsia="Times New Roman" w:hAnsi="Times New Roman"/>
          <w:sz w:val="24"/>
          <w:szCs w:val="24"/>
        </w:rPr>
      </w:pPr>
      <w:r>
        <w:rPr>
          <w:rFonts w:ascii="Times New Roman" w:eastAsia="Times New Roman" w:hAnsi="Times New Roman"/>
          <w:sz w:val="24"/>
          <w:szCs w:val="24"/>
        </w:rPr>
        <w:t xml:space="preserve">  </w:t>
      </w:r>
      <w:r w:rsidRPr="004F771B">
        <w:rPr>
          <w:rFonts w:ascii="Times New Roman" w:eastAsia="Times New Roman" w:hAnsi="Times New Roman"/>
          <w:sz w:val="24"/>
          <w:szCs w:val="24"/>
        </w:rPr>
        <w:t xml:space="preserve">ADC 1119A dated July </w:t>
      </w:r>
      <w:r>
        <w:rPr>
          <w:rFonts w:ascii="Times New Roman" w:eastAsia="Times New Roman" w:hAnsi="Times New Roman"/>
          <w:sz w:val="24"/>
          <w:szCs w:val="24"/>
        </w:rPr>
        <w:t>24</w:t>
      </w:r>
      <w:r w:rsidRPr="004F771B">
        <w:rPr>
          <w:rFonts w:ascii="Times New Roman" w:eastAsia="Times New Roman" w:hAnsi="Times New Roman"/>
          <w:sz w:val="24"/>
          <w:szCs w:val="24"/>
        </w:rPr>
        <w:t>, 2014.  Update</w:t>
      </w:r>
      <w:r w:rsidR="009B72CC">
        <w:rPr>
          <w:rFonts w:ascii="Times New Roman" w:eastAsia="Times New Roman" w:hAnsi="Times New Roman"/>
          <w:sz w:val="24"/>
          <w:szCs w:val="24"/>
        </w:rPr>
        <w:t>d</w:t>
      </w:r>
      <w:r w:rsidRPr="004F771B">
        <w:rPr>
          <w:rFonts w:ascii="Times New Roman" w:eastAsia="Times New Roman" w:hAnsi="Times New Roman"/>
          <w:sz w:val="24"/>
          <w:szCs w:val="24"/>
        </w:rPr>
        <w:t xml:space="preserve"> the DLMS Unit of Materiel Measure (Unit of Issue/Purchase Unit) Conversion Guide to add Actual Tonnes and the corresponding X12 Code 51 and DOD Code 51.  Revises </w:t>
      </w:r>
      <w:r w:rsidR="00A675AA">
        <w:rPr>
          <w:rFonts w:ascii="Times New Roman" w:eastAsia="Times New Roman" w:hAnsi="Times New Roman"/>
          <w:sz w:val="24"/>
          <w:szCs w:val="24"/>
        </w:rPr>
        <w:t>Appendix 4</w:t>
      </w:r>
      <w:r w:rsidRPr="004F771B">
        <w:rPr>
          <w:rFonts w:ascii="Times New Roman" w:eastAsia="Times New Roman" w:hAnsi="Times New Roman"/>
          <w:sz w:val="24"/>
          <w:szCs w:val="24"/>
        </w:rPr>
        <w:t>.</w:t>
      </w:r>
    </w:p>
    <w:p w14:paraId="7551A6FB" w14:textId="240297A2" w:rsidR="00774233" w:rsidRPr="004268AD" w:rsidRDefault="007A4606" w:rsidP="004268AD">
      <w:pPr>
        <w:widowControl w:val="0"/>
        <w:spacing w:after="240"/>
        <w:ind w:right="706"/>
      </w:pPr>
      <w:r>
        <w:t>III. The list below identifies the chapters, appendices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tblGrid>
      <w:tr w:rsidR="00A675AA" w:rsidRPr="003D312C" w14:paraId="74C79AE9" w14:textId="77777777" w:rsidTr="008A61A9">
        <w:trPr>
          <w:cantSplit/>
          <w:trHeight w:hRule="exact" w:val="460"/>
          <w:tblHeader/>
          <w:jc w:val="center"/>
        </w:trPr>
        <w:tc>
          <w:tcPr>
            <w:tcW w:w="3150" w:type="dxa"/>
          </w:tcPr>
          <w:p w14:paraId="1A27A0C2" w14:textId="3E1740F0" w:rsidR="00A675AA" w:rsidRDefault="00A675AA" w:rsidP="000E4DEC">
            <w:pPr>
              <w:spacing w:after="80"/>
              <w:ind w:right="-14"/>
              <w:rPr>
                <w:b/>
                <w:bCs/>
                <w:u w:val="single"/>
              </w:rPr>
            </w:pPr>
            <w:r>
              <w:rPr>
                <w:b/>
                <w:bCs/>
                <w:u w:val="single"/>
              </w:rPr>
              <w:t xml:space="preserve">Added or </w:t>
            </w:r>
            <w:r w:rsidRPr="003D312C">
              <w:rPr>
                <w:b/>
                <w:bCs/>
                <w:u w:val="single"/>
              </w:rPr>
              <w:t>Replaced Files</w:t>
            </w:r>
          </w:p>
        </w:tc>
      </w:tr>
      <w:tr w:rsidR="00A675AA" w:rsidRPr="000B3DAB" w14:paraId="74C79AEB" w14:textId="77777777" w:rsidTr="008A61A9">
        <w:trPr>
          <w:cantSplit/>
          <w:trHeight w:hRule="exact" w:val="301"/>
          <w:tblHeader/>
          <w:jc w:val="center"/>
        </w:trPr>
        <w:tc>
          <w:tcPr>
            <w:tcW w:w="3150" w:type="dxa"/>
          </w:tcPr>
          <w:p w14:paraId="5A454BDE" w14:textId="1D2302F1" w:rsidR="00A675AA" w:rsidRPr="000B3DAB" w:rsidRDefault="00A675AA" w:rsidP="0064224A">
            <w:pPr>
              <w:spacing w:before="40" w:after="40"/>
              <w:ind w:right="-14"/>
            </w:pPr>
            <w:r w:rsidRPr="000B3DAB">
              <w:t>Change History Page</w:t>
            </w:r>
          </w:p>
        </w:tc>
      </w:tr>
      <w:tr w:rsidR="00A675AA" w:rsidRPr="000B3DAB" w14:paraId="74C79AED" w14:textId="77777777" w:rsidTr="008A61A9">
        <w:trPr>
          <w:cantSplit/>
          <w:trHeight w:hRule="exact" w:val="301"/>
          <w:tblHeader/>
          <w:jc w:val="center"/>
        </w:trPr>
        <w:tc>
          <w:tcPr>
            <w:tcW w:w="3150" w:type="dxa"/>
          </w:tcPr>
          <w:p w14:paraId="5268C714" w14:textId="02B96403" w:rsidR="00A675AA" w:rsidRPr="000B3DAB" w:rsidRDefault="00A675AA" w:rsidP="0064224A">
            <w:pPr>
              <w:spacing w:before="40" w:after="40"/>
              <w:ind w:right="-14"/>
            </w:pPr>
            <w:r>
              <w:t>Chapter 4</w:t>
            </w:r>
          </w:p>
        </w:tc>
      </w:tr>
      <w:tr w:rsidR="00A675AA" w:rsidRPr="000B3DAB" w14:paraId="3971E399" w14:textId="77777777" w:rsidTr="008A61A9">
        <w:trPr>
          <w:cantSplit/>
          <w:trHeight w:hRule="exact" w:val="301"/>
          <w:tblHeader/>
          <w:jc w:val="center"/>
        </w:trPr>
        <w:tc>
          <w:tcPr>
            <w:tcW w:w="3150" w:type="dxa"/>
          </w:tcPr>
          <w:p w14:paraId="50459F51" w14:textId="2206DD47" w:rsidR="00A675AA" w:rsidRDefault="00A675AA" w:rsidP="0064224A">
            <w:pPr>
              <w:spacing w:before="40" w:after="40"/>
              <w:ind w:right="-14"/>
            </w:pPr>
            <w:r>
              <w:t>Appendix 2</w:t>
            </w:r>
          </w:p>
        </w:tc>
      </w:tr>
      <w:tr w:rsidR="00A675AA" w:rsidRPr="000B3DAB" w14:paraId="6270B3A5" w14:textId="77777777" w:rsidTr="008A61A9">
        <w:trPr>
          <w:cantSplit/>
          <w:trHeight w:hRule="exact" w:val="301"/>
          <w:tblHeader/>
          <w:jc w:val="center"/>
        </w:trPr>
        <w:tc>
          <w:tcPr>
            <w:tcW w:w="3150" w:type="dxa"/>
          </w:tcPr>
          <w:p w14:paraId="24E1DC09" w14:textId="51916984" w:rsidR="00A675AA" w:rsidRPr="00A675AA" w:rsidRDefault="00A675AA" w:rsidP="00A675AA">
            <w:pPr>
              <w:spacing w:before="40" w:after="40"/>
              <w:ind w:right="-14"/>
              <w:rPr>
                <w:b/>
              </w:rPr>
            </w:pPr>
            <w:r>
              <w:t>Appendix 3</w:t>
            </w:r>
          </w:p>
        </w:tc>
      </w:tr>
      <w:tr w:rsidR="00A675AA" w:rsidRPr="000B3DAB" w14:paraId="57AD82C3" w14:textId="77777777" w:rsidTr="008A61A9">
        <w:trPr>
          <w:cantSplit/>
          <w:trHeight w:hRule="exact" w:val="301"/>
          <w:tblHeader/>
          <w:jc w:val="center"/>
        </w:trPr>
        <w:tc>
          <w:tcPr>
            <w:tcW w:w="3150" w:type="dxa"/>
          </w:tcPr>
          <w:p w14:paraId="7971AF06" w14:textId="0A45EF4D" w:rsidR="00A675AA" w:rsidRPr="00A675AA" w:rsidRDefault="00A675AA" w:rsidP="00A675AA">
            <w:pPr>
              <w:spacing w:before="40" w:after="40"/>
              <w:ind w:right="-14"/>
              <w:rPr>
                <w:b/>
              </w:rPr>
            </w:pPr>
            <w:r>
              <w:t>Appendix 4</w:t>
            </w:r>
          </w:p>
        </w:tc>
      </w:tr>
    </w:tbl>
    <w:p w14:paraId="3E4E21C8" w14:textId="215ACE1F" w:rsidR="00854BF3" w:rsidRDefault="00854BF3" w:rsidP="00854BF3">
      <w:pPr>
        <w:keepNext/>
        <w:keepLines/>
        <w:spacing w:before="240" w:after="240"/>
        <w:ind w:right="-14"/>
      </w:pPr>
      <w:r>
        <w:rPr>
          <w:color w:val="000000" w:themeColor="text1"/>
        </w:rPr>
        <w:lastRenderedPageBreak/>
        <w:t xml:space="preserve">IV. This change is incorporated into the on-line DLMS manual at the </w:t>
      </w:r>
      <w:r w:rsidR="00F05978">
        <w:rPr>
          <w:color w:val="000000" w:themeColor="text1"/>
        </w:rPr>
        <w:t>Enterprise Business Standards Office</w:t>
      </w:r>
      <w:r>
        <w:rPr>
          <w:color w:val="000000" w:themeColor="text1"/>
        </w:rPr>
        <w:t xml:space="preserve"> </w:t>
      </w:r>
      <w:r>
        <w:t>Publications Page</w:t>
      </w:r>
      <w:r>
        <w:rPr>
          <w:color w:val="000000" w:themeColor="text1"/>
        </w:rPr>
        <w:t xml:space="preserve"> and the PDF file containin</w:t>
      </w:r>
      <w:bookmarkStart w:id="0" w:name="_GoBack"/>
      <w:bookmarkEnd w:id="0"/>
      <w:r>
        <w:rPr>
          <w:color w:val="000000" w:themeColor="text1"/>
        </w:rPr>
        <w:t>g the entire set of change files is available on the Formal Changes Page.</w:t>
      </w:r>
    </w:p>
    <w:p w14:paraId="74C79AFC" w14:textId="6B6EA9CD" w:rsidR="00EA1F41" w:rsidRPr="006F6A11" w:rsidRDefault="001864DB" w:rsidP="00EA1F41">
      <w:r>
        <w:tab/>
      </w:r>
      <w:r>
        <w:tab/>
      </w:r>
    </w:p>
    <w:p w14:paraId="74C79AFD" w14:textId="6EEC5E4D" w:rsidR="00EA1F41" w:rsidRPr="006F6A11" w:rsidRDefault="001864DB" w:rsidP="00EA1F41">
      <w:r>
        <w:tab/>
      </w:r>
      <w:r>
        <w:tab/>
      </w:r>
      <w:r>
        <w:tab/>
      </w:r>
      <w:r>
        <w:tab/>
      </w:r>
    </w:p>
    <w:p w14:paraId="74C79AFE" w14:textId="1BA0B638" w:rsidR="00EA1F41" w:rsidRPr="006F6A11" w:rsidRDefault="001864DB" w:rsidP="00465C9F">
      <w:pPr>
        <w:ind w:left="3600" w:firstLine="720"/>
      </w:pPr>
      <w:r>
        <w:rPr>
          <w:noProof/>
        </w:rPr>
        <w:drawing>
          <wp:inline distT="0" distB="0" distL="0" distR="0" wp14:anchorId="7F7B3C09" wp14:editId="2E3EFAA9">
            <wp:extent cx="3189767" cy="11583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93277" cy="1159664"/>
                    </a:xfrm>
                    <a:prstGeom prst="rect">
                      <a:avLst/>
                    </a:prstGeom>
                  </pic:spPr>
                </pic:pic>
              </a:graphicData>
            </a:graphic>
          </wp:inline>
        </w:drawing>
      </w:r>
    </w:p>
    <w:p w14:paraId="74C79B01" w14:textId="744A5FD4" w:rsidR="009B2F79" w:rsidRPr="006F6A11" w:rsidRDefault="00EA1F41" w:rsidP="001864DB">
      <w:pPr>
        <w:tabs>
          <w:tab w:val="left" w:pos="4320"/>
        </w:tabs>
      </w:pPr>
      <w:r w:rsidRPr="006F6A11">
        <w:tab/>
      </w:r>
    </w:p>
    <w:sectPr w:rsidR="009B2F79" w:rsidRPr="006F6A11" w:rsidSect="004268AD">
      <w:pgSz w:w="12240" w:h="15840"/>
      <w:pgMar w:top="982"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10C4" w14:textId="77777777" w:rsidR="00026D58" w:rsidRDefault="00026D58">
      <w:r>
        <w:separator/>
      </w:r>
    </w:p>
  </w:endnote>
  <w:endnote w:type="continuationSeparator" w:id="0">
    <w:p w14:paraId="7CD6DDB7" w14:textId="77777777" w:rsidR="00026D58" w:rsidRDefault="00026D58">
      <w:r>
        <w:continuationSeparator/>
      </w:r>
    </w:p>
  </w:endnote>
  <w:endnote w:type="continuationNotice" w:id="1">
    <w:p w14:paraId="431C93AF" w14:textId="77777777" w:rsidR="007B37BE" w:rsidRDefault="007B3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76D4" w14:textId="77777777" w:rsidR="00026D58" w:rsidRDefault="00026D58">
      <w:r>
        <w:separator/>
      </w:r>
    </w:p>
  </w:footnote>
  <w:footnote w:type="continuationSeparator" w:id="0">
    <w:p w14:paraId="48B03A09" w14:textId="77777777" w:rsidR="00026D58" w:rsidRDefault="00026D58">
      <w:r>
        <w:continuationSeparator/>
      </w:r>
    </w:p>
  </w:footnote>
  <w:footnote w:type="continuationNotice" w:id="1">
    <w:p w14:paraId="083BD6E5" w14:textId="77777777" w:rsidR="007B37BE" w:rsidRDefault="007B37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50B7556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E6"/>
    <w:rsid w:val="000010FB"/>
    <w:rsid w:val="00006915"/>
    <w:rsid w:val="00007A72"/>
    <w:rsid w:val="00026D58"/>
    <w:rsid w:val="0003425D"/>
    <w:rsid w:val="00055220"/>
    <w:rsid w:val="00075C36"/>
    <w:rsid w:val="0008687E"/>
    <w:rsid w:val="000D54E6"/>
    <w:rsid w:val="000E4A8A"/>
    <w:rsid w:val="000E4DEC"/>
    <w:rsid w:val="000F7226"/>
    <w:rsid w:val="001058F4"/>
    <w:rsid w:val="00114FDC"/>
    <w:rsid w:val="00125389"/>
    <w:rsid w:val="0016353D"/>
    <w:rsid w:val="001723BC"/>
    <w:rsid w:val="001822BB"/>
    <w:rsid w:val="00186203"/>
    <w:rsid w:val="001864DB"/>
    <w:rsid w:val="00195DCE"/>
    <w:rsid w:val="001D1B5B"/>
    <w:rsid w:val="001D1F76"/>
    <w:rsid w:val="001E7833"/>
    <w:rsid w:val="001F2E01"/>
    <w:rsid w:val="001F5FFA"/>
    <w:rsid w:val="00250389"/>
    <w:rsid w:val="0028222D"/>
    <w:rsid w:val="0028500E"/>
    <w:rsid w:val="00286745"/>
    <w:rsid w:val="002974D3"/>
    <w:rsid w:val="002A2ABC"/>
    <w:rsid w:val="002F112B"/>
    <w:rsid w:val="002F2311"/>
    <w:rsid w:val="002F6167"/>
    <w:rsid w:val="00312A29"/>
    <w:rsid w:val="00327A0E"/>
    <w:rsid w:val="00333B11"/>
    <w:rsid w:val="00374DFB"/>
    <w:rsid w:val="003871D0"/>
    <w:rsid w:val="003873F2"/>
    <w:rsid w:val="003A51FF"/>
    <w:rsid w:val="003A5FFA"/>
    <w:rsid w:val="003A7968"/>
    <w:rsid w:val="003B18E9"/>
    <w:rsid w:val="003B6219"/>
    <w:rsid w:val="003D4CEB"/>
    <w:rsid w:val="003E5E5A"/>
    <w:rsid w:val="003F6A18"/>
    <w:rsid w:val="0041268E"/>
    <w:rsid w:val="004268AD"/>
    <w:rsid w:val="00433697"/>
    <w:rsid w:val="004355D6"/>
    <w:rsid w:val="0045038D"/>
    <w:rsid w:val="004551BC"/>
    <w:rsid w:val="00465C9F"/>
    <w:rsid w:val="00475EED"/>
    <w:rsid w:val="004B127B"/>
    <w:rsid w:val="004D1BA3"/>
    <w:rsid w:val="004E1FFF"/>
    <w:rsid w:val="004E722F"/>
    <w:rsid w:val="004F771B"/>
    <w:rsid w:val="005001FC"/>
    <w:rsid w:val="005014F0"/>
    <w:rsid w:val="00573575"/>
    <w:rsid w:val="00577ADD"/>
    <w:rsid w:val="00591666"/>
    <w:rsid w:val="005B055D"/>
    <w:rsid w:val="005B6C0F"/>
    <w:rsid w:val="005F402A"/>
    <w:rsid w:val="00607DF4"/>
    <w:rsid w:val="006141D7"/>
    <w:rsid w:val="006153D6"/>
    <w:rsid w:val="00616A4E"/>
    <w:rsid w:val="0062781F"/>
    <w:rsid w:val="0064224A"/>
    <w:rsid w:val="00647078"/>
    <w:rsid w:val="0065298B"/>
    <w:rsid w:val="00665E2A"/>
    <w:rsid w:val="006B57E1"/>
    <w:rsid w:val="006D6E9F"/>
    <w:rsid w:val="006F6A11"/>
    <w:rsid w:val="006F7EB4"/>
    <w:rsid w:val="00710D9C"/>
    <w:rsid w:val="00711BF3"/>
    <w:rsid w:val="007138DE"/>
    <w:rsid w:val="00726F50"/>
    <w:rsid w:val="0073569F"/>
    <w:rsid w:val="00774233"/>
    <w:rsid w:val="00775B76"/>
    <w:rsid w:val="007939FE"/>
    <w:rsid w:val="007A4606"/>
    <w:rsid w:val="007B013C"/>
    <w:rsid w:val="007B37BE"/>
    <w:rsid w:val="007C3AD4"/>
    <w:rsid w:val="007C757B"/>
    <w:rsid w:val="007E7F7E"/>
    <w:rsid w:val="00843479"/>
    <w:rsid w:val="00847419"/>
    <w:rsid w:val="00853ABE"/>
    <w:rsid w:val="00854BF3"/>
    <w:rsid w:val="00886B65"/>
    <w:rsid w:val="00895627"/>
    <w:rsid w:val="008A063C"/>
    <w:rsid w:val="008A61A9"/>
    <w:rsid w:val="008C4D6E"/>
    <w:rsid w:val="008C5BD6"/>
    <w:rsid w:val="008C7032"/>
    <w:rsid w:val="008E5500"/>
    <w:rsid w:val="008F6370"/>
    <w:rsid w:val="008F76AB"/>
    <w:rsid w:val="0090384D"/>
    <w:rsid w:val="009217DD"/>
    <w:rsid w:val="0093326E"/>
    <w:rsid w:val="00980E9A"/>
    <w:rsid w:val="009A625D"/>
    <w:rsid w:val="009B2F79"/>
    <w:rsid w:val="009B72CC"/>
    <w:rsid w:val="009D6800"/>
    <w:rsid w:val="009E3A69"/>
    <w:rsid w:val="009E65AE"/>
    <w:rsid w:val="009F0E6A"/>
    <w:rsid w:val="009F33CE"/>
    <w:rsid w:val="00A16682"/>
    <w:rsid w:val="00A27E33"/>
    <w:rsid w:val="00A30AA8"/>
    <w:rsid w:val="00A43CDA"/>
    <w:rsid w:val="00A461E1"/>
    <w:rsid w:val="00A675AA"/>
    <w:rsid w:val="00A833FC"/>
    <w:rsid w:val="00AB05D4"/>
    <w:rsid w:val="00AB4CA6"/>
    <w:rsid w:val="00AC5DD9"/>
    <w:rsid w:val="00AE33F6"/>
    <w:rsid w:val="00B04F88"/>
    <w:rsid w:val="00B14755"/>
    <w:rsid w:val="00B23455"/>
    <w:rsid w:val="00B50BF8"/>
    <w:rsid w:val="00B70D19"/>
    <w:rsid w:val="00B750CE"/>
    <w:rsid w:val="00BF1997"/>
    <w:rsid w:val="00C31A62"/>
    <w:rsid w:val="00C521EC"/>
    <w:rsid w:val="00C63D81"/>
    <w:rsid w:val="00C67291"/>
    <w:rsid w:val="00C83CE6"/>
    <w:rsid w:val="00CB2D13"/>
    <w:rsid w:val="00CD176C"/>
    <w:rsid w:val="00D03547"/>
    <w:rsid w:val="00D12E60"/>
    <w:rsid w:val="00D141E2"/>
    <w:rsid w:val="00D16B41"/>
    <w:rsid w:val="00D250E4"/>
    <w:rsid w:val="00D3484C"/>
    <w:rsid w:val="00D4001F"/>
    <w:rsid w:val="00D4403F"/>
    <w:rsid w:val="00D529F1"/>
    <w:rsid w:val="00D76590"/>
    <w:rsid w:val="00D868E7"/>
    <w:rsid w:val="00D97980"/>
    <w:rsid w:val="00D97A77"/>
    <w:rsid w:val="00DA0CBC"/>
    <w:rsid w:val="00DA698D"/>
    <w:rsid w:val="00DD08F5"/>
    <w:rsid w:val="00DE24C8"/>
    <w:rsid w:val="00DE6111"/>
    <w:rsid w:val="00E01E8F"/>
    <w:rsid w:val="00E10876"/>
    <w:rsid w:val="00E45A3D"/>
    <w:rsid w:val="00E6655F"/>
    <w:rsid w:val="00E839DC"/>
    <w:rsid w:val="00E8490B"/>
    <w:rsid w:val="00EA1F41"/>
    <w:rsid w:val="00EB0CDE"/>
    <w:rsid w:val="00EB2518"/>
    <w:rsid w:val="00EE2CC3"/>
    <w:rsid w:val="00F05978"/>
    <w:rsid w:val="00F31163"/>
    <w:rsid w:val="00F36A81"/>
    <w:rsid w:val="00F3781D"/>
    <w:rsid w:val="00F52A8D"/>
    <w:rsid w:val="00F67F39"/>
    <w:rsid w:val="00F7046F"/>
    <w:rsid w:val="00F719AB"/>
    <w:rsid w:val="00F742FA"/>
    <w:rsid w:val="00FA13D5"/>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C79ACE"/>
  <w15:docId w15:val="{B1DD30B9-7033-4EA5-9879-6136A438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character" w:styleId="FollowedHyperlink">
    <w:name w:val="FollowedHyperlink"/>
    <w:basedOn w:val="DefaultParagraphFont"/>
    <w:semiHidden/>
    <w:unhideWhenUsed/>
    <w:rsid w:val="00F52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3444-6A19-472A-B5B3-9F01ED60589E}"/>
</file>

<file path=customXml/itemProps2.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3.xml><?xml version="1.0" encoding="utf-8"?>
<ds:datastoreItem xmlns:ds="http://schemas.openxmlformats.org/officeDocument/2006/customXml" ds:itemID="{9437E2D2-3377-49CF-ACBB-8CE6926F3E39}">
  <ds:schemaRefs>
    <ds:schemaRef ds:uri="http://purl.org/dc/dcmitype/"/>
    <ds:schemaRef ds:uri="http://purl.org/dc/elements/1.1/"/>
    <ds:schemaRef ds:uri="http://schemas.microsoft.com/sharepoint/v4"/>
    <ds:schemaRef ds:uri="http://www.w3.org/XML/1998/namespace"/>
    <ds:schemaRef ds:uri="1019005c-580f-42ae-adec-ba9490377f66"/>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terms/"/>
    <ds:schemaRef ds:uri="285639a9-1903-4c4b-b008-ef5107d44cb5"/>
  </ds:schemaRefs>
</ds:datastoreItem>
</file>

<file path=customXml/itemProps4.xml><?xml version="1.0" encoding="utf-8"?>
<ds:datastoreItem xmlns:ds="http://schemas.openxmlformats.org/officeDocument/2006/customXml" ds:itemID="{E208A3E8-B0E7-4E5D-A8BC-0231054F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E0AC8536</Template>
  <TotalTime>224</TotalTime>
  <Pages>3</Pages>
  <Words>764</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DLMS V1 Change 1 Letter</vt:lpstr>
    </vt:vector>
  </TitlesOfParts>
  <Company>DoD</Company>
  <LinksUpToDate>false</LinksUpToDate>
  <CharactersWithSpaces>4926</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V1 Change 1 Letter</dc:title>
  <dc:creator>prezzysm</dc:creator>
  <cp:lastModifiedBy>Nguyen, Bao X CTR DLA INFO OPERATIONS (US)</cp:lastModifiedBy>
  <cp:revision>44</cp:revision>
  <cp:lastPrinted>2013-12-18T18:42:00Z</cp:lastPrinted>
  <dcterms:created xsi:type="dcterms:W3CDTF">2013-08-02T17:30:00Z</dcterms:created>
  <dcterms:modified xsi:type="dcterms:W3CDTF">2018-11-02T17:27:00Z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30600</vt:r8>
  </property>
  <property fmtid="{D5CDD505-2E9C-101B-9397-08002B2CF9AE}" pid="4" name="xd_ProgID">
    <vt:lpwstr/>
  </property>
  <property fmtid="{D5CDD505-2E9C-101B-9397-08002B2CF9AE}" pid="5" name="TemplateUrl">
    <vt:lpwstr/>
  </property>
</Properties>
</file>