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196D" w14:textId="77777777" w:rsidR="007124B1" w:rsidRPr="00D71C13" w:rsidRDefault="007D39E7" w:rsidP="00DC377E">
      <w:pPr>
        <w:spacing w:after="240"/>
        <w:jc w:val="center"/>
        <w:rPr>
          <w:b/>
          <w:sz w:val="44"/>
          <w:szCs w:val="48"/>
          <w:u w:val="single"/>
        </w:rPr>
      </w:pPr>
      <w:r w:rsidRPr="00D71C13">
        <w:rPr>
          <w:b/>
          <w:sz w:val="44"/>
          <w:szCs w:val="48"/>
          <w:u w:val="single"/>
        </w:rPr>
        <w:t>C</w:t>
      </w:r>
      <w:r w:rsidR="0036131A">
        <w:rPr>
          <w:b/>
          <w:sz w:val="44"/>
          <w:szCs w:val="48"/>
          <w:u w:val="single"/>
        </w:rPr>
        <w:t>4</w:t>
      </w:r>
      <w:r w:rsidRPr="00D71C13">
        <w:rPr>
          <w:b/>
          <w:sz w:val="44"/>
          <w:szCs w:val="48"/>
          <w:u w:val="single"/>
        </w:rPr>
        <w:t xml:space="preserve">. CHAPTER </w:t>
      </w:r>
      <w:r w:rsidR="0036131A">
        <w:rPr>
          <w:b/>
          <w:sz w:val="44"/>
          <w:szCs w:val="48"/>
          <w:u w:val="single"/>
        </w:rPr>
        <w:t>4</w:t>
      </w:r>
    </w:p>
    <w:p w14:paraId="4FB3196E" w14:textId="77777777" w:rsidR="007124B1" w:rsidRPr="00D71C13" w:rsidRDefault="00E6023F" w:rsidP="00E979D5">
      <w:pPr>
        <w:spacing w:after="360"/>
        <w:ind w:left="360"/>
        <w:jc w:val="center"/>
        <w:rPr>
          <w:b/>
          <w:sz w:val="36"/>
          <w:szCs w:val="44"/>
        </w:rPr>
      </w:pPr>
      <w:r w:rsidRPr="00D71C13">
        <w:rPr>
          <w:b/>
          <w:sz w:val="36"/>
          <w:szCs w:val="44"/>
          <w:u w:val="single"/>
        </w:rPr>
        <w:t>FUNCTIONAL A</w:t>
      </w:r>
      <w:r w:rsidR="007124B1" w:rsidRPr="00D71C13">
        <w:rPr>
          <w:b/>
          <w:sz w:val="36"/>
          <w:szCs w:val="44"/>
          <w:u w:val="single"/>
        </w:rPr>
        <w:t>PPLICATION ERRORS</w:t>
      </w:r>
    </w:p>
    <w:p w14:paraId="4FB3196F" w14:textId="77777777" w:rsidR="007124B1" w:rsidRPr="00A23B0D" w:rsidRDefault="0036131A" w:rsidP="00134623">
      <w:pPr>
        <w:tabs>
          <w:tab w:val="left" w:pos="540"/>
          <w:tab w:val="left" w:pos="1080"/>
          <w:tab w:val="left" w:pos="1620"/>
          <w:tab w:val="left" w:pos="2160"/>
          <w:tab w:val="left" w:pos="2700"/>
        </w:tabs>
        <w:spacing w:after="240"/>
        <w:outlineLvl w:val="0"/>
      </w:pPr>
      <w:r>
        <w:t>C4</w:t>
      </w:r>
      <w:r w:rsidR="00DC377E" w:rsidRPr="00A23B0D">
        <w:t xml:space="preserve">.1.  </w:t>
      </w:r>
      <w:r w:rsidR="007124B1" w:rsidRPr="00A23B0D">
        <w:rPr>
          <w:u w:val="single"/>
        </w:rPr>
        <w:t>INTRODUCTION</w:t>
      </w:r>
    </w:p>
    <w:p w14:paraId="4FB31970" w14:textId="4CBFA8B0" w:rsidR="007124B1" w:rsidRPr="00A23B0D" w:rsidRDefault="003D490A" w:rsidP="00E979D5">
      <w:pPr>
        <w:keepNext/>
        <w:keepLines/>
        <w:tabs>
          <w:tab w:val="left" w:pos="540"/>
          <w:tab w:val="left" w:pos="1080"/>
          <w:tab w:val="left" w:pos="1620"/>
          <w:tab w:val="left" w:pos="2160"/>
          <w:tab w:val="left" w:pos="2700"/>
        </w:tabs>
        <w:spacing w:after="240"/>
      </w:pPr>
      <w:r w:rsidRPr="00A23B0D">
        <w:tab/>
      </w:r>
      <w:r w:rsidR="0036131A">
        <w:t>C4</w:t>
      </w:r>
      <w:r w:rsidR="00DC377E" w:rsidRPr="00A23B0D">
        <w:t xml:space="preserve">.1.1.  </w:t>
      </w:r>
      <w:r w:rsidR="00065392" w:rsidRPr="00065392">
        <w:rPr>
          <w:u w:val="single"/>
        </w:rPr>
        <w:t>Purpose</w:t>
      </w:r>
      <w:r w:rsidR="00065392" w:rsidRPr="00405B72">
        <w:t>.</w:t>
      </w:r>
      <w:r w:rsidR="007124B1" w:rsidRPr="00A23B0D">
        <w:t xml:space="preserve">  DoD Components</w:t>
      </w:r>
      <w:r w:rsidR="00F15211" w:rsidRPr="00A23B0D">
        <w:t>,</w:t>
      </w:r>
      <w:r w:rsidR="007124B1" w:rsidRPr="00A23B0D">
        <w:t xml:space="preserve"> Federal </w:t>
      </w:r>
      <w:r w:rsidR="000A70D7">
        <w:t>A</w:t>
      </w:r>
      <w:r w:rsidR="000A70D7" w:rsidRPr="00A23B0D">
        <w:t>gencies</w:t>
      </w:r>
      <w:r w:rsidR="007124B1" w:rsidRPr="00A23B0D">
        <w:t xml:space="preserve">, contractors, and foreign governments </w:t>
      </w:r>
      <w:r w:rsidR="00573C0E">
        <w:t xml:space="preserve">may </w:t>
      </w:r>
      <w:r w:rsidR="00466CA0">
        <w:t xml:space="preserve">use a variety of application systems to </w:t>
      </w:r>
      <w:r w:rsidR="007124B1" w:rsidRPr="00A23B0D">
        <w:t xml:space="preserve">exchange </w:t>
      </w:r>
      <w:r w:rsidR="0084406F">
        <w:t>Electronic Data Interchange (</w:t>
      </w:r>
      <w:r w:rsidR="00422F29">
        <w:t>EDI</w:t>
      </w:r>
      <w:r w:rsidR="0084406F">
        <w:t>)</w:t>
      </w:r>
      <w:r w:rsidR="00422F29">
        <w:t xml:space="preserve"> data based on </w:t>
      </w:r>
      <w:r w:rsidR="00D911F0">
        <w:t>Defense Logistics Management Standards</w:t>
      </w:r>
      <w:r w:rsidR="00AC57D2">
        <w:t xml:space="preserve"> (DLMS) </w:t>
      </w:r>
      <w:r w:rsidR="00E5040D" w:rsidRPr="00CD5641">
        <w:t>Implementation Convention</w:t>
      </w:r>
      <w:r w:rsidR="00E5040D">
        <w:t>s</w:t>
      </w:r>
      <w:r w:rsidR="00E5040D" w:rsidRPr="00A23B0D">
        <w:t xml:space="preserve"> </w:t>
      </w:r>
      <w:r w:rsidR="00E5040D">
        <w:t>(</w:t>
      </w:r>
      <w:r w:rsidR="007124B1" w:rsidRPr="00A23B0D">
        <w:t>IC</w:t>
      </w:r>
      <w:r w:rsidR="00E5040D">
        <w:t>)</w:t>
      </w:r>
      <w:r w:rsidR="007124B1" w:rsidRPr="00A23B0D">
        <w:t xml:space="preserve">.  The primary purpose of this manual is to establish standards through which these varied systems can </w:t>
      </w:r>
      <w:r w:rsidR="007F1BA6" w:rsidRPr="00230515">
        <w:t xml:space="preserve">interoperate </w:t>
      </w:r>
      <w:r w:rsidR="0084406F">
        <w:t>technically and functionally</w:t>
      </w:r>
      <w:r w:rsidR="007124B1" w:rsidRPr="00A23B0D">
        <w:t xml:space="preserve">.  This chapter describes </w:t>
      </w:r>
      <w:r w:rsidR="00E6023F" w:rsidRPr="00A23B0D">
        <w:t xml:space="preserve">use of </w:t>
      </w:r>
      <w:r w:rsidR="00573C0E">
        <w:t xml:space="preserve">the </w:t>
      </w:r>
      <w:r w:rsidR="00535BAB">
        <w:t xml:space="preserve">DLMS </w:t>
      </w:r>
      <w:r w:rsidR="00E6023F" w:rsidRPr="00A23B0D">
        <w:t xml:space="preserve">824R, Reject </w:t>
      </w:r>
      <w:r w:rsidR="001D0208" w:rsidRPr="00A23B0D">
        <w:t>Advice</w:t>
      </w:r>
      <w:r w:rsidR="00AD464C">
        <w:t xml:space="preserve"> Transaction</w:t>
      </w:r>
      <w:r w:rsidR="001D0208" w:rsidRPr="00A23B0D">
        <w:t xml:space="preserve"> </w:t>
      </w:r>
      <w:r w:rsidR="00466CA0">
        <w:t xml:space="preserve">to exchange information about </w:t>
      </w:r>
      <w:r w:rsidR="00E6023F" w:rsidRPr="00A23B0D">
        <w:t xml:space="preserve">functional errors not covered by DLMS status transactions.  </w:t>
      </w:r>
      <w:r w:rsidR="00573C0E">
        <w:t xml:space="preserve">The </w:t>
      </w:r>
      <w:r w:rsidR="00AD464C">
        <w:t xml:space="preserve">DLMS </w:t>
      </w:r>
      <w:r w:rsidR="00E6023F" w:rsidRPr="00A23B0D">
        <w:t>824R</w:t>
      </w:r>
      <w:r w:rsidR="00AD464C">
        <w:t xml:space="preserve"> Reject Advice Transaction</w:t>
      </w:r>
      <w:r w:rsidR="00E6023F" w:rsidRPr="00A23B0D">
        <w:t xml:space="preserve"> is not used to reject a transmission due to </w:t>
      </w:r>
      <w:r w:rsidR="0084406F" w:rsidRPr="00230515">
        <w:t>ASC</w:t>
      </w:r>
      <w:r w:rsidR="00E6023F" w:rsidRPr="00A23B0D">
        <w:t xml:space="preserve"> X12 syntactical errors.  A </w:t>
      </w:r>
      <w:r w:rsidR="00902DAB" w:rsidRPr="00902DAB">
        <w:rPr>
          <w:b/>
          <w:i/>
        </w:rPr>
        <w:t>DLMS</w:t>
      </w:r>
      <w:r w:rsidR="007F1BA6">
        <w:t xml:space="preserve"> IC 997, Functional </w:t>
      </w:r>
      <w:r w:rsidR="007F1BA6" w:rsidRPr="00230515">
        <w:t>Acknowledg</w:t>
      </w:r>
      <w:r w:rsidR="00E6023F" w:rsidRPr="00230515">
        <w:t>ment</w:t>
      </w:r>
      <w:r w:rsidR="00E6023F" w:rsidRPr="00A23B0D">
        <w:t xml:space="preserve"> </w:t>
      </w:r>
      <w:r w:rsidR="0043634D">
        <w:t>T</w:t>
      </w:r>
      <w:r w:rsidR="00E6023F" w:rsidRPr="00A23B0D">
        <w:t>ransaction is use</w:t>
      </w:r>
      <w:r w:rsidR="00E7200B" w:rsidRPr="00A23B0D">
        <w:t>d</w:t>
      </w:r>
      <w:r w:rsidR="00E6023F" w:rsidRPr="00A23B0D">
        <w:t xml:space="preserve"> for that purpose</w:t>
      </w:r>
      <w:r w:rsidR="0043634D">
        <w:t xml:space="preserve"> (DLM 4000.25-</w:t>
      </w:r>
      <w:r w:rsidR="00892328">
        <w:t>4</w:t>
      </w:r>
      <w:r w:rsidR="0043634D">
        <w:t xml:space="preserve">, “Defense </w:t>
      </w:r>
      <w:r w:rsidR="00012963">
        <w:t>Automatic</w:t>
      </w:r>
      <w:r w:rsidR="0043634D">
        <w:t xml:space="preserve"> Addressing System</w:t>
      </w:r>
      <w:r w:rsidR="00A75099">
        <w:t>”)</w:t>
      </w:r>
      <w:r w:rsidR="0043634D">
        <w:t>.</w:t>
      </w:r>
    </w:p>
    <w:p w14:paraId="4FB31971" w14:textId="65D03323" w:rsidR="007124B1" w:rsidRPr="00A23B0D" w:rsidRDefault="003D490A" w:rsidP="003D490A">
      <w:pPr>
        <w:tabs>
          <w:tab w:val="left" w:pos="540"/>
          <w:tab w:val="left" w:pos="1080"/>
          <w:tab w:val="left" w:pos="1620"/>
          <w:tab w:val="left" w:pos="2160"/>
          <w:tab w:val="left" w:pos="2700"/>
        </w:tabs>
        <w:spacing w:after="240"/>
      </w:pPr>
      <w:r w:rsidRPr="00A23B0D">
        <w:tab/>
      </w:r>
      <w:r w:rsidR="0036131A">
        <w:t>C4</w:t>
      </w:r>
      <w:r w:rsidR="00DC377E" w:rsidRPr="00A23B0D">
        <w:t xml:space="preserve">.1.2.  </w:t>
      </w:r>
      <w:r w:rsidR="007124B1" w:rsidRPr="00A23B0D">
        <w:rPr>
          <w:u w:val="single"/>
        </w:rPr>
        <w:t>Error Reduction</w:t>
      </w:r>
      <w:r w:rsidR="007124B1" w:rsidRPr="00A23B0D">
        <w:t>.  The primary means for reducing errors is for each DoD Component to ensure that outbound transactions are thoroughly edited to fully comply with the</w:t>
      </w:r>
      <w:r w:rsidR="000645F2">
        <w:t xml:space="preserve"> DLMS</w:t>
      </w:r>
      <w:r w:rsidR="007124B1" w:rsidRPr="00A23B0D">
        <w:t xml:space="preserve"> standards </w:t>
      </w:r>
      <w:r w:rsidR="000A621D">
        <w:t>and</w:t>
      </w:r>
      <w:r w:rsidR="007124B1" w:rsidRPr="00A23B0D">
        <w:t xml:space="preserve"> any DoD Componen</w:t>
      </w:r>
      <w:r w:rsidR="007C0AA4">
        <w:t>t-unique requirements.  R</w:t>
      </w:r>
      <w:r w:rsidR="007124B1" w:rsidRPr="00A23B0D">
        <w:t>eceiving applications will likely perform edits to preclude processing erroneous transactions that may cause incorrect actions, disrupt the integrity of other data, or disrupt the operation of the system as a whole.</w:t>
      </w:r>
    </w:p>
    <w:p w14:paraId="4FB31972" w14:textId="79F1DFAD" w:rsidR="007124B1" w:rsidRPr="00A23B0D" w:rsidRDefault="003D490A" w:rsidP="003D490A">
      <w:pPr>
        <w:tabs>
          <w:tab w:val="left" w:pos="540"/>
          <w:tab w:val="left" w:pos="1080"/>
          <w:tab w:val="left" w:pos="1620"/>
          <w:tab w:val="left" w:pos="2160"/>
          <w:tab w:val="left" w:pos="2700"/>
        </w:tabs>
        <w:spacing w:after="240"/>
        <w:rPr>
          <w:bCs/>
          <w:iCs/>
        </w:rPr>
      </w:pPr>
      <w:r w:rsidRPr="00A23B0D">
        <w:tab/>
      </w:r>
      <w:r w:rsidR="0036131A">
        <w:t>C4</w:t>
      </w:r>
      <w:r w:rsidR="00DC377E" w:rsidRPr="00A23B0D">
        <w:t xml:space="preserve">.1.3.  </w:t>
      </w:r>
      <w:r w:rsidR="007124B1" w:rsidRPr="00A23B0D">
        <w:rPr>
          <w:u w:val="single"/>
        </w:rPr>
        <w:t>Error Reporting</w:t>
      </w:r>
      <w:r w:rsidR="007124B1" w:rsidRPr="00A23B0D">
        <w:t xml:space="preserve">.  When receiving applications apply edit checks and discover </w:t>
      </w:r>
      <w:r w:rsidR="00E6023F" w:rsidRPr="00A23B0D">
        <w:t xml:space="preserve">functional </w:t>
      </w:r>
      <w:r w:rsidR="007124B1" w:rsidRPr="00A23B0D">
        <w:t xml:space="preserve">errors, the errors may be reported back to the originating </w:t>
      </w:r>
      <w:r w:rsidR="00E979D5">
        <w:t>activity</w:t>
      </w:r>
      <w:r w:rsidR="00CF3DB8" w:rsidRPr="00A23B0D">
        <w:t xml:space="preserve"> using </w:t>
      </w:r>
      <w:r w:rsidR="00857B3F">
        <w:rPr>
          <w:bCs/>
          <w:iCs/>
        </w:rPr>
        <w:t>DLMS</w:t>
      </w:r>
      <w:r w:rsidR="00CF3DB8" w:rsidRPr="00A23B0D">
        <w:rPr>
          <w:bCs/>
          <w:iCs/>
        </w:rPr>
        <w:t xml:space="preserve"> 824</w:t>
      </w:r>
      <w:r w:rsidR="002123AA" w:rsidRPr="00A23B0D">
        <w:rPr>
          <w:bCs/>
          <w:iCs/>
        </w:rPr>
        <w:t>R</w:t>
      </w:r>
      <w:r w:rsidR="007124B1" w:rsidRPr="00A23B0D">
        <w:rPr>
          <w:bCs/>
          <w:iCs/>
        </w:rPr>
        <w:t>.</w:t>
      </w:r>
    </w:p>
    <w:p w14:paraId="4FB31973" w14:textId="7F46AE76" w:rsidR="007124B1" w:rsidRPr="00A23B0D" w:rsidRDefault="0036131A" w:rsidP="00134623">
      <w:pPr>
        <w:tabs>
          <w:tab w:val="left" w:pos="540"/>
          <w:tab w:val="left" w:pos="1080"/>
          <w:tab w:val="left" w:pos="1620"/>
          <w:tab w:val="left" w:pos="2160"/>
          <w:tab w:val="left" w:pos="2700"/>
        </w:tabs>
        <w:spacing w:after="240"/>
        <w:outlineLvl w:val="0"/>
      </w:pPr>
      <w:r>
        <w:t>C4</w:t>
      </w:r>
      <w:r w:rsidR="00DC377E" w:rsidRPr="00A23B0D">
        <w:t xml:space="preserve">.2.  </w:t>
      </w:r>
      <w:r w:rsidR="00857B3F">
        <w:rPr>
          <w:u w:val="single"/>
        </w:rPr>
        <w:t>DLMS</w:t>
      </w:r>
      <w:r w:rsidR="00186F93" w:rsidRPr="00A23B0D">
        <w:rPr>
          <w:u w:val="single"/>
        </w:rPr>
        <w:t xml:space="preserve"> 8</w:t>
      </w:r>
      <w:r w:rsidR="007124B1" w:rsidRPr="00A23B0D">
        <w:rPr>
          <w:u w:val="single"/>
        </w:rPr>
        <w:t>24</w:t>
      </w:r>
      <w:r w:rsidR="002123AA" w:rsidRPr="00A23B0D">
        <w:rPr>
          <w:u w:val="single"/>
        </w:rPr>
        <w:t>R</w:t>
      </w:r>
      <w:r w:rsidR="00186F93" w:rsidRPr="00A23B0D">
        <w:rPr>
          <w:u w:val="single"/>
        </w:rPr>
        <w:t xml:space="preserve"> REJECT </w:t>
      </w:r>
      <w:r w:rsidR="007124B1" w:rsidRPr="00A23B0D">
        <w:rPr>
          <w:u w:val="single"/>
        </w:rPr>
        <w:t>ADVICE</w:t>
      </w:r>
    </w:p>
    <w:p w14:paraId="4FB31974" w14:textId="01D34472" w:rsidR="007124B1" w:rsidRPr="00A23B0D" w:rsidRDefault="003D490A" w:rsidP="003D490A">
      <w:pPr>
        <w:tabs>
          <w:tab w:val="left" w:pos="540"/>
          <w:tab w:val="left" w:pos="1080"/>
          <w:tab w:val="left" w:pos="1620"/>
          <w:tab w:val="left" w:pos="2160"/>
          <w:tab w:val="left" w:pos="2700"/>
        </w:tabs>
        <w:spacing w:after="240"/>
      </w:pPr>
      <w:r w:rsidRPr="00A23B0D">
        <w:tab/>
      </w:r>
      <w:r w:rsidR="0036131A">
        <w:t>C4</w:t>
      </w:r>
      <w:r w:rsidR="00DC377E" w:rsidRPr="00A23B0D">
        <w:t xml:space="preserve">.2.1.  </w:t>
      </w:r>
      <w:r w:rsidR="007124B1" w:rsidRPr="00A23B0D">
        <w:rPr>
          <w:u w:val="single"/>
        </w:rPr>
        <w:t>Implementation Convention Content</w:t>
      </w:r>
      <w:r w:rsidR="007124B1" w:rsidRPr="00A23B0D">
        <w:t>.</w:t>
      </w:r>
      <w:r w:rsidR="00405B72">
        <w:t xml:space="preserve">  </w:t>
      </w:r>
      <w:r w:rsidR="007124B1" w:rsidRPr="00A23B0D">
        <w:t xml:space="preserve">The </w:t>
      </w:r>
      <w:r w:rsidR="00857B3F">
        <w:t>DLMS</w:t>
      </w:r>
      <w:r w:rsidR="00351CD6">
        <w:t xml:space="preserve"> 824R, Reject Advice</w:t>
      </w:r>
      <w:r w:rsidR="00186F93" w:rsidRPr="00A23B0D">
        <w:t xml:space="preserve"> </w:t>
      </w:r>
      <w:r w:rsidR="0031683E">
        <w:t>will</w:t>
      </w:r>
      <w:r w:rsidR="007124B1" w:rsidRPr="00A23B0D">
        <w:t xml:space="preserve"> convey the following information when reporting errors to the originator:</w:t>
      </w:r>
    </w:p>
    <w:p w14:paraId="4FB31975" w14:textId="77A9A3DD" w:rsidR="007124B1" w:rsidRPr="00A23B0D" w:rsidRDefault="003D490A" w:rsidP="003D490A">
      <w:pPr>
        <w:tabs>
          <w:tab w:val="left" w:pos="540"/>
          <w:tab w:val="left" w:pos="1080"/>
          <w:tab w:val="left" w:pos="1620"/>
          <w:tab w:val="left" w:pos="2160"/>
          <w:tab w:val="left" w:pos="2700"/>
        </w:tabs>
        <w:spacing w:after="240"/>
      </w:pPr>
      <w:r w:rsidRPr="00A23B0D">
        <w:tab/>
      </w:r>
      <w:r w:rsidRPr="00A23B0D">
        <w:tab/>
      </w:r>
      <w:r w:rsidR="0036131A">
        <w:t>C4</w:t>
      </w:r>
      <w:r w:rsidR="00DC377E" w:rsidRPr="00A23B0D">
        <w:t xml:space="preserve">.2.1.1.  </w:t>
      </w:r>
      <w:r w:rsidR="007124B1" w:rsidRPr="00A23B0D">
        <w:rPr>
          <w:u w:val="single"/>
        </w:rPr>
        <w:t xml:space="preserve">Table 1 </w:t>
      </w:r>
      <w:r w:rsidR="000A621D">
        <w:rPr>
          <w:u w:val="single"/>
        </w:rPr>
        <w:t>D</w:t>
      </w:r>
      <w:r w:rsidR="007124B1" w:rsidRPr="00A23B0D">
        <w:rPr>
          <w:u w:val="single"/>
        </w:rPr>
        <w:t>ata</w:t>
      </w:r>
      <w:r w:rsidR="000A621D">
        <w:t>.</w:t>
      </w:r>
      <w:r w:rsidR="00186F93" w:rsidRPr="00A23B0D">
        <w:t xml:space="preserve">  </w:t>
      </w:r>
      <w:r w:rsidR="000A621D">
        <w:t>I</w:t>
      </w:r>
      <w:r w:rsidR="00186F93" w:rsidRPr="00A23B0D">
        <w:t xml:space="preserve">dentifies the originator of </w:t>
      </w:r>
      <w:r w:rsidR="00235A0B">
        <w:t xml:space="preserve">the </w:t>
      </w:r>
      <w:r w:rsidR="00857B3F">
        <w:t>DLMS</w:t>
      </w:r>
      <w:r w:rsidR="00186F93" w:rsidRPr="00A23B0D">
        <w:t xml:space="preserve"> 824R and the recipient, which is the originator of the erroneous transaction being rejected.</w:t>
      </w:r>
    </w:p>
    <w:p w14:paraId="4FB31976" w14:textId="77777777" w:rsidR="007124B1" w:rsidRPr="00A23B0D" w:rsidRDefault="003D490A" w:rsidP="003D490A">
      <w:pPr>
        <w:tabs>
          <w:tab w:val="left" w:pos="540"/>
          <w:tab w:val="left" w:pos="1080"/>
          <w:tab w:val="left" w:pos="1620"/>
          <w:tab w:val="left" w:pos="2160"/>
          <w:tab w:val="left" w:pos="2700"/>
        </w:tabs>
        <w:spacing w:after="240"/>
      </w:pPr>
      <w:r w:rsidRPr="00A23B0D">
        <w:tab/>
      </w:r>
      <w:r w:rsidRPr="00A23B0D">
        <w:tab/>
      </w:r>
      <w:r w:rsidR="0036131A">
        <w:t>C4</w:t>
      </w:r>
      <w:r w:rsidR="00DC377E" w:rsidRPr="00A23B0D">
        <w:t xml:space="preserve">.2.1.2.  </w:t>
      </w:r>
      <w:r w:rsidR="007124B1" w:rsidRPr="00A23B0D">
        <w:rPr>
          <w:u w:val="single"/>
        </w:rPr>
        <w:t xml:space="preserve">Table 2 </w:t>
      </w:r>
      <w:r w:rsidR="000A621D">
        <w:rPr>
          <w:u w:val="single"/>
        </w:rPr>
        <w:t>D</w:t>
      </w:r>
      <w:r w:rsidR="007124B1" w:rsidRPr="00A23B0D">
        <w:rPr>
          <w:u w:val="single"/>
        </w:rPr>
        <w:t>ata</w:t>
      </w:r>
    </w:p>
    <w:p w14:paraId="4FB31977" w14:textId="77777777" w:rsidR="007124B1" w:rsidRPr="00A23B0D" w:rsidRDefault="003D490A" w:rsidP="003D490A">
      <w:pPr>
        <w:tabs>
          <w:tab w:val="left" w:pos="540"/>
          <w:tab w:val="left" w:pos="1080"/>
          <w:tab w:val="left" w:pos="1620"/>
          <w:tab w:val="left" w:pos="2160"/>
          <w:tab w:val="left" w:pos="2700"/>
        </w:tabs>
        <w:spacing w:after="240"/>
      </w:pPr>
      <w:r w:rsidRPr="00A23B0D">
        <w:tab/>
      </w:r>
      <w:r w:rsidRPr="00A23B0D">
        <w:tab/>
      </w:r>
      <w:r w:rsidRPr="00A23B0D">
        <w:tab/>
      </w:r>
      <w:r w:rsidR="0036131A">
        <w:t>C4</w:t>
      </w:r>
      <w:r w:rsidR="00DC377E" w:rsidRPr="00A23B0D">
        <w:t xml:space="preserve">.2.1.2.1.  </w:t>
      </w:r>
      <w:r w:rsidR="00405B72">
        <w:t>I</w:t>
      </w:r>
      <w:r w:rsidR="00186F93" w:rsidRPr="00A23B0D">
        <w:t>dentifi</w:t>
      </w:r>
      <w:r w:rsidR="007E646A">
        <w:t>es</w:t>
      </w:r>
      <w:r w:rsidR="00186F93" w:rsidRPr="00A23B0D">
        <w:t xml:space="preserve"> the erroneous transaction</w:t>
      </w:r>
      <w:r w:rsidR="007E646A">
        <w:t>, specifically</w:t>
      </w:r>
      <w:r w:rsidR="00186F93" w:rsidRPr="00A23B0D">
        <w:t xml:space="preserve"> includ</w:t>
      </w:r>
      <w:r w:rsidR="007E646A">
        <w:t>ing the following data</w:t>
      </w:r>
      <w:r w:rsidR="00186F93" w:rsidRPr="00A23B0D">
        <w:t>:</w:t>
      </w:r>
    </w:p>
    <w:p w14:paraId="4FB31978" w14:textId="2CE9FEE8" w:rsidR="00186F93" w:rsidRPr="0031683E" w:rsidRDefault="00186F93" w:rsidP="003D490A">
      <w:pPr>
        <w:tabs>
          <w:tab w:val="left" w:pos="540"/>
          <w:tab w:val="left" w:pos="1080"/>
          <w:tab w:val="left" w:pos="1620"/>
          <w:tab w:val="left" w:pos="2160"/>
          <w:tab w:val="left" w:pos="2700"/>
        </w:tabs>
        <w:spacing w:after="240"/>
      </w:pPr>
      <w:r w:rsidRPr="0031683E">
        <w:lastRenderedPageBreak/>
        <w:tab/>
      </w:r>
      <w:r w:rsidRPr="0031683E">
        <w:tab/>
      </w:r>
      <w:r w:rsidRPr="0031683E">
        <w:tab/>
      </w:r>
      <w:r w:rsidRPr="0031683E">
        <w:tab/>
      </w:r>
      <w:r w:rsidR="0036131A" w:rsidRPr="0031683E">
        <w:t>C4</w:t>
      </w:r>
      <w:r w:rsidRPr="0031683E">
        <w:t xml:space="preserve">.2.1.2.1.1.  </w:t>
      </w:r>
      <w:r w:rsidR="00E75D2B" w:rsidRPr="0031683E">
        <w:t xml:space="preserve">Document </w:t>
      </w:r>
      <w:r w:rsidRPr="0031683E">
        <w:t xml:space="preserve">number or </w:t>
      </w:r>
      <w:r w:rsidR="0031683E" w:rsidRPr="00230515">
        <w:rPr>
          <w:rFonts w:cs="Arial"/>
        </w:rPr>
        <w:t>procurement instrument identifier (PIID).</w:t>
      </w:r>
      <w:r w:rsidR="0031683E" w:rsidRPr="00230515">
        <w:rPr>
          <w:rStyle w:val="FootnoteReference"/>
          <w:rFonts w:cs="Arial"/>
        </w:rPr>
        <w:footnoteReference w:id="1"/>
      </w:r>
      <w:r w:rsidR="0031683E" w:rsidRPr="00230515">
        <w:rPr>
          <w:rFonts w:cs="Arial"/>
        </w:rPr>
        <w:t xml:space="preserve">  When a contract is authorized under a PIID call/order number (F in 9</w:t>
      </w:r>
      <w:r w:rsidR="0031683E" w:rsidRPr="00230515">
        <w:rPr>
          <w:rFonts w:cs="Arial"/>
          <w:vertAlign w:val="superscript"/>
        </w:rPr>
        <w:t>th</w:t>
      </w:r>
      <w:r w:rsidR="0031683E" w:rsidRPr="00230515">
        <w:rPr>
          <w:rFonts w:cs="Arial"/>
        </w:rPr>
        <w:t xml:space="preserve"> position), provide the value in the PIID field</w:t>
      </w:r>
      <w:r w:rsidRPr="0031683E">
        <w:t>.</w:t>
      </w:r>
    </w:p>
    <w:p w14:paraId="4FB31979" w14:textId="77777777" w:rsidR="00186F93" w:rsidRPr="00A23B0D" w:rsidRDefault="00186F93" w:rsidP="003D490A">
      <w:pPr>
        <w:tabs>
          <w:tab w:val="left" w:pos="540"/>
          <w:tab w:val="left" w:pos="1080"/>
          <w:tab w:val="left" w:pos="1620"/>
          <w:tab w:val="left" w:pos="2160"/>
          <w:tab w:val="left" w:pos="2700"/>
        </w:tabs>
        <w:spacing w:after="240"/>
      </w:pPr>
      <w:r w:rsidRPr="00A23B0D">
        <w:tab/>
      </w:r>
      <w:r w:rsidRPr="00A23B0D">
        <w:tab/>
      </w:r>
      <w:r w:rsidRPr="00A23B0D">
        <w:tab/>
      </w:r>
      <w:r w:rsidRPr="00A23B0D">
        <w:tab/>
      </w:r>
      <w:r w:rsidR="0036131A">
        <w:t>C4</w:t>
      </w:r>
      <w:r w:rsidRPr="00A23B0D">
        <w:t>.2.1.2.1.2.  Transaction set control number.</w:t>
      </w:r>
    </w:p>
    <w:p w14:paraId="4FB3197A" w14:textId="77777777" w:rsidR="00186F93" w:rsidRPr="00A23B0D" w:rsidRDefault="00186F93" w:rsidP="003D490A">
      <w:pPr>
        <w:tabs>
          <w:tab w:val="left" w:pos="540"/>
          <w:tab w:val="left" w:pos="1080"/>
          <w:tab w:val="left" w:pos="1620"/>
          <w:tab w:val="left" w:pos="2160"/>
          <w:tab w:val="left" w:pos="2700"/>
        </w:tabs>
        <w:spacing w:after="240"/>
        <w:rPr>
          <w:lang w:val="fr-FR"/>
        </w:rPr>
      </w:pPr>
      <w:r w:rsidRPr="00A23B0D">
        <w:tab/>
      </w:r>
      <w:r w:rsidRPr="00A23B0D">
        <w:tab/>
      </w:r>
      <w:r w:rsidRPr="00A23B0D">
        <w:tab/>
      </w:r>
      <w:r w:rsidRPr="00A23B0D">
        <w:tab/>
      </w:r>
      <w:r w:rsidR="0036131A">
        <w:rPr>
          <w:lang w:val="fr-FR"/>
        </w:rPr>
        <w:t>C4</w:t>
      </w:r>
      <w:r w:rsidRPr="00A23B0D">
        <w:rPr>
          <w:lang w:val="fr-FR"/>
        </w:rPr>
        <w:t>.2.1.2.1.3.  Transaction set identifier code.</w:t>
      </w:r>
    </w:p>
    <w:p w14:paraId="4FB3197B" w14:textId="77777777" w:rsidR="00186F93" w:rsidRPr="00A23B0D" w:rsidRDefault="00186F93" w:rsidP="003D490A">
      <w:pPr>
        <w:tabs>
          <w:tab w:val="left" w:pos="540"/>
          <w:tab w:val="left" w:pos="1080"/>
          <w:tab w:val="left" w:pos="1620"/>
          <w:tab w:val="left" w:pos="2160"/>
          <w:tab w:val="left" w:pos="2700"/>
        </w:tabs>
        <w:spacing w:after="240"/>
      </w:pPr>
      <w:r w:rsidRPr="00A23B0D">
        <w:rPr>
          <w:lang w:val="fr-FR"/>
        </w:rPr>
        <w:tab/>
      </w:r>
      <w:r w:rsidRPr="00A23B0D">
        <w:rPr>
          <w:lang w:val="fr-FR"/>
        </w:rPr>
        <w:tab/>
      </w:r>
      <w:r w:rsidRPr="00A23B0D">
        <w:rPr>
          <w:lang w:val="fr-FR"/>
        </w:rPr>
        <w:tab/>
      </w:r>
      <w:r w:rsidRPr="00A23B0D">
        <w:rPr>
          <w:lang w:val="fr-FR"/>
        </w:rPr>
        <w:tab/>
      </w:r>
      <w:r w:rsidR="0036131A">
        <w:t>C4</w:t>
      </w:r>
      <w:r w:rsidRPr="00A23B0D">
        <w:t>.2.1.2.1.4.  Beginning segment information as applicable</w:t>
      </w:r>
      <w:r w:rsidR="00E85111">
        <w:t xml:space="preserve"> (e.g.,</w:t>
      </w:r>
      <w:r w:rsidRPr="00A23B0D">
        <w:t xml:space="preserve"> transaction set purpose code, transaction type code, report type code, action code</w:t>
      </w:r>
      <w:r w:rsidR="00E85111">
        <w:t>)</w:t>
      </w:r>
      <w:r w:rsidRPr="00A23B0D">
        <w:t>.</w:t>
      </w:r>
    </w:p>
    <w:p w14:paraId="4FB3197C" w14:textId="1EB57EF1" w:rsidR="00186F93" w:rsidRPr="00A23B0D" w:rsidRDefault="00186F93" w:rsidP="003D490A">
      <w:pPr>
        <w:tabs>
          <w:tab w:val="left" w:pos="540"/>
          <w:tab w:val="left" w:pos="1080"/>
          <w:tab w:val="left" w:pos="1620"/>
          <w:tab w:val="left" w:pos="2160"/>
          <w:tab w:val="left" w:pos="2700"/>
        </w:tabs>
        <w:spacing w:after="240"/>
      </w:pPr>
      <w:r w:rsidRPr="00A23B0D">
        <w:tab/>
      </w:r>
      <w:r w:rsidRPr="00A23B0D">
        <w:tab/>
      </w:r>
      <w:r w:rsidRPr="00A23B0D">
        <w:tab/>
      </w:r>
      <w:r w:rsidRPr="00A23B0D">
        <w:tab/>
      </w:r>
      <w:r w:rsidR="0036131A">
        <w:t>C4</w:t>
      </w:r>
      <w:r w:rsidR="00F11C1C">
        <w:t>.2.1.2.1.5.  Identifying materie</w:t>
      </w:r>
      <w:r w:rsidRPr="00A23B0D">
        <w:t>l number (</w:t>
      </w:r>
      <w:r w:rsidR="001D0208" w:rsidRPr="00A23B0D">
        <w:t>e.g.</w:t>
      </w:r>
      <w:r w:rsidR="000A621D">
        <w:t>,</w:t>
      </w:r>
      <w:r w:rsidRPr="00A23B0D">
        <w:t xml:space="preserve"> National Stock</w:t>
      </w:r>
      <w:r w:rsidR="004347EE">
        <w:t xml:space="preserve"> </w:t>
      </w:r>
      <w:r w:rsidRPr="00A23B0D">
        <w:t>Number</w:t>
      </w:r>
      <w:r w:rsidR="007D79AC">
        <w:t xml:space="preserve"> (NSN)</w:t>
      </w:r>
      <w:r w:rsidR="000A621D">
        <w:t>,</w:t>
      </w:r>
      <w:r w:rsidRPr="00A23B0D">
        <w:t xml:space="preserve"> part number</w:t>
      </w:r>
      <w:r w:rsidR="007D79AC">
        <w:t xml:space="preserve"> (PN)</w:t>
      </w:r>
      <w:r w:rsidRPr="00A23B0D">
        <w:t>/CAGE)</w:t>
      </w:r>
    </w:p>
    <w:p w14:paraId="4FB3197D" w14:textId="77777777" w:rsidR="00186F93" w:rsidRPr="00A23B0D" w:rsidRDefault="00186F93" w:rsidP="003D490A">
      <w:pPr>
        <w:tabs>
          <w:tab w:val="left" w:pos="540"/>
          <w:tab w:val="left" w:pos="1080"/>
          <w:tab w:val="left" w:pos="1620"/>
          <w:tab w:val="left" w:pos="2160"/>
          <w:tab w:val="left" w:pos="2700"/>
        </w:tabs>
        <w:spacing w:after="240"/>
      </w:pPr>
      <w:r w:rsidRPr="00A23B0D">
        <w:tab/>
      </w:r>
      <w:r w:rsidRPr="00A23B0D">
        <w:tab/>
      </w:r>
      <w:r w:rsidRPr="00A23B0D">
        <w:tab/>
      </w:r>
      <w:r w:rsidRPr="00A23B0D">
        <w:tab/>
      </w:r>
      <w:r w:rsidR="0036131A">
        <w:t>C4</w:t>
      </w:r>
      <w:r w:rsidRPr="00A23B0D">
        <w:t>.2.1.2.1.6.  Transaction creation date.</w:t>
      </w:r>
    </w:p>
    <w:p w14:paraId="4FB3197E" w14:textId="559FE285" w:rsidR="007124B1" w:rsidRPr="00A23B0D" w:rsidRDefault="003D490A" w:rsidP="003D490A">
      <w:pPr>
        <w:tabs>
          <w:tab w:val="left" w:pos="540"/>
          <w:tab w:val="left" w:pos="1080"/>
          <w:tab w:val="left" w:pos="1620"/>
          <w:tab w:val="left" w:pos="2160"/>
          <w:tab w:val="left" w:pos="2700"/>
        </w:tabs>
        <w:spacing w:after="240"/>
      </w:pPr>
      <w:r w:rsidRPr="00A23B0D">
        <w:tab/>
      </w:r>
      <w:r w:rsidRPr="00A23B0D">
        <w:tab/>
      </w:r>
      <w:r w:rsidRPr="00A23B0D">
        <w:tab/>
      </w:r>
      <w:r w:rsidR="0036131A">
        <w:t>C4</w:t>
      </w:r>
      <w:r w:rsidR="00DC377E" w:rsidRPr="00A23B0D">
        <w:t xml:space="preserve">.2.1.2.2.  </w:t>
      </w:r>
      <w:r w:rsidR="00631FBE">
        <w:t>The application e</w:t>
      </w:r>
      <w:r w:rsidR="007124B1" w:rsidRPr="00A23B0D">
        <w:t>rror</w:t>
      </w:r>
      <w:r w:rsidR="00631FBE">
        <w:t xml:space="preserve"> condition c</w:t>
      </w:r>
      <w:r w:rsidR="007124B1" w:rsidRPr="00A23B0D">
        <w:t>ode identifying error</w:t>
      </w:r>
      <w:r w:rsidR="00CF1DFE">
        <w:t xml:space="preserve"> type</w:t>
      </w:r>
      <w:r w:rsidR="007124B1" w:rsidRPr="00A23B0D">
        <w:t>.</w:t>
      </w:r>
    </w:p>
    <w:p w14:paraId="4FB3197F" w14:textId="77777777" w:rsidR="007124B1" w:rsidRPr="00A23B0D" w:rsidRDefault="003D490A" w:rsidP="003D490A">
      <w:pPr>
        <w:tabs>
          <w:tab w:val="left" w:pos="540"/>
          <w:tab w:val="left" w:pos="1080"/>
          <w:tab w:val="left" w:pos="1620"/>
          <w:tab w:val="left" w:pos="2160"/>
          <w:tab w:val="left" w:pos="2700"/>
        </w:tabs>
        <w:spacing w:after="240"/>
      </w:pPr>
      <w:r w:rsidRPr="00A23B0D">
        <w:tab/>
      </w:r>
      <w:r w:rsidRPr="00A23B0D">
        <w:tab/>
      </w:r>
      <w:r w:rsidRPr="00A23B0D">
        <w:tab/>
      </w:r>
      <w:r w:rsidR="0036131A">
        <w:t>C4</w:t>
      </w:r>
      <w:r w:rsidR="00DC377E" w:rsidRPr="00A23B0D">
        <w:t xml:space="preserve">.2.1.2.3.  </w:t>
      </w:r>
      <w:r w:rsidR="00C67F3A">
        <w:t>C</w:t>
      </w:r>
      <w:r w:rsidR="007124B1" w:rsidRPr="00A23B0D">
        <w:t>opy of the bad data element</w:t>
      </w:r>
      <w:r w:rsidR="00C67F3A">
        <w:t xml:space="preserve"> (optional)</w:t>
      </w:r>
      <w:r w:rsidR="007124B1" w:rsidRPr="00A23B0D">
        <w:t>.</w:t>
      </w:r>
    </w:p>
    <w:p w14:paraId="4FB31980" w14:textId="77777777" w:rsidR="007124B1" w:rsidRPr="00A23B0D" w:rsidRDefault="003D490A" w:rsidP="003D490A">
      <w:pPr>
        <w:tabs>
          <w:tab w:val="left" w:pos="540"/>
          <w:tab w:val="left" w:pos="1080"/>
          <w:tab w:val="left" w:pos="1620"/>
          <w:tab w:val="left" w:pos="2160"/>
          <w:tab w:val="left" w:pos="2700"/>
        </w:tabs>
        <w:spacing w:after="240"/>
      </w:pPr>
      <w:r w:rsidRPr="00A23B0D">
        <w:tab/>
      </w:r>
      <w:r w:rsidRPr="00A23B0D">
        <w:tab/>
      </w:r>
      <w:r w:rsidRPr="00A23B0D">
        <w:tab/>
      </w:r>
      <w:r w:rsidR="0036131A">
        <w:t>C4</w:t>
      </w:r>
      <w:r w:rsidR="00DC377E" w:rsidRPr="00A23B0D">
        <w:t xml:space="preserve">.2.1.2.4.  </w:t>
      </w:r>
      <w:r w:rsidR="00C67F3A">
        <w:t>F</w:t>
      </w:r>
      <w:r w:rsidR="007124B1" w:rsidRPr="00A23B0D">
        <w:t>ree-form text message describing the error</w:t>
      </w:r>
      <w:r w:rsidR="00C67F3A">
        <w:t xml:space="preserve"> (optional)</w:t>
      </w:r>
      <w:r w:rsidR="007124B1" w:rsidRPr="00A23B0D">
        <w:t>.</w:t>
      </w:r>
    </w:p>
    <w:p w14:paraId="4FB31981" w14:textId="00147AFB" w:rsidR="007124B1" w:rsidRPr="00A23B0D" w:rsidRDefault="003D490A" w:rsidP="003D490A">
      <w:pPr>
        <w:tabs>
          <w:tab w:val="left" w:pos="540"/>
          <w:tab w:val="left" w:pos="1080"/>
          <w:tab w:val="left" w:pos="1620"/>
          <w:tab w:val="left" w:pos="2160"/>
          <w:tab w:val="left" w:pos="2700"/>
        </w:tabs>
        <w:spacing w:after="240"/>
      </w:pPr>
      <w:r w:rsidRPr="00A23B0D">
        <w:tab/>
      </w:r>
      <w:r w:rsidR="0036131A">
        <w:t>C4</w:t>
      </w:r>
      <w:r w:rsidR="00DC377E" w:rsidRPr="00A23B0D">
        <w:t xml:space="preserve">.2.2.  </w:t>
      </w:r>
      <w:r w:rsidR="00F15211" w:rsidRPr="00A23B0D">
        <w:rPr>
          <w:u w:val="single"/>
        </w:rPr>
        <w:t>Reject-</w:t>
      </w:r>
      <w:r w:rsidR="007124B1" w:rsidRPr="00A23B0D">
        <w:rPr>
          <w:u w:val="single"/>
        </w:rPr>
        <w:t>Error Routing</w:t>
      </w:r>
      <w:r w:rsidR="007124B1" w:rsidRPr="00A23B0D">
        <w:t xml:space="preserve">.  Routing of the reject is from the rejecting </w:t>
      </w:r>
      <w:r w:rsidR="00E979D5">
        <w:t>activity</w:t>
      </w:r>
      <w:r w:rsidR="007124B1" w:rsidRPr="00A23B0D">
        <w:t xml:space="preserve"> to the sending </w:t>
      </w:r>
      <w:r w:rsidR="00E979D5">
        <w:t>activity</w:t>
      </w:r>
      <w:r w:rsidR="007124B1" w:rsidRPr="00A23B0D">
        <w:t xml:space="preserve">.  This will typically lead to one of </w:t>
      </w:r>
      <w:r w:rsidR="007F1BA6" w:rsidRPr="00230515">
        <w:t>three</w:t>
      </w:r>
      <w:r w:rsidR="007124B1" w:rsidRPr="00A23B0D">
        <w:t xml:space="preserve"> scenarios:</w:t>
      </w:r>
    </w:p>
    <w:p w14:paraId="3CE98420" w14:textId="556ACF49" w:rsidR="0023592C" w:rsidRPr="0031683E" w:rsidRDefault="003D490A" w:rsidP="003D490A">
      <w:pPr>
        <w:tabs>
          <w:tab w:val="left" w:pos="540"/>
          <w:tab w:val="left" w:pos="1080"/>
          <w:tab w:val="left" w:pos="1620"/>
          <w:tab w:val="left" w:pos="2160"/>
          <w:tab w:val="left" w:pos="2700"/>
        </w:tabs>
        <w:spacing w:after="240"/>
      </w:pPr>
      <w:r w:rsidRPr="0031683E">
        <w:rPr>
          <w:bCs/>
        </w:rPr>
        <w:tab/>
      </w:r>
      <w:r w:rsidRPr="0031683E">
        <w:rPr>
          <w:bCs/>
        </w:rPr>
        <w:tab/>
      </w:r>
      <w:r w:rsidR="0036131A" w:rsidRPr="0031683E">
        <w:rPr>
          <w:bCs/>
        </w:rPr>
        <w:t>C4</w:t>
      </w:r>
      <w:r w:rsidR="00DC377E" w:rsidRPr="0031683E">
        <w:rPr>
          <w:bCs/>
        </w:rPr>
        <w:t>.2.</w:t>
      </w:r>
      <w:r w:rsidR="00EE37FC" w:rsidRPr="0031683E">
        <w:rPr>
          <w:bCs/>
        </w:rPr>
        <w:t>2</w:t>
      </w:r>
      <w:r w:rsidR="00DC377E" w:rsidRPr="0031683E">
        <w:rPr>
          <w:bCs/>
        </w:rPr>
        <w:t>.1.</w:t>
      </w:r>
      <w:r w:rsidR="007F1BA6" w:rsidRPr="00230515">
        <w:rPr>
          <w:bCs/>
          <w:u w:val="single"/>
        </w:rPr>
        <w:t>Defense Automatic Addressing System (DAAS)</w:t>
      </w:r>
      <w:r w:rsidR="007F1BA6" w:rsidRPr="007F1BA6">
        <w:rPr>
          <w:bCs/>
          <w:u w:val="single"/>
        </w:rPr>
        <w:t xml:space="preserve"> </w:t>
      </w:r>
      <w:r w:rsidR="007124B1" w:rsidRPr="0031683E">
        <w:rPr>
          <w:bCs/>
          <w:u w:val="single"/>
        </w:rPr>
        <w:t>Transaction Reject</w:t>
      </w:r>
      <w:r w:rsidR="007124B1" w:rsidRPr="0031683E">
        <w:t xml:space="preserve">.  </w:t>
      </w:r>
      <w:r w:rsidR="00444938" w:rsidRPr="0031683E">
        <w:t>DAAS</w:t>
      </w:r>
      <w:r w:rsidR="00CF3DB8" w:rsidRPr="0031683E">
        <w:t xml:space="preserve"> us</w:t>
      </w:r>
      <w:r w:rsidR="00C67F3A" w:rsidRPr="0031683E">
        <w:t>e</w:t>
      </w:r>
      <w:r w:rsidR="0023592C" w:rsidRPr="0031683E">
        <w:t>s</w:t>
      </w:r>
      <w:r w:rsidR="00CF3DB8" w:rsidRPr="0031683E">
        <w:t xml:space="preserve"> </w:t>
      </w:r>
      <w:r w:rsidR="00EE37FC" w:rsidRPr="0031683E">
        <w:t xml:space="preserve">the </w:t>
      </w:r>
      <w:r w:rsidR="00AD464C" w:rsidRPr="0031683E">
        <w:rPr>
          <w:bCs/>
          <w:iCs/>
        </w:rPr>
        <w:t xml:space="preserve">DLMS </w:t>
      </w:r>
      <w:r w:rsidR="00CF3DB8" w:rsidRPr="0031683E">
        <w:rPr>
          <w:bCs/>
          <w:iCs/>
        </w:rPr>
        <w:t>824</w:t>
      </w:r>
      <w:r w:rsidR="00EE37FC" w:rsidRPr="0031683E">
        <w:rPr>
          <w:bCs/>
          <w:iCs/>
        </w:rPr>
        <w:t>R</w:t>
      </w:r>
      <w:r w:rsidR="0036131A" w:rsidRPr="0031683E">
        <w:rPr>
          <w:bCs/>
          <w:iCs/>
        </w:rPr>
        <w:t>,</w:t>
      </w:r>
      <w:r w:rsidR="00AD464C" w:rsidRPr="0031683E">
        <w:rPr>
          <w:bCs/>
          <w:iCs/>
        </w:rPr>
        <w:t xml:space="preserve"> Reject Advice Transaction</w:t>
      </w:r>
      <w:r w:rsidR="007124B1" w:rsidRPr="0031683E">
        <w:rPr>
          <w:bCs/>
          <w:iCs/>
        </w:rPr>
        <w:t>,</w:t>
      </w:r>
      <w:r w:rsidR="007124B1" w:rsidRPr="0031683E">
        <w:t xml:space="preserve"> </w:t>
      </w:r>
      <w:r w:rsidR="00C67F3A" w:rsidRPr="0031683E">
        <w:t>to</w:t>
      </w:r>
      <w:r w:rsidR="007124B1" w:rsidRPr="0031683E">
        <w:t xml:space="preserve"> report the error back to the originating </w:t>
      </w:r>
      <w:r w:rsidR="00E979D5" w:rsidRPr="0031683E">
        <w:t>activity</w:t>
      </w:r>
      <w:r w:rsidR="00832630" w:rsidRPr="0031683E">
        <w:t>,</w:t>
      </w:r>
      <w:r w:rsidR="007124B1" w:rsidRPr="0031683E">
        <w:t xml:space="preserve"> which must correct </w:t>
      </w:r>
      <w:r w:rsidR="00A93075" w:rsidRPr="0031683E">
        <w:t xml:space="preserve">and retransmit </w:t>
      </w:r>
      <w:r w:rsidR="007124B1" w:rsidRPr="0031683E">
        <w:t>the transaction.</w:t>
      </w:r>
      <w:r w:rsidR="0023592C" w:rsidRPr="0031683E">
        <w:t xml:space="preserve"> </w:t>
      </w:r>
    </w:p>
    <w:p w14:paraId="4FB31982" w14:textId="61F58F52" w:rsidR="007124B1" w:rsidRPr="0031683E" w:rsidRDefault="0023592C" w:rsidP="003D490A">
      <w:pPr>
        <w:tabs>
          <w:tab w:val="left" w:pos="540"/>
          <w:tab w:val="left" w:pos="1080"/>
          <w:tab w:val="left" w:pos="1620"/>
          <w:tab w:val="left" w:pos="2160"/>
          <w:tab w:val="left" w:pos="2700"/>
        </w:tabs>
        <w:spacing w:after="240"/>
      </w:pPr>
      <w:r w:rsidRPr="0031683E">
        <w:rPr>
          <w:bCs/>
        </w:rPr>
        <w:tab/>
      </w:r>
      <w:r w:rsidRPr="0031683E">
        <w:rPr>
          <w:bCs/>
        </w:rPr>
        <w:tab/>
      </w:r>
      <w:r w:rsidRPr="0031683E">
        <w:rPr>
          <w:bCs/>
        </w:rPr>
        <w:tab/>
        <w:t xml:space="preserve">C4.2.2.1.1.  </w:t>
      </w:r>
      <w:r w:rsidRPr="0031683E">
        <w:t>The Reject Advice Transaction reports the unique document number of the erroneous transaction and/or other pertinent information to identify the erroneous transaction including reject advice codes (when available) identifying one or more specific error conditions.</w:t>
      </w:r>
    </w:p>
    <w:p w14:paraId="4E971663" w14:textId="10D0252F" w:rsidR="0023592C" w:rsidRPr="0031683E" w:rsidRDefault="0023592C" w:rsidP="0023592C">
      <w:pPr>
        <w:tabs>
          <w:tab w:val="left" w:pos="540"/>
          <w:tab w:val="left" w:pos="1080"/>
          <w:tab w:val="left" w:pos="1620"/>
          <w:tab w:val="left" w:pos="2160"/>
          <w:tab w:val="left" w:pos="2700"/>
        </w:tabs>
        <w:spacing w:after="240"/>
      </w:pPr>
      <w:r w:rsidRPr="0031683E">
        <w:tab/>
      </w:r>
      <w:r w:rsidRPr="0031683E">
        <w:tab/>
      </w:r>
      <w:r w:rsidRPr="0031683E">
        <w:tab/>
        <w:t xml:space="preserve">C4.2.2.1.2.  Where specific reject advice codes are not established to identify the error condition causing the transaction to fail, </w:t>
      </w:r>
      <w:r w:rsidR="007F1BA6" w:rsidRPr="00230515">
        <w:t>DAAS</w:t>
      </w:r>
      <w:r w:rsidRPr="0031683E">
        <w:t xml:space="preserve"> uses the DLMS 824R to provide narrative message rejection of any DLMS transaction using procedures described in paragraph C4.2.4.2.</w:t>
      </w:r>
    </w:p>
    <w:p w14:paraId="62D6C905" w14:textId="6040D550" w:rsidR="0023592C" w:rsidRPr="0031683E" w:rsidRDefault="0023592C" w:rsidP="003D490A">
      <w:pPr>
        <w:tabs>
          <w:tab w:val="left" w:pos="540"/>
          <w:tab w:val="left" w:pos="1080"/>
          <w:tab w:val="left" w:pos="1620"/>
          <w:tab w:val="left" w:pos="2160"/>
          <w:tab w:val="left" w:pos="2700"/>
        </w:tabs>
        <w:spacing w:after="240"/>
      </w:pPr>
      <w:r w:rsidRPr="0031683E">
        <w:tab/>
      </w:r>
      <w:r w:rsidRPr="0031683E">
        <w:tab/>
      </w:r>
      <w:r w:rsidRPr="0031683E">
        <w:tab/>
        <w:t>C4.2.2.1.3.  A combination of reject advice codes and clarifying narrative may be used to facilitate interpretation of the error condition.</w:t>
      </w:r>
    </w:p>
    <w:p w14:paraId="7FBC46B0" w14:textId="77777777" w:rsidR="00647B7B" w:rsidRPr="00477490" w:rsidRDefault="00647B7B" w:rsidP="00647B7B">
      <w:pPr>
        <w:tabs>
          <w:tab w:val="left" w:pos="540"/>
          <w:tab w:val="left" w:pos="1080"/>
          <w:tab w:val="left" w:pos="1620"/>
          <w:tab w:val="left" w:pos="2160"/>
          <w:tab w:val="left" w:pos="2700"/>
        </w:tabs>
        <w:spacing w:after="240"/>
        <w:rPr>
          <w:bCs/>
        </w:rPr>
      </w:pPr>
      <w:r w:rsidRPr="00230515">
        <w:rPr>
          <w:bCs/>
        </w:rPr>
        <w:tab/>
      </w:r>
      <w:r w:rsidRPr="00230515">
        <w:rPr>
          <w:bCs/>
        </w:rPr>
        <w:tab/>
      </w:r>
      <w:r w:rsidRPr="00477490">
        <w:rPr>
          <w:bCs/>
        </w:rPr>
        <w:t xml:space="preserve">C4.2.2.2.  Activity Transaction Reject to Sending Activity.  The activity receiving a transaction from DAAS uses the DLMS 824R to report an error back to the </w:t>
      </w:r>
      <w:r w:rsidRPr="00477490">
        <w:rPr>
          <w:bCs/>
        </w:rPr>
        <w:lastRenderedPageBreak/>
        <w:t>transaction originator.</w:t>
      </w:r>
      <w:r w:rsidRPr="00477490">
        <w:rPr>
          <w:bCs/>
          <w:vertAlign w:val="superscript"/>
        </w:rPr>
        <w:footnoteReference w:id="2"/>
      </w:r>
      <w:r w:rsidRPr="00477490">
        <w:rPr>
          <w:bCs/>
          <w:vertAlign w:val="superscript"/>
        </w:rPr>
        <w:t>,</w:t>
      </w:r>
      <w:r w:rsidRPr="00477490">
        <w:rPr>
          <w:bCs/>
          <w:vertAlign w:val="superscript"/>
        </w:rPr>
        <w:footnoteReference w:id="3"/>
      </w:r>
      <w:r w:rsidRPr="00477490">
        <w:rPr>
          <w:bCs/>
        </w:rPr>
        <w:t xml:space="preserve">  DAAS will not compare the rejected information to an image of the transaction as they received it from the originating activity.  Instead, DAAS will route the DLMS 824R transaction to the identified Message-To addressee without further processing.  Action Code DR Direct in data element 1/BGN08/020 of the DLMS 824R Reject Advice Transaction identifies this rejection process.</w:t>
      </w:r>
    </w:p>
    <w:p w14:paraId="4FB31983" w14:textId="6E6907A5" w:rsidR="007124B1" w:rsidRPr="0031683E" w:rsidRDefault="003D490A" w:rsidP="003D490A">
      <w:pPr>
        <w:tabs>
          <w:tab w:val="left" w:pos="540"/>
          <w:tab w:val="left" w:pos="1080"/>
          <w:tab w:val="left" w:pos="1620"/>
          <w:tab w:val="left" w:pos="2160"/>
          <w:tab w:val="left" w:pos="2700"/>
        </w:tabs>
        <w:spacing w:after="240"/>
      </w:pPr>
      <w:r w:rsidRPr="0031683E">
        <w:rPr>
          <w:bCs/>
        </w:rPr>
        <w:tab/>
      </w:r>
      <w:r w:rsidRPr="0031683E">
        <w:rPr>
          <w:bCs/>
        </w:rPr>
        <w:tab/>
      </w:r>
      <w:r w:rsidR="0036131A" w:rsidRPr="0031683E">
        <w:rPr>
          <w:bCs/>
        </w:rPr>
        <w:t>C4</w:t>
      </w:r>
      <w:r w:rsidR="00DC377E" w:rsidRPr="0031683E">
        <w:rPr>
          <w:bCs/>
        </w:rPr>
        <w:t>.2.</w:t>
      </w:r>
      <w:r w:rsidR="00EE37FC" w:rsidRPr="0031683E">
        <w:rPr>
          <w:bCs/>
        </w:rPr>
        <w:t>2</w:t>
      </w:r>
      <w:r w:rsidR="00DC377E" w:rsidRPr="0031683E">
        <w:rPr>
          <w:bCs/>
        </w:rPr>
        <w:t>.</w:t>
      </w:r>
      <w:r w:rsidR="00647B7B" w:rsidRPr="00477490">
        <w:rPr>
          <w:bCs/>
        </w:rPr>
        <w:t>3</w:t>
      </w:r>
      <w:r w:rsidR="00DC377E" w:rsidRPr="0031683E">
        <w:rPr>
          <w:bCs/>
        </w:rPr>
        <w:t xml:space="preserve">.  </w:t>
      </w:r>
      <w:r w:rsidR="007124B1" w:rsidRPr="0031683E">
        <w:rPr>
          <w:bCs/>
          <w:u w:val="single"/>
        </w:rPr>
        <w:t xml:space="preserve">Activity Transaction Reject </w:t>
      </w:r>
      <w:r w:rsidR="0023592C" w:rsidRPr="0031683E">
        <w:rPr>
          <w:bCs/>
          <w:u w:val="single"/>
        </w:rPr>
        <w:t>to</w:t>
      </w:r>
      <w:r w:rsidR="007124B1" w:rsidRPr="0031683E">
        <w:rPr>
          <w:bCs/>
          <w:u w:val="single"/>
        </w:rPr>
        <w:t xml:space="preserve"> DAAS</w:t>
      </w:r>
      <w:r w:rsidR="007124B1" w:rsidRPr="0031683E">
        <w:rPr>
          <w:bCs/>
        </w:rPr>
        <w:t>.</w:t>
      </w:r>
      <w:r w:rsidR="007124B1" w:rsidRPr="0031683E">
        <w:t xml:space="preserve">  </w:t>
      </w:r>
      <w:r w:rsidR="0023592C" w:rsidRPr="0031683E">
        <w:t>A potential future enhancement will allow a</w:t>
      </w:r>
      <w:r w:rsidR="007124B1" w:rsidRPr="0031683E">
        <w:t xml:space="preserve">n </w:t>
      </w:r>
      <w:r w:rsidR="00E979D5" w:rsidRPr="0031683E">
        <w:t>activity</w:t>
      </w:r>
      <w:r w:rsidR="007124B1" w:rsidRPr="0031683E">
        <w:t xml:space="preserve"> receiv</w:t>
      </w:r>
      <w:r w:rsidR="00EE37FC" w:rsidRPr="0031683E">
        <w:t>ing</w:t>
      </w:r>
      <w:r w:rsidR="007124B1" w:rsidRPr="0031683E">
        <w:t xml:space="preserve"> a transaction from DAAS </w:t>
      </w:r>
      <w:r w:rsidR="0023592C" w:rsidRPr="0031683E">
        <w:t>to</w:t>
      </w:r>
      <w:r w:rsidR="00EE37FC" w:rsidRPr="0031683E">
        <w:t xml:space="preserve"> </w:t>
      </w:r>
      <w:r w:rsidR="007124B1" w:rsidRPr="0031683E">
        <w:t>report the error ba</w:t>
      </w:r>
      <w:r w:rsidR="00CF3DB8" w:rsidRPr="0031683E">
        <w:t xml:space="preserve">ck to the </w:t>
      </w:r>
      <w:r w:rsidR="00EE37FC" w:rsidRPr="0031683E">
        <w:t>transaction originator</w:t>
      </w:r>
      <w:r w:rsidR="00CF3DB8" w:rsidRPr="0031683E">
        <w:t xml:space="preserve"> using </w:t>
      </w:r>
      <w:r w:rsidR="00AD464C" w:rsidRPr="0031683E">
        <w:rPr>
          <w:bCs/>
          <w:iCs/>
        </w:rPr>
        <w:t xml:space="preserve">DLMS </w:t>
      </w:r>
      <w:r w:rsidR="00CF3DB8" w:rsidRPr="0031683E">
        <w:rPr>
          <w:bCs/>
          <w:iCs/>
        </w:rPr>
        <w:t>824</w:t>
      </w:r>
      <w:r w:rsidR="00EE37FC" w:rsidRPr="0031683E">
        <w:rPr>
          <w:bCs/>
          <w:iCs/>
        </w:rPr>
        <w:t>R</w:t>
      </w:r>
      <w:r w:rsidR="007124B1" w:rsidRPr="0031683E">
        <w:t>.</w:t>
      </w:r>
      <w:r w:rsidR="00B90FDD" w:rsidRPr="00477490">
        <w:rPr>
          <w:rStyle w:val="FootnoteReference"/>
        </w:rPr>
        <w:footnoteReference w:id="4"/>
      </w:r>
      <w:r w:rsidR="007124B1" w:rsidRPr="00230515">
        <w:t xml:space="preserve"> </w:t>
      </w:r>
      <w:r w:rsidR="007124B1" w:rsidRPr="0031683E">
        <w:t xml:space="preserve"> </w:t>
      </w:r>
      <w:r w:rsidR="00B90FDD" w:rsidRPr="0031683E">
        <w:t xml:space="preserve">Under the planned enhancement, </w:t>
      </w:r>
      <w:r w:rsidR="007124B1" w:rsidRPr="0031683E">
        <w:t xml:space="preserve">DAAS </w:t>
      </w:r>
      <w:r w:rsidR="00B90FDD" w:rsidRPr="0031683E">
        <w:t>will</w:t>
      </w:r>
      <w:r w:rsidR="00E75D2B" w:rsidRPr="0031683E">
        <w:t xml:space="preserve"> </w:t>
      </w:r>
      <w:r w:rsidR="007124B1" w:rsidRPr="0031683E">
        <w:t>compare the reject</w:t>
      </w:r>
      <w:r w:rsidR="00B90FDD" w:rsidRPr="0031683E">
        <w:t>ed</w:t>
      </w:r>
      <w:r w:rsidR="007124B1" w:rsidRPr="0031683E">
        <w:t xml:space="preserve"> information to an image of the transaction as they received it from the originating </w:t>
      </w:r>
      <w:r w:rsidR="00E979D5" w:rsidRPr="0031683E">
        <w:t>activity</w:t>
      </w:r>
      <w:r w:rsidR="007124B1" w:rsidRPr="0031683E">
        <w:t xml:space="preserve">.  If DAAS determines it caused the error, DAAS </w:t>
      </w:r>
      <w:r w:rsidR="00B90FDD" w:rsidRPr="0031683E">
        <w:t xml:space="preserve">will </w:t>
      </w:r>
      <w:r w:rsidR="007124B1" w:rsidRPr="0031683E">
        <w:t xml:space="preserve">correct </w:t>
      </w:r>
      <w:r w:rsidR="00F15211" w:rsidRPr="0031683E">
        <w:t>and retransmit the transaction.</w:t>
      </w:r>
      <w:r w:rsidR="007124B1" w:rsidRPr="0031683E">
        <w:t xml:space="preserve">  If DAAS determines the originating </w:t>
      </w:r>
      <w:r w:rsidR="00E979D5" w:rsidRPr="0031683E">
        <w:t>activity</w:t>
      </w:r>
      <w:r w:rsidR="007124B1" w:rsidRPr="0031683E">
        <w:t xml:space="preserve"> caused the error, then DAAS </w:t>
      </w:r>
      <w:r w:rsidR="00B90FDD" w:rsidRPr="0031683E">
        <w:t>will</w:t>
      </w:r>
      <w:r w:rsidR="007124B1" w:rsidRPr="0031683E">
        <w:t xml:space="preserve"> initiate another </w:t>
      </w:r>
      <w:r w:rsidR="00AD464C" w:rsidRPr="0031683E">
        <w:t>R</w:t>
      </w:r>
      <w:r w:rsidR="007124B1" w:rsidRPr="0031683E">
        <w:t>eject</w:t>
      </w:r>
      <w:r w:rsidR="00AD464C" w:rsidRPr="0031683E">
        <w:t xml:space="preserve"> Advice Transaction</w:t>
      </w:r>
      <w:r w:rsidR="007124B1" w:rsidRPr="0031683E">
        <w:t xml:space="preserve"> back to the originating </w:t>
      </w:r>
      <w:r w:rsidR="00E979D5" w:rsidRPr="0031683E">
        <w:t>activity</w:t>
      </w:r>
      <w:r w:rsidR="007124B1" w:rsidRPr="0031683E">
        <w:t>, as in the first scenario.</w:t>
      </w:r>
      <w:r w:rsidR="00647B7B">
        <w:t xml:space="preserve">  </w:t>
      </w:r>
      <w:r w:rsidR="00647B7B" w:rsidRPr="00477490">
        <w:t xml:space="preserve">Action Code 80 Reconcile in data element 1/BGN08/020 of the DLMS 824R Reject Advice Transaction identifies this planned enhancement.  </w:t>
      </w:r>
    </w:p>
    <w:p w14:paraId="4FB31984" w14:textId="5BB9C006" w:rsidR="000B6C70" w:rsidRPr="00A23B0D" w:rsidRDefault="00EE37FC" w:rsidP="003D490A">
      <w:pPr>
        <w:tabs>
          <w:tab w:val="left" w:pos="540"/>
          <w:tab w:val="left" w:pos="1080"/>
          <w:tab w:val="left" w:pos="1620"/>
          <w:tab w:val="left" w:pos="2160"/>
          <w:tab w:val="left" w:pos="2700"/>
        </w:tabs>
        <w:spacing w:after="240"/>
      </w:pPr>
      <w:r w:rsidRPr="00A23B0D">
        <w:tab/>
      </w:r>
      <w:r w:rsidR="0036131A">
        <w:t>C4</w:t>
      </w:r>
      <w:r w:rsidRPr="00A23B0D">
        <w:t xml:space="preserve">.2.3.  </w:t>
      </w:r>
      <w:r w:rsidR="0043634D" w:rsidRPr="00CF1DFE">
        <w:rPr>
          <w:u w:val="single"/>
        </w:rPr>
        <w:t xml:space="preserve">Application Program Use of </w:t>
      </w:r>
      <w:r w:rsidR="00AD464C" w:rsidRPr="00CF1DFE">
        <w:rPr>
          <w:u w:val="single"/>
        </w:rPr>
        <w:t>DLMS</w:t>
      </w:r>
      <w:r w:rsidR="00AD464C">
        <w:rPr>
          <w:u w:val="single"/>
        </w:rPr>
        <w:t xml:space="preserve"> </w:t>
      </w:r>
      <w:r w:rsidRPr="00A23B0D">
        <w:rPr>
          <w:u w:val="single"/>
        </w:rPr>
        <w:t>824R, Reject Advice</w:t>
      </w:r>
      <w:r w:rsidR="00E61C27">
        <w:t xml:space="preserve">.  </w:t>
      </w:r>
      <w:r w:rsidR="000B6C70">
        <w:t xml:space="preserve">If a </w:t>
      </w:r>
      <w:r w:rsidR="000B6C70" w:rsidRPr="00A23B0D">
        <w:t>DoD Component application program</w:t>
      </w:r>
      <w:r w:rsidR="000B6C70">
        <w:t xml:space="preserve"> cannot process a received transaction, it</w:t>
      </w:r>
      <w:r w:rsidR="000B6C70" w:rsidRPr="00A23B0D">
        <w:t xml:space="preserve"> </w:t>
      </w:r>
      <w:r w:rsidR="006C59F5" w:rsidRPr="006C59F5">
        <w:t xml:space="preserve">will </w:t>
      </w:r>
      <w:r w:rsidR="00CF1DFE">
        <w:t xml:space="preserve">send a </w:t>
      </w:r>
      <w:r w:rsidR="000B6C70">
        <w:rPr>
          <w:bCs/>
          <w:iCs/>
        </w:rPr>
        <w:t xml:space="preserve">DLMS </w:t>
      </w:r>
      <w:r w:rsidR="000B6C70" w:rsidRPr="00A23B0D">
        <w:rPr>
          <w:bCs/>
          <w:iCs/>
        </w:rPr>
        <w:t>824R</w:t>
      </w:r>
      <w:r w:rsidR="00CF1DFE">
        <w:rPr>
          <w:bCs/>
          <w:iCs/>
        </w:rPr>
        <w:t xml:space="preserve">, </w:t>
      </w:r>
      <w:r w:rsidR="000B6C70">
        <w:t>R</w:t>
      </w:r>
      <w:r w:rsidR="000B6C70" w:rsidRPr="00A23B0D">
        <w:t xml:space="preserve">eject </w:t>
      </w:r>
      <w:r w:rsidR="000B6C70">
        <w:t>Advice T</w:t>
      </w:r>
      <w:r w:rsidR="000B6C70" w:rsidRPr="00A23B0D">
        <w:t xml:space="preserve">ransaction back to the sending </w:t>
      </w:r>
      <w:r w:rsidR="00E979D5">
        <w:t>activity</w:t>
      </w:r>
      <w:r w:rsidR="000B6C70" w:rsidRPr="00A23B0D">
        <w:t xml:space="preserve">.  </w:t>
      </w:r>
      <w:r w:rsidR="006C59F5" w:rsidRPr="006C59F5">
        <w:t xml:space="preserve">The Reject Advice Transaction reports the unique document number, </w:t>
      </w:r>
      <w:r w:rsidR="006C59F5" w:rsidRPr="0031683E">
        <w:t xml:space="preserve">and/or other pertinent information to identify </w:t>
      </w:r>
      <w:r w:rsidR="006C59F5" w:rsidRPr="006C59F5">
        <w:t>the erroneous transaction, and codes identifying one or more specific error conditions</w:t>
      </w:r>
    </w:p>
    <w:p w14:paraId="000884BE" w14:textId="77777777" w:rsidR="006C59F5" w:rsidRDefault="00EE37FC" w:rsidP="00134623">
      <w:pPr>
        <w:tabs>
          <w:tab w:val="left" w:pos="540"/>
          <w:tab w:val="left" w:pos="1080"/>
          <w:tab w:val="left" w:pos="1620"/>
          <w:tab w:val="left" w:pos="2160"/>
          <w:tab w:val="left" w:pos="2700"/>
        </w:tabs>
        <w:spacing w:after="240"/>
        <w:outlineLvl w:val="0"/>
      </w:pPr>
      <w:r w:rsidRPr="00A23B0D">
        <w:tab/>
      </w:r>
      <w:r w:rsidRPr="00A23B0D">
        <w:tab/>
      </w:r>
      <w:r w:rsidR="0036131A">
        <w:t>C4</w:t>
      </w:r>
      <w:r w:rsidRPr="00A23B0D">
        <w:t xml:space="preserve">.2.3.1.  </w:t>
      </w:r>
      <w:r w:rsidRPr="00A23B0D">
        <w:rPr>
          <w:u w:val="single"/>
        </w:rPr>
        <w:t>Rejection by Specific Reject Advice Code</w:t>
      </w:r>
      <w:r w:rsidRPr="00A23B0D">
        <w:t xml:space="preserve">.  </w:t>
      </w:r>
    </w:p>
    <w:p w14:paraId="3316BD2E" w14:textId="0DE916BA" w:rsidR="006C59F5" w:rsidRPr="0031683E" w:rsidRDefault="006C59F5" w:rsidP="003D490A">
      <w:pPr>
        <w:tabs>
          <w:tab w:val="left" w:pos="540"/>
          <w:tab w:val="left" w:pos="1080"/>
          <w:tab w:val="left" w:pos="1620"/>
          <w:tab w:val="left" w:pos="2160"/>
          <w:tab w:val="left" w:pos="2700"/>
        </w:tabs>
        <w:spacing w:after="240"/>
      </w:pPr>
      <w:r w:rsidRPr="0031683E">
        <w:tab/>
      </w:r>
      <w:r w:rsidRPr="0031683E">
        <w:tab/>
      </w:r>
      <w:r w:rsidRPr="0031683E">
        <w:tab/>
        <w:t xml:space="preserve">C4.2.3.1.1.  </w:t>
      </w:r>
      <w:r w:rsidR="00EE37FC" w:rsidRPr="0031683E">
        <w:t>Initially</w:t>
      </w:r>
      <w:r w:rsidR="00E7200B" w:rsidRPr="0031683E">
        <w:t>,</w:t>
      </w:r>
      <w:r w:rsidR="00EE37FC" w:rsidRPr="0031683E">
        <w:t xml:space="preserve"> </w:t>
      </w:r>
      <w:r w:rsidR="00AD464C" w:rsidRPr="0031683E">
        <w:t>DLMS</w:t>
      </w:r>
      <w:r w:rsidR="00EE37FC" w:rsidRPr="0031683E">
        <w:t xml:space="preserve"> 824R wa</w:t>
      </w:r>
      <w:r w:rsidR="00612E46" w:rsidRPr="0031683E">
        <w:t xml:space="preserve">s developed to </w:t>
      </w:r>
      <w:r w:rsidR="0008731A" w:rsidRPr="0031683E">
        <w:t xml:space="preserve">provide the functionality of </w:t>
      </w:r>
      <w:r w:rsidR="0043634D" w:rsidRPr="0031683E">
        <w:t xml:space="preserve">legacy Military Standard Transaction Reporting and </w:t>
      </w:r>
      <w:r w:rsidR="00275031" w:rsidRPr="0031683E">
        <w:t xml:space="preserve">Accountability </w:t>
      </w:r>
      <w:r w:rsidR="007F7A90" w:rsidRPr="0031683E">
        <w:t xml:space="preserve">Procedures </w:t>
      </w:r>
      <w:r w:rsidR="0043634D" w:rsidRPr="0031683E">
        <w:t>(</w:t>
      </w:r>
      <w:r w:rsidR="0008731A" w:rsidRPr="0031683E">
        <w:t>MILSTRAP</w:t>
      </w:r>
      <w:r w:rsidR="0043634D" w:rsidRPr="0031683E">
        <w:t>)</w:t>
      </w:r>
      <w:r w:rsidR="0008731A" w:rsidRPr="0031683E">
        <w:t xml:space="preserve"> Document Identifier Code</w:t>
      </w:r>
      <w:r w:rsidR="00FE5DD3" w:rsidRPr="0031683E">
        <w:t xml:space="preserve"> (DIC) </w:t>
      </w:r>
      <w:r w:rsidR="0008731A" w:rsidRPr="0031683E">
        <w:t>DZG, Transaction R</w:t>
      </w:r>
      <w:r w:rsidR="00612E46" w:rsidRPr="0031683E">
        <w:t>eject</w:t>
      </w:r>
      <w:r w:rsidR="0008731A" w:rsidRPr="0031683E">
        <w:t xml:space="preserve">.  As such it rejects the following DLMS transactions with </w:t>
      </w:r>
      <w:r w:rsidR="007F7A90" w:rsidRPr="0031683E">
        <w:t xml:space="preserve">legacy </w:t>
      </w:r>
      <w:r w:rsidR="0008731A" w:rsidRPr="0031683E">
        <w:t>MILSTRAP functionality:</w:t>
      </w:r>
      <w:r w:rsidR="00612E46" w:rsidRPr="0031683E">
        <w:t xml:space="preserve">  </w:t>
      </w:r>
      <w:r w:rsidR="0008731A" w:rsidRPr="0031683E">
        <w:t xml:space="preserve">DLMS </w:t>
      </w:r>
      <w:r w:rsidR="00265F74" w:rsidRPr="0031683E">
        <w:t xml:space="preserve">Transactions </w:t>
      </w:r>
      <w:r w:rsidR="00EE37FC" w:rsidRPr="0031683E">
        <w:t xml:space="preserve">527D, </w:t>
      </w:r>
      <w:r w:rsidR="00275031" w:rsidRPr="0031683E">
        <w:t xml:space="preserve">527R, </w:t>
      </w:r>
      <w:r w:rsidR="00EE37FC" w:rsidRPr="0031683E">
        <w:t xml:space="preserve">536L, 830R, 830W, 846A, 846D, 846F, 846I, 846P, </w:t>
      </w:r>
      <w:r w:rsidR="00EE37FC" w:rsidRPr="00557A35">
        <w:t xml:space="preserve">846R, 846S, </w:t>
      </w:r>
      <w:r w:rsidR="005F38D3" w:rsidRPr="00557A35">
        <w:rPr>
          <w:b/>
          <w:bCs/>
          <w:i/>
          <w:iCs/>
        </w:rPr>
        <w:t>856S,</w:t>
      </w:r>
      <w:r w:rsidR="005F38D3" w:rsidRPr="00557A35">
        <w:t xml:space="preserve"> </w:t>
      </w:r>
      <w:r w:rsidR="00EE37FC" w:rsidRPr="00557A35">
        <w:t>867</w:t>
      </w:r>
      <w:r w:rsidR="00E7200B" w:rsidRPr="00557A35">
        <w:t>D</w:t>
      </w:r>
      <w:r w:rsidR="00612E46" w:rsidRPr="00557A35">
        <w:t>, 867I, 870L,</w:t>
      </w:r>
      <w:r w:rsidR="000219EB" w:rsidRPr="00557A35">
        <w:t xml:space="preserve"> 888I, </w:t>
      </w:r>
      <w:r w:rsidR="00EE37FC" w:rsidRPr="00557A35">
        <w:t>and 947I</w:t>
      </w:r>
      <w:r w:rsidR="0008731A" w:rsidRPr="00557A35">
        <w:t>,</w:t>
      </w:r>
      <w:r w:rsidR="00EE37FC" w:rsidRPr="00557A35">
        <w:t xml:space="preserve"> citing specific reject advice codes</w:t>
      </w:r>
      <w:r w:rsidR="00EE37FC" w:rsidRPr="0031683E">
        <w:t xml:space="preserve"> in the L</w:t>
      </w:r>
      <w:r w:rsidR="006D05BD" w:rsidRPr="0031683E">
        <w:t>Q</w:t>
      </w:r>
      <w:r w:rsidR="00EE37FC" w:rsidRPr="0031683E">
        <w:t xml:space="preserve"> segment.  </w:t>
      </w:r>
    </w:p>
    <w:p w14:paraId="38AA3BD1" w14:textId="14CFC212" w:rsidR="006C59F5" w:rsidRPr="0031683E" w:rsidRDefault="006C59F5" w:rsidP="003D490A">
      <w:pPr>
        <w:tabs>
          <w:tab w:val="left" w:pos="540"/>
          <w:tab w:val="left" w:pos="1080"/>
          <w:tab w:val="left" w:pos="1620"/>
          <w:tab w:val="left" w:pos="2160"/>
          <w:tab w:val="left" w:pos="2700"/>
        </w:tabs>
        <w:spacing w:after="240"/>
      </w:pPr>
      <w:r w:rsidRPr="0031683E">
        <w:tab/>
      </w:r>
      <w:r w:rsidRPr="0031683E">
        <w:tab/>
      </w:r>
      <w:r w:rsidRPr="0031683E">
        <w:tab/>
        <w:t>C4.2.3.1.2.  Additionally, t</w:t>
      </w:r>
      <w:r w:rsidR="00297DF7" w:rsidRPr="0031683E">
        <w:t xml:space="preserve">he </w:t>
      </w:r>
      <w:r w:rsidR="0008731A" w:rsidRPr="0031683E">
        <w:t xml:space="preserve">DLMS </w:t>
      </w:r>
      <w:r w:rsidR="00EE37FC" w:rsidRPr="0031683E">
        <w:t xml:space="preserve">824R is authorized for use with DLMS supply </w:t>
      </w:r>
      <w:r w:rsidRPr="0031683E">
        <w:t xml:space="preserve">(including MILSTRIP transactions), finance, </w:t>
      </w:r>
      <w:r w:rsidR="00EE37FC" w:rsidRPr="0031683E">
        <w:t>and contr</w:t>
      </w:r>
      <w:r w:rsidRPr="0031683E">
        <w:t xml:space="preserve">act </w:t>
      </w:r>
      <w:r w:rsidR="00EE37FC" w:rsidRPr="0031683E">
        <w:t xml:space="preserve">administration transactions </w:t>
      </w:r>
      <w:r w:rsidR="00832630" w:rsidRPr="0031683E">
        <w:t xml:space="preserve">that are </w:t>
      </w:r>
      <w:r w:rsidR="00EE37FC" w:rsidRPr="0031683E">
        <w:t>not specifically identified</w:t>
      </w:r>
      <w:r w:rsidRPr="0031683E">
        <w:t xml:space="preserve"> in this chapter</w:t>
      </w:r>
      <w:r w:rsidR="00832630" w:rsidRPr="0031683E">
        <w:t>.</w:t>
      </w:r>
      <w:r w:rsidR="003F419F" w:rsidRPr="0031683E">
        <w:t xml:space="preserve"> </w:t>
      </w:r>
      <w:r w:rsidR="00832630" w:rsidRPr="0031683E">
        <w:t xml:space="preserve"> </w:t>
      </w:r>
    </w:p>
    <w:p w14:paraId="4FB31985" w14:textId="2B567941" w:rsidR="00EE37FC" w:rsidRPr="0031683E" w:rsidRDefault="007A41AF" w:rsidP="003D490A">
      <w:pPr>
        <w:tabs>
          <w:tab w:val="left" w:pos="540"/>
          <w:tab w:val="left" w:pos="1080"/>
          <w:tab w:val="left" w:pos="1620"/>
          <w:tab w:val="left" w:pos="2160"/>
          <w:tab w:val="left" w:pos="2700"/>
        </w:tabs>
        <w:spacing w:after="240"/>
      </w:pPr>
      <w:r w:rsidRPr="0031683E">
        <w:tab/>
      </w:r>
      <w:r w:rsidRPr="0031683E">
        <w:tab/>
      </w:r>
      <w:r w:rsidR="006C59F5" w:rsidRPr="0031683E">
        <w:t>C4.2.3.2.  U</w:t>
      </w:r>
      <w:r w:rsidR="00832630" w:rsidRPr="0031683E">
        <w:t xml:space="preserve">se of </w:t>
      </w:r>
      <w:r w:rsidR="00535BAB" w:rsidRPr="0031683E">
        <w:t>DLMS</w:t>
      </w:r>
      <w:r w:rsidR="00832630" w:rsidRPr="0031683E">
        <w:t xml:space="preserve"> 824R</w:t>
      </w:r>
      <w:r w:rsidR="00EE37FC" w:rsidRPr="0031683E">
        <w:t xml:space="preserve"> does not </w:t>
      </w:r>
      <w:r w:rsidR="006C59F5" w:rsidRPr="0031683E">
        <w:t>replace</w:t>
      </w:r>
      <w:r w:rsidR="00EE37FC" w:rsidRPr="0031683E">
        <w:t xml:space="preserve"> procedures for error identification addressed by </w:t>
      </w:r>
      <w:r w:rsidR="0008731A" w:rsidRPr="0031683E">
        <w:t>DLMS</w:t>
      </w:r>
      <w:r w:rsidR="00EE37FC" w:rsidRPr="0031683E">
        <w:t xml:space="preserve"> 140A, Small Arms </w:t>
      </w:r>
      <w:r w:rsidR="00E75D2B" w:rsidRPr="0031683E">
        <w:t xml:space="preserve">and Light Weapons (SA/LW) </w:t>
      </w:r>
      <w:r w:rsidR="00EE37FC" w:rsidRPr="0031683E">
        <w:t xml:space="preserve">Reporting, </w:t>
      </w:r>
      <w:r w:rsidR="0008731A" w:rsidRPr="0031683E">
        <w:t>DLMS</w:t>
      </w:r>
      <w:r w:rsidR="00EE37FC" w:rsidRPr="0031683E">
        <w:t xml:space="preserve"> 870S, Supply Status, or </w:t>
      </w:r>
      <w:r w:rsidR="0008731A" w:rsidRPr="0031683E">
        <w:t>DLMS</w:t>
      </w:r>
      <w:r w:rsidR="00EE37FC" w:rsidRPr="0031683E">
        <w:t xml:space="preserve"> 842A/R, DoD Supply Discrepancy </w:t>
      </w:r>
      <w:r w:rsidR="00EE37FC" w:rsidRPr="0031683E">
        <w:lastRenderedPageBreak/>
        <w:t xml:space="preserve">Report Reply.  </w:t>
      </w:r>
      <w:r w:rsidR="0008731A" w:rsidRPr="0031683E">
        <w:t>DLMS</w:t>
      </w:r>
      <w:r w:rsidR="00EE37FC" w:rsidRPr="0031683E">
        <w:t xml:space="preserve"> 824R codes may be expanded in the future as requirements are identified and </w:t>
      </w:r>
      <w:r w:rsidR="00832630" w:rsidRPr="0031683E">
        <w:t>implemented</w:t>
      </w:r>
      <w:r w:rsidR="00EE37FC" w:rsidRPr="0031683E">
        <w:t>.</w:t>
      </w:r>
    </w:p>
    <w:p w14:paraId="4FB31987" w14:textId="77777777" w:rsidR="007124B1" w:rsidRPr="00A23B0D" w:rsidRDefault="003D490A" w:rsidP="00134623">
      <w:pPr>
        <w:tabs>
          <w:tab w:val="left" w:pos="540"/>
          <w:tab w:val="left" w:pos="1080"/>
          <w:tab w:val="left" w:pos="1620"/>
          <w:tab w:val="left" w:pos="2160"/>
          <w:tab w:val="left" w:pos="2700"/>
        </w:tabs>
        <w:spacing w:after="240"/>
        <w:outlineLvl w:val="0"/>
      </w:pPr>
      <w:r w:rsidRPr="00A23B0D">
        <w:tab/>
      </w:r>
      <w:r w:rsidR="0036131A">
        <w:t>C4</w:t>
      </w:r>
      <w:r w:rsidRPr="00A23B0D">
        <w:t>.2.</w:t>
      </w:r>
      <w:r w:rsidR="00297DF7">
        <w:t>4</w:t>
      </w:r>
      <w:r w:rsidRPr="00A23B0D">
        <w:t xml:space="preserve">.  </w:t>
      </w:r>
      <w:r w:rsidRPr="00A23B0D">
        <w:rPr>
          <w:u w:val="single"/>
        </w:rPr>
        <w:t>Characteristics of Use</w:t>
      </w:r>
    </w:p>
    <w:p w14:paraId="4FB31988" w14:textId="7739BAF1" w:rsidR="007124B1" w:rsidRPr="00A23B0D" w:rsidRDefault="003D490A" w:rsidP="003D490A">
      <w:pPr>
        <w:tabs>
          <w:tab w:val="left" w:pos="540"/>
          <w:tab w:val="left" w:pos="1080"/>
          <w:tab w:val="left" w:pos="1620"/>
          <w:tab w:val="left" w:pos="2160"/>
          <w:tab w:val="left" w:pos="2700"/>
        </w:tabs>
        <w:spacing w:after="240"/>
      </w:pPr>
      <w:r w:rsidRPr="00A23B0D">
        <w:tab/>
      </w:r>
      <w:r w:rsidRPr="00A23B0D">
        <w:tab/>
      </w:r>
      <w:r w:rsidR="0036131A">
        <w:t>C4</w:t>
      </w:r>
      <w:r w:rsidR="00DC377E" w:rsidRPr="00A23B0D">
        <w:t>.2.</w:t>
      </w:r>
      <w:r w:rsidR="00297DF7">
        <w:t>4</w:t>
      </w:r>
      <w:r w:rsidR="00DC377E" w:rsidRPr="00A23B0D">
        <w:t xml:space="preserve">.1.  </w:t>
      </w:r>
      <w:r w:rsidR="007124B1" w:rsidRPr="00A23B0D">
        <w:rPr>
          <w:u w:val="single"/>
        </w:rPr>
        <w:t>Application</w:t>
      </w:r>
      <w:r w:rsidR="00CF1DFE">
        <w:rPr>
          <w:u w:val="single"/>
        </w:rPr>
        <w:t xml:space="preserve"> </w:t>
      </w:r>
      <w:r w:rsidR="007124B1" w:rsidRPr="00A23B0D">
        <w:rPr>
          <w:u w:val="single"/>
        </w:rPr>
        <w:t>Identified Error</w:t>
      </w:r>
      <w:r w:rsidR="00A47187">
        <w:rPr>
          <w:u w:val="single"/>
        </w:rPr>
        <w:t xml:space="preserve"> </w:t>
      </w:r>
      <w:r w:rsidR="00E138AA">
        <w:rPr>
          <w:u w:val="single"/>
        </w:rPr>
        <w:t>Examples</w:t>
      </w:r>
      <w:r w:rsidR="007124B1" w:rsidRPr="00A23B0D">
        <w:t xml:space="preserve">.  Even with stringent editing performed by the EDI translator, some error conditions will occur </w:t>
      </w:r>
      <w:r w:rsidR="00547A29">
        <w:t xml:space="preserve">that </w:t>
      </w:r>
      <w:r w:rsidR="007124B1" w:rsidRPr="00A23B0D">
        <w:t xml:space="preserve">only the more complex application program edits </w:t>
      </w:r>
      <w:r w:rsidR="00631FBE">
        <w:t xml:space="preserve">can identify.  </w:t>
      </w:r>
      <w:r w:rsidR="007F7A90">
        <w:t xml:space="preserve">These </w:t>
      </w:r>
      <w:r w:rsidR="00631FBE">
        <w:t>errors may</w:t>
      </w:r>
      <w:r w:rsidR="007124B1" w:rsidRPr="00A23B0D">
        <w:t xml:space="preserve"> include:</w:t>
      </w:r>
    </w:p>
    <w:p w14:paraId="4FB31989" w14:textId="77777777" w:rsidR="007124B1" w:rsidRPr="00A23B0D" w:rsidRDefault="003D490A" w:rsidP="003D490A">
      <w:pPr>
        <w:tabs>
          <w:tab w:val="left" w:pos="540"/>
          <w:tab w:val="left" w:pos="1080"/>
          <w:tab w:val="left" w:pos="1620"/>
          <w:tab w:val="left" w:pos="2160"/>
          <w:tab w:val="left" w:pos="2700"/>
        </w:tabs>
        <w:spacing w:after="240"/>
      </w:pPr>
      <w:r w:rsidRPr="00A23B0D">
        <w:tab/>
      </w:r>
      <w:r w:rsidRPr="00A23B0D">
        <w:tab/>
      </w:r>
      <w:r w:rsidRPr="00A23B0D">
        <w:tab/>
      </w:r>
      <w:r w:rsidR="0036131A">
        <w:t>C4</w:t>
      </w:r>
      <w:r w:rsidR="00DC377E" w:rsidRPr="00A23B0D">
        <w:t>.2.</w:t>
      </w:r>
      <w:r w:rsidR="00297DF7">
        <w:t>4</w:t>
      </w:r>
      <w:r w:rsidR="00DC377E" w:rsidRPr="00A23B0D">
        <w:t>.</w:t>
      </w:r>
      <w:r w:rsidR="00A47187">
        <w:t>1</w:t>
      </w:r>
      <w:r w:rsidR="00DC377E" w:rsidRPr="00A23B0D">
        <w:t xml:space="preserve">.1.  </w:t>
      </w:r>
      <w:r w:rsidR="007124B1" w:rsidRPr="00A23B0D">
        <w:t>Invalid item identification.</w:t>
      </w:r>
    </w:p>
    <w:p w14:paraId="4FB3198A" w14:textId="77777777" w:rsidR="007124B1" w:rsidRPr="00A23B0D" w:rsidRDefault="003D490A" w:rsidP="003D490A">
      <w:pPr>
        <w:tabs>
          <w:tab w:val="left" w:pos="540"/>
          <w:tab w:val="left" w:pos="1080"/>
          <w:tab w:val="left" w:pos="1620"/>
          <w:tab w:val="left" w:pos="2160"/>
          <w:tab w:val="left" w:pos="2700"/>
        </w:tabs>
        <w:spacing w:after="240"/>
      </w:pPr>
      <w:r w:rsidRPr="00A23B0D">
        <w:tab/>
      </w:r>
      <w:r w:rsidRPr="00A23B0D">
        <w:tab/>
      </w:r>
      <w:r w:rsidRPr="00A23B0D">
        <w:tab/>
      </w:r>
      <w:r w:rsidR="0036131A">
        <w:t>C4</w:t>
      </w:r>
      <w:r w:rsidR="00DC377E" w:rsidRPr="00A23B0D">
        <w:t>.2.</w:t>
      </w:r>
      <w:r w:rsidR="00297DF7">
        <w:t>4</w:t>
      </w:r>
      <w:r w:rsidR="00DC377E" w:rsidRPr="00A23B0D">
        <w:t>.</w:t>
      </w:r>
      <w:r w:rsidR="00A47187">
        <w:t>1</w:t>
      </w:r>
      <w:r w:rsidR="00DC377E" w:rsidRPr="00A23B0D">
        <w:t xml:space="preserve">.2.  </w:t>
      </w:r>
      <w:r w:rsidR="007124B1" w:rsidRPr="00A23B0D">
        <w:t xml:space="preserve">Quantity of zero when a </w:t>
      </w:r>
      <w:r w:rsidR="009E7B76">
        <w:t xml:space="preserve">nonzero </w:t>
      </w:r>
      <w:r w:rsidR="007124B1" w:rsidRPr="00A23B0D">
        <w:t>quantity is required.</w:t>
      </w:r>
    </w:p>
    <w:p w14:paraId="4FB3198B" w14:textId="19934F41" w:rsidR="007124B1" w:rsidRPr="00A23B0D" w:rsidRDefault="003D490A" w:rsidP="003D490A">
      <w:pPr>
        <w:tabs>
          <w:tab w:val="left" w:pos="540"/>
          <w:tab w:val="left" w:pos="1080"/>
          <w:tab w:val="left" w:pos="1620"/>
          <w:tab w:val="left" w:pos="2160"/>
          <w:tab w:val="left" w:pos="2700"/>
        </w:tabs>
        <w:spacing w:after="240"/>
      </w:pPr>
      <w:r w:rsidRPr="00A23B0D">
        <w:tab/>
      </w:r>
      <w:r w:rsidRPr="00A23B0D">
        <w:tab/>
      </w:r>
      <w:r w:rsidRPr="00A23B0D">
        <w:tab/>
      </w:r>
      <w:r w:rsidR="0036131A">
        <w:t>C4</w:t>
      </w:r>
      <w:r w:rsidR="00DC377E" w:rsidRPr="00A23B0D">
        <w:t>.2.</w:t>
      </w:r>
      <w:r w:rsidR="00297DF7">
        <w:t>4</w:t>
      </w:r>
      <w:r w:rsidR="00DC377E" w:rsidRPr="00A23B0D">
        <w:t>.</w:t>
      </w:r>
      <w:r w:rsidR="00A47187">
        <w:t>1</w:t>
      </w:r>
      <w:r w:rsidR="00DC377E" w:rsidRPr="00A23B0D">
        <w:t xml:space="preserve">.3.  </w:t>
      </w:r>
      <w:r w:rsidR="007124B1" w:rsidRPr="00A23B0D">
        <w:t>Invalid DLMS co</w:t>
      </w:r>
      <w:r w:rsidR="00CF3DB8" w:rsidRPr="00A23B0D">
        <w:t xml:space="preserve">de received in </w:t>
      </w:r>
      <w:r w:rsidR="0020370F">
        <w:t xml:space="preserve">the </w:t>
      </w:r>
      <w:r w:rsidR="00CF3DB8" w:rsidRPr="00A23B0D">
        <w:t>LQ02</w:t>
      </w:r>
      <w:r w:rsidR="0020370F">
        <w:t xml:space="preserve"> Segment</w:t>
      </w:r>
      <w:r w:rsidR="00CF3DB8" w:rsidRPr="00A23B0D">
        <w:t xml:space="preserve">.  </w:t>
      </w:r>
      <w:r w:rsidR="0020370F">
        <w:t xml:space="preserve">The </w:t>
      </w:r>
      <w:r w:rsidR="00535BAB">
        <w:t>DLMS</w:t>
      </w:r>
      <w:r w:rsidR="00535BAB">
        <w:rPr>
          <w:bCs/>
          <w:iCs/>
        </w:rPr>
        <w:t xml:space="preserve"> </w:t>
      </w:r>
      <w:r w:rsidR="00CF3DB8" w:rsidRPr="00A23B0D">
        <w:rPr>
          <w:bCs/>
          <w:iCs/>
        </w:rPr>
        <w:t>824</w:t>
      </w:r>
      <w:r w:rsidR="001422F3" w:rsidRPr="00A23B0D">
        <w:rPr>
          <w:bCs/>
          <w:iCs/>
        </w:rPr>
        <w:t>R</w:t>
      </w:r>
      <w:r w:rsidR="007124B1" w:rsidRPr="00A23B0D">
        <w:t xml:space="preserve"> applies only when a received </w:t>
      </w:r>
      <w:r w:rsidR="009E7B76">
        <w:t>transaction</w:t>
      </w:r>
      <w:r w:rsidR="009E7B76" w:rsidRPr="00A23B0D">
        <w:t xml:space="preserve"> </w:t>
      </w:r>
      <w:r w:rsidR="007124B1" w:rsidRPr="00A23B0D">
        <w:t xml:space="preserve">fails to comply with the </w:t>
      </w:r>
      <w:r w:rsidR="009E7B76">
        <w:t xml:space="preserve">application-level </w:t>
      </w:r>
      <w:r w:rsidR="007124B1" w:rsidRPr="00A23B0D">
        <w:t>rule</w:t>
      </w:r>
      <w:r w:rsidR="00CF3DB8" w:rsidRPr="00A23B0D">
        <w:t>s/format</w:t>
      </w:r>
      <w:r w:rsidR="009E7B76">
        <w:t>s</w:t>
      </w:r>
      <w:r w:rsidR="00CF3DB8" w:rsidRPr="00A23B0D">
        <w:t xml:space="preserve"> specified in the </w:t>
      </w:r>
      <w:r w:rsidR="007A41AF" w:rsidRPr="0031683E">
        <w:t>implementation convention</w:t>
      </w:r>
      <w:r w:rsidR="007124B1" w:rsidRPr="00A23B0D">
        <w:t>.</w:t>
      </w:r>
    </w:p>
    <w:p w14:paraId="4FB3198F" w14:textId="4F587B34" w:rsidR="007124B1" w:rsidRPr="00A23B0D" w:rsidRDefault="003D490A" w:rsidP="00CF1DFE">
      <w:pPr>
        <w:tabs>
          <w:tab w:val="left" w:pos="540"/>
          <w:tab w:val="left" w:pos="1080"/>
          <w:tab w:val="left" w:pos="1620"/>
          <w:tab w:val="left" w:pos="2160"/>
          <w:tab w:val="left" w:pos="2700"/>
        </w:tabs>
        <w:spacing w:after="240"/>
        <w:rPr>
          <w:bCs/>
          <w:iCs/>
        </w:rPr>
      </w:pPr>
      <w:r w:rsidRPr="00A23B0D">
        <w:tab/>
      </w:r>
      <w:r w:rsidRPr="00A23B0D">
        <w:tab/>
      </w:r>
      <w:r w:rsidR="0036131A">
        <w:t>C4</w:t>
      </w:r>
      <w:r w:rsidR="00DC377E" w:rsidRPr="00A23B0D">
        <w:t>.2.</w:t>
      </w:r>
      <w:r w:rsidR="00297DF7">
        <w:t>4</w:t>
      </w:r>
      <w:r w:rsidR="00DC377E" w:rsidRPr="00A23B0D">
        <w:t>.</w:t>
      </w:r>
      <w:r w:rsidR="007A41AF" w:rsidRPr="0031683E">
        <w:t>2</w:t>
      </w:r>
      <w:r w:rsidR="00DC377E" w:rsidRPr="00A23B0D">
        <w:t xml:space="preserve">.  </w:t>
      </w:r>
      <w:r w:rsidR="00F55E96" w:rsidRPr="00230515">
        <w:rPr>
          <w:u w:val="single"/>
        </w:rPr>
        <w:t>DAAS</w:t>
      </w:r>
      <w:r w:rsidR="00F15211" w:rsidRPr="00D55384">
        <w:rPr>
          <w:u w:val="single"/>
        </w:rPr>
        <w:t xml:space="preserve"> </w:t>
      </w:r>
      <w:r w:rsidR="00F15211" w:rsidRPr="00A23B0D">
        <w:rPr>
          <w:u w:val="single"/>
        </w:rPr>
        <w:t xml:space="preserve">Receipt </w:t>
      </w:r>
      <w:r w:rsidR="007B607D" w:rsidRPr="00A23B0D">
        <w:rPr>
          <w:u w:val="single"/>
        </w:rPr>
        <w:t>a</w:t>
      </w:r>
      <w:r w:rsidR="00F15211" w:rsidRPr="00A23B0D">
        <w:rPr>
          <w:u w:val="single"/>
        </w:rPr>
        <w:t>nd Generation o</w:t>
      </w:r>
      <w:r w:rsidR="007124B1" w:rsidRPr="00A23B0D">
        <w:rPr>
          <w:u w:val="single"/>
        </w:rPr>
        <w:t xml:space="preserve">f </w:t>
      </w:r>
      <w:r w:rsidR="0020787F">
        <w:rPr>
          <w:bCs/>
          <w:iCs/>
          <w:u w:val="single"/>
        </w:rPr>
        <w:t xml:space="preserve">DLMS </w:t>
      </w:r>
      <w:r w:rsidR="00CF3DB8" w:rsidRPr="00A23B0D">
        <w:rPr>
          <w:bCs/>
          <w:iCs/>
          <w:u w:val="single"/>
        </w:rPr>
        <w:t>82</w:t>
      </w:r>
      <w:r w:rsidR="001422F3" w:rsidRPr="00A23B0D">
        <w:rPr>
          <w:bCs/>
          <w:iCs/>
          <w:u w:val="single"/>
        </w:rPr>
        <w:t>4R</w:t>
      </w:r>
      <w:r w:rsidR="0020787F">
        <w:rPr>
          <w:bCs/>
          <w:iCs/>
          <w:u w:val="single"/>
        </w:rPr>
        <w:t xml:space="preserve"> Reject Advice </w:t>
      </w:r>
    </w:p>
    <w:p w14:paraId="4FB31990" w14:textId="137DC3C6" w:rsidR="001422F3" w:rsidRPr="00A23B0D" w:rsidRDefault="003D490A" w:rsidP="00CF1DFE">
      <w:pPr>
        <w:tabs>
          <w:tab w:val="left" w:pos="540"/>
          <w:tab w:val="left" w:pos="1080"/>
          <w:tab w:val="left" w:pos="1620"/>
          <w:tab w:val="left" w:pos="2160"/>
          <w:tab w:val="left" w:pos="2700"/>
        </w:tabs>
        <w:spacing w:after="240"/>
      </w:pPr>
      <w:r w:rsidRPr="00A23B0D">
        <w:tab/>
      </w:r>
      <w:r w:rsidRPr="00A23B0D">
        <w:tab/>
      </w:r>
      <w:r w:rsidRPr="00A23B0D">
        <w:tab/>
      </w:r>
      <w:r w:rsidR="0036131A">
        <w:t>C4</w:t>
      </w:r>
      <w:r w:rsidR="00DC377E" w:rsidRPr="00A23B0D">
        <w:t>.2.</w:t>
      </w:r>
      <w:r w:rsidR="00297DF7">
        <w:t>4</w:t>
      </w:r>
      <w:r w:rsidR="00DC377E" w:rsidRPr="00A23B0D">
        <w:t>.</w:t>
      </w:r>
      <w:r w:rsidR="007A41AF" w:rsidRPr="0031683E">
        <w:t>2</w:t>
      </w:r>
      <w:r w:rsidR="00DC377E" w:rsidRPr="00A23B0D">
        <w:t xml:space="preserve">.1.  </w:t>
      </w:r>
      <w:r w:rsidR="007124B1" w:rsidRPr="00A23B0D">
        <w:rPr>
          <w:u w:val="single"/>
        </w:rPr>
        <w:t>Processing Data</w:t>
      </w:r>
      <w:r w:rsidR="007124B1" w:rsidRPr="00A23B0D">
        <w:t xml:space="preserve">.  As </w:t>
      </w:r>
      <w:r w:rsidR="001422F3" w:rsidRPr="00A23B0D">
        <w:t>DAAS</w:t>
      </w:r>
      <w:r w:rsidR="007124B1" w:rsidRPr="00A23B0D">
        <w:t xml:space="preserve"> receives DLMS interchange envelopes it </w:t>
      </w:r>
      <w:r w:rsidR="00ED716B">
        <w:t>will</w:t>
      </w:r>
      <w:r w:rsidR="007124B1" w:rsidRPr="00A23B0D">
        <w:t xml:space="preserve"> process the data through an EDI translator and then break the contents down to the transaction level.  DAAS</w:t>
      </w:r>
      <w:r w:rsidR="001422F3" w:rsidRPr="00A23B0D">
        <w:t xml:space="preserve"> </w:t>
      </w:r>
      <w:r w:rsidR="00ED716B">
        <w:t>will</w:t>
      </w:r>
      <w:r w:rsidR="007124B1" w:rsidRPr="00A23B0D">
        <w:t xml:space="preserve"> apply </w:t>
      </w:r>
      <w:r w:rsidR="00C116CE">
        <w:t xml:space="preserve">appropriate </w:t>
      </w:r>
      <w:r w:rsidR="007124B1" w:rsidRPr="00A23B0D">
        <w:t>DLMS and DoD Component edit checks on received transactions.</w:t>
      </w:r>
    </w:p>
    <w:p w14:paraId="4FB31991" w14:textId="4B8BACBA" w:rsidR="007124B1" w:rsidRPr="00A23B0D" w:rsidRDefault="001422F3" w:rsidP="00CF1DFE">
      <w:pPr>
        <w:tabs>
          <w:tab w:val="left" w:pos="540"/>
          <w:tab w:val="left" w:pos="1080"/>
          <w:tab w:val="left" w:pos="1620"/>
          <w:tab w:val="left" w:pos="2160"/>
          <w:tab w:val="left" w:pos="2700"/>
        </w:tabs>
        <w:spacing w:after="240"/>
      </w:pPr>
      <w:r w:rsidRPr="00A23B0D">
        <w:tab/>
      </w:r>
      <w:r w:rsidRPr="00A23B0D">
        <w:tab/>
      </w:r>
      <w:r w:rsidRPr="00A23B0D">
        <w:tab/>
      </w:r>
      <w:r w:rsidRPr="00A23B0D">
        <w:tab/>
      </w:r>
      <w:r w:rsidR="0036131A">
        <w:t>C4</w:t>
      </w:r>
      <w:r w:rsidRPr="00A23B0D">
        <w:t>.2.</w:t>
      </w:r>
      <w:r w:rsidR="00297DF7">
        <w:t>4</w:t>
      </w:r>
      <w:r w:rsidRPr="00A23B0D">
        <w:t>.</w:t>
      </w:r>
      <w:r w:rsidR="007A41AF" w:rsidRPr="0031683E">
        <w:t>2</w:t>
      </w:r>
      <w:r w:rsidRPr="00A23B0D">
        <w:t xml:space="preserve">.1.1.  </w:t>
      </w:r>
      <w:r w:rsidR="007124B1" w:rsidRPr="00A23B0D">
        <w:t xml:space="preserve">If DAAS software detects a </w:t>
      </w:r>
      <w:r w:rsidR="00E67A9C" w:rsidRPr="00A23B0D">
        <w:t>nonbusiness</w:t>
      </w:r>
      <w:r w:rsidR="00E979D5">
        <w:t xml:space="preserve"> </w:t>
      </w:r>
      <w:r w:rsidR="007124B1" w:rsidRPr="00A23B0D">
        <w:t xml:space="preserve">process error, it </w:t>
      </w:r>
      <w:r w:rsidR="00ED716B">
        <w:t>will</w:t>
      </w:r>
      <w:r w:rsidR="007124B1" w:rsidRPr="00A23B0D">
        <w:t xml:space="preserve"> reject the transaction back to the sender using </w:t>
      </w:r>
      <w:r w:rsidR="00540A61" w:rsidRPr="00540A61">
        <w:rPr>
          <w:b/>
          <w:i/>
        </w:rPr>
        <w:t>DLMS</w:t>
      </w:r>
      <w:r w:rsidRPr="00A23B0D">
        <w:t xml:space="preserve"> IC</w:t>
      </w:r>
      <w:r w:rsidR="00CF3DB8" w:rsidRPr="00A23B0D">
        <w:t xml:space="preserve"> 997</w:t>
      </w:r>
      <w:r w:rsidR="007124B1" w:rsidRPr="00A23B0D">
        <w:t xml:space="preserve"> or</w:t>
      </w:r>
      <w:r w:rsidR="00CF3DB8" w:rsidRPr="00A23B0D">
        <w:t xml:space="preserve"> </w:t>
      </w:r>
      <w:r w:rsidR="0020787F">
        <w:rPr>
          <w:bCs/>
          <w:iCs/>
        </w:rPr>
        <w:t>DLMS</w:t>
      </w:r>
      <w:r w:rsidR="00CF3DB8" w:rsidRPr="00A23B0D">
        <w:rPr>
          <w:bCs/>
          <w:iCs/>
        </w:rPr>
        <w:t xml:space="preserve"> 824</w:t>
      </w:r>
      <w:r w:rsidRPr="00A23B0D">
        <w:rPr>
          <w:bCs/>
          <w:iCs/>
        </w:rPr>
        <w:t>R</w:t>
      </w:r>
      <w:r w:rsidR="00F15211" w:rsidRPr="00A23B0D">
        <w:t>,</w:t>
      </w:r>
      <w:r w:rsidR="007124B1" w:rsidRPr="00A23B0D">
        <w:t xml:space="preserve"> as applicable.</w:t>
      </w:r>
    </w:p>
    <w:p w14:paraId="4FB31992" w14:textId="7284537A" w:rsidR="00297DF7" w:rsidRDefault="002016E2" w:rsidP="003D490A">
      <w:pPr>
        <w:tabs>
          <w:tab w:val="left" w:pos="540"/>
          <w:tab w:val="left" w:pos="1080"/>
          <w:tab w:val="left" w:pos="1620"/>
          <w:tab w:val="left" w:pos="2160"/>
          <w:tab w:val="left" w:pos="2700"/>
        </w:tabs>
        <w:spacing w:after="240"/>
      </w:pPr>
      <w:r w:rsidRPr="00A23B0D">
        <w:tab/>
      </w:r>
      <w:r w:rsidRPr="00A23B0D">
        <w:tab/>
      </w:r>
      <w:r w:rsidRPr="00A23B0D">
        <w:tab/>
      </w:r>
      <w:r w:rsidRPr="00A23B0D">
        <w:tab/>
      </w:r>
      <w:r w:rsidR="0036131A">
        <w:t>C4</w:t>
      </w:r>
      <w:r w:rsidRPr="00A23B0D">
        <w:t>.2.</w:t>
      </w:r>
      <w:r w:rsidR="00297DF7">
        <w:t>4</w:t>
      </w:r>
      <w:r w:rsidRPr="00A23B0D">
        <w:t>.</w:t>
      </w:r>
      <w:r w:rsidR="007A41AF" w:rsidRPr="0031683E">
        <w:t>2</w:t>
      </w:r>
      <w:r w:rsidRPr="00A23B0D">
        <w:t xml:space="preserve">.1.2.  If DAAS detects </w:t>
      </w:r>
      <w:r w:rsidR="006D05BD" w:rsidRPr="00A23B0D">
        <w:t xml:space="preserve">data </w:t>
      </w:r>
      <w:r w:rsidRPr="00A23B0D">
        <w:t>error</w:t>
      </w:r>
      <w:r w:rsidR="006D05BD" w:rsidRPr="00A23B0D">
        <w:t>s</w:t>
      </w:r>
      <w:r w:rsidRPr="00A23B0D">
        <w:t xml:space="preserve"> preventing the correct routing or processing of the transaction, </w:t>
      </w:r>
      <w:r w:rsidR="00F55E96" w:rsidRPr="00230515">
        <w:t>DAAS</w:t>
      </w:r>
      <w:r w:rsidRPr="00A23B0D">
        <w:t xml:space="preserve"> </w:t>
      </w:r>
      <w:r w:rsidR="00ED716B">
        <w:t>will</w:t>
      </w:r>
      <w:r w:rsidR="00E75D2B">
        <w:t xml:space="preserve"> </w:t>
      </w:r>
      <w:r w:rsidRPr="00A23B0D">
        <w:t xml:space="preserve">reject the transaction back to the originator with a </w:t>
      </w:r>
      <w:r w:rsidR="00535BAB">
        <w:t>DLMS</w:t>
      </w:r>
      <w:r w:rsidR="00535BAB" w:rsidRPr="00A23B0D">
        <w:t xml:space="preserve"> </w:t>
      </w:r>
      <w:r w:rsidRPr="00A23B0D">
        <w:t xml:space="preserve">824R containing a narrative message in the NTE segment identifying the error(s) </w:t>
      </w:r>
      <w:r w:rsidR="00C116CE">
        <w:t xml:space="preserve">that </w:t>
      </w:r>
      <w:r w:rsidRPr="00A23B0D">
        <w:t xml:space="preserve">prevented the routing/processing.  </w:t>
      </w:r>
      <w:r w:rsidR="0096188C">
        <w:t>DAAS</w:t>
      </w:r>
      <w:r w:rsidRPr="00444938">
        <w:t xml:space="preserve"> </w:t>
      </w:r>
      <w:r w:rsidR="00ED716B">
        <w:t>will</w:t>
      </w:r>
      <w:r w:rsidR="00E75D2B">
        <w:t xml:space="preserve"> </w:t>
      </w:r>
      <w:r w:rsidRPr="00A23B0D">
        <w:t xml:space="preserve">also </w:t>
      </w:r>
      <w:r w:rsidR="00AD2095" w:rsidRPr="00A23B0D">
        <w:t>use</w:t>
      </w:r>
      <w:r w:rsidRPr="00A23B0D">
        <w:t xml:space="preserve"> the </w:t>
      </w:r>
      <w:r w:rsidR="00E138AA">
        <w:t>enveloping information</w:t>
      </w:r>
      <w:r w:rsidR="0097594A">
        <w:t xml:space="preserve"> to identify the rejected transaction</w:t>
      </w:r>
      <w:r w:rsidR="00297DF7">
        <w:t>.</w:t>
      </w:r>
    </w:p>
    <w:p w14:paraId="4FB31993" w14:textId="32F52733" w:rsidR="007124B1" w:rsidRPr="00A23B0D" w:rsidRDefault="00297DF7" w:rsidP="003D490A">
      <w:pPr>
        <w:tabs>
          <w:tab w:val="left" w:pos="540"/>
          <w:tab w:val="left" w:pos="1080"/>
          <w:tab w:val="left" w:pos="1620"/>
          <w:tab w:val="left" w:pos="2160"/>
          <w:tab w:val="left" w:pos="2700"/>
        </w:tabs>
        <w:spacing w:after="240"/>
      </w:pPr>
      <w:r>
        <w:tab/>
      </w:r>
      <w:r>
        <w:tab/>
      </w:r>
      <w:r>
        <w:tab/>
      </w:r>
      <w:r w:rsidR="0036131A">
        <w:t>C4</w:t>
      </w:r>
      <w:r w:rsidR="003D490A" w:rsidRPr="00A23B0D">
        <w:t>.2.</w:t>
      </w:r>
      <w:r>
        <w:t>4</w:t>
      </w:r>
      <w:r w:rsidR="003D490A" w:rsidRPr="00A23B0D">
        <w:t>.</w:t>
      </w:r>
      <w:r w:rsidR="00077C5C">
        <w:t>2</w:t>
      </w:r>
      <w:r w:rsidR="003D490A" w:rsidRPr="00A23B0D">
        <w:t xml:space="preserve">.2. </w:t>
      </w:r>
      <w:r w:rsidR="003D490A" w:rsidRPr="00B17C73">
        <w:t xml:space="preserve"> </w:t>
      </w:r>
      <w:r w:rsidR="007124B1" w:rsidRPr="00A23B0D">
        <w:rPr>
          <w:u w:val="single"/>
        </w:rPr>
        <w:t>Loading Transactions</w:t>
      </w:r>
      <w:r w:rsidR="007124B1" w:rsidRPr="00A23B0D">
        <w:t xml:space="preserve">.  DAAS </w:t>
      </w:r>
      <w:r w:rsidR="00ED716B">
        <w:t>will</w:t>
      </w:r>
      <w:r w:rsidR="007124B1" w:rsidRPr="00A23B0D">
        <w:t xml:space="preserve"> load transactions</w:t>
      </w:r>
      <w:r w:rsidR="00B17C73">
        <w:t xml:space="preserve"> </w:t>
      </w:r>
      <w:r w:rsidR="00547A29">
        <w:t xml:space="preserve">that </w:t>
      </w:r>
      <w:r w:rsidR="007124B1" w:rsidRPr="00A23B0D">
        <w:t>do not conta</w:t>
      </w:r>
      <w:r w:rsidR="00F15211" w:rsidRPr="00A23B0D">
        <w:t>in errors into the Logistics Onl</w:t>
      </w:r>
      <w:r w:rsidR="007124B1" w:rsidRPr="00A23B0D">
        <w:t>ine Tracking System</w:t>
      </w:r>
      <w:r w:rsidR="00547A29">
        <w:t xml:space="preserve"> (LOTS)</w:t>
      </w:r>
      <w:r w:rsidR="007124B1" w:rsidRPr="00A23B0D">
        <w:t>.</w:t>
      </w:r>
    </w:p>
    <w:sectPr w:rsidR="007124B1" w:rsidRPr="00A23B0D" w:rsidSect="00FE5DD3">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9B09" w14:textId="77777777" w:rsidR="00625246" w:rsidRDefault="00625246">
      <w:r>
        <w:separator/>
      </w:r>
    </w:p>
  </w:endnote>
  <w:endnote w:type="continuationSeparator" w:id="0">
    <w:p w14:paraId="4B8206D7" w14:textId="77777777" w:rsidR="00625246" w:rsidRDefault="0062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199B" w14:textId="77777777" w:rsidR="0018207C" w:rsidRPr="003D490A" w:rsidRDefault="0018207C" w:rsidP="003D490A">
    <w:pPr>
      <w:pStyle w:val="Footer"/>
      <w:framePr w:wrap="around" w:vAnchor="text" w:hAnchor="margin" w:xAlign="center" w:y="1"/>
      <w:rPr>
        <w:rStyle w:val="PageNumber"/>
        <w:b w:val="0"/>
      </w:rPr>
    </w:pPr>
    <w:r>
      <w:rPr>
        <w:rStyle w:val="PageNumber"/>
        <w:b w:val="0"/>
      </w:rPr>
      <w:t>C6-</w:t>
    </w:r>
    <w:r w:rsidRPr="003D490A">
      <w:rPr>
        <w:rStyle w:val="PageNumber"/>
        <w:b w:val="0"/>
      </w:rPr>
      <w:fldChar w:fldCharType="begin"/>
    </w:r>
    <w:r w:rsidRPr="003D490A">
      <w:rPr>
        <w:rStyle w:val="PageNumber"/>
        <w:b w:val="0"/>
      </w:rPr>
      <w:instrText xml:space="preserve">PAGE  </w:instrText>
    </w:r>
    <w:r w:rsidRPr="003D490A">
      <w:rPr>
        <w:rStyle w:val="PageNumber"/>
        <w:b w:val="0"/>
      </w:rPr>
      <w:fldChar w:fldCharType="separate"/>
    </w:r>
    <w:r>
      <w:rPr>
        <w:rStyle w:val="PageNumber"/>
        <w:b w:val="0"/>
        <w:noProof/>
      </w:rPr>
      <w:t>4</w:t>
    </w:r>
    <w:r w:rsidRPr="003D490A">
      <w:rPr>
        <w:rStyle w:val="PageNumber"/>
        <w:b w:val="0"/>
      </w:rPr>
      <w:fldChar w:fldCharType="end"/>
    </w:r>
  </w:p>
  <w:p w14:paraId="4FB3199C" w14:textId="77777777" w:rsidR="0018207C" w:rsidRPr="003D490A" w:rsidRDefault="0018207C" w:rsidP="003D490A">
    <w:pPr>
      <w:pStyle w:val="Footer"/>
      <w:tabs>
        <w:tab w:val="clear" w:pos="4320"/>
        <w:tab w:val="clear" w:pos="8640"/>
      </w:tabs>
      <w:jc w:val="right"/>
    </w:pPr>
    <w:r w:rsidRPr="003D490A">
      <w:t>CHAPTER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A786" w14:textId="6E0BF4A4" w:rsidR="00C41A88" w:rsidRDefault="00C41A88">
    <w:pPr>
      <w:pStyle w:val="Footer"/>
      <w:jc w:val="right"/>
    </w:pPr>
    <w:r>
      <w:t>C4-</w:t>
    </w:r>
    <w:sdt>
      <w:sdtPr>
        <w:id w:val="-12301465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39EB">
          <w:rPr>
            <w:noProof/>
          </w:rPr>
          <w:t>4</w:t>
        </w:r>
        <w:r>
          <w:rPr>
            <w:noProof/>
          </w:rPr>
          <w:fldChar w:fldCharType="end"/>
        </w:r>
        <w:r>
          <w:rPr>
            <w:noProof/>
          </w:rPr>
          <w:tab/>
          <w:t>CHAPTER 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F788" w14:textId="77777777" w:rsidR="00625246" w:rsidRDefault="00625246">
      <w:r>
        <w:separator/>
      </w:r>
    </w:p>
  </w:footnote>
  <w:footnote w:type="continuationSeparator" w:id="0">
    <w:p w14:paraId="56D7F88E" w14:textId="77777777" w:rsidR="00625246" w:rsidRDefault="00625246">
      <w:r>
        <w:continuationSeparator/>
      </w:r>
    </w:p>
  </w:footnote>
  <w:footnote w:id="1">
    <w:p w14:paraId="27E4D343" w14:textId="689C9C1D" w:rsidR="0018207C" w:rsidRPr="0031683E" w:rsidRDefault="0018207C" w:rsidP="0031683E">
      <w:pPr>
        <w:pStyle w:val="FootnoteText"/>
      </w:pPr>
      <w:r w:rsidRPr="0031683E">
        <w:rPr>
          <w:rStyle w:val="FootnoteReference"/>
        </w:rPr>
        <w:footnoteRef/>
      </w:r>
      <w:r w:rsidRPr="0031683E">
        <w:t xml:space="preserve"> </w:t>
      </w:r>
      <w:r w:rsidRPr="00230515">
        <w:rPr>
          <w:rFonts w:cs="Arial"/>
        </w:rPr>
        <w:t xml:space="preserve">Use the legacy PIIN pending transition to the PIID.  </w:t>
      </w:r>
    </w:p>
  </w:footnote>
  <w:footnote w:id="2">
    <w:p w14:paraId="74F0B868" w14:textId="77777777" w:rsidR="0018207C" w:rsidRPr="00647B7B" w:rsidRDefault="0018207C" w:rsidP="00647B7B">
      <w:pPr>
        <w:pStyle w:val="FootnoteText"/>
        <w:rPr>
          <w:color w:val="000000" w:themeColor="text1"/>
        </w:rPr>
      </w:pPr>
      <w:r w:rsidRPr="00647B7B">
        <w:rPr>
          <w:rStyle w:val="FootnoteReference"/>
          <w:color w:val="000000" w:themeColor="text1"/>
        </w:rPr>
        <w:footnoteRef/>
      </w:r>
      <w:r w:rsidRPr="00647B7B">
        <w:rPr>
          <w:color w:val="000000" w:themeColor="text1"/>
        </w:rPr>
        <w:t xml:space="preserve"> </w:t>
      </w:r>
      <w:r w:rsidRPr="00477490">
        <w:rPr>
          <w:color w:val="000000" w:themeColor="text1"/>
        </w:rPr>
        <w:t>Not available for use without prior coordination.</w:t>
      </w:r>
    </w:p>
  </w:footnote>
  <w:footnote w:id="3">
    <w:p w14:paraId="51DF7254" w14:textId="77777777" w:rsidR="0018207C" w:rsidRPr="00230515" w:rsidRDefault="0018207C" w:rsidP="00647B7B">
      <w:pPr>
        <w:pStyle w:val="FootnoteText"/>
        <w:rPr>
          <w:color w:val="000000" w:themeColor="text1"/>
        </w:rPr>
      </w:pPr>
      <w:r w:rsidRPr="00230515">
        <w:rPr>
          <w:rStyle w:val="FootnoteReference"/>
          <w:color w:val="000000" w:themeColor="text1"/>
        </w:rPr>
        <w:footnoteRef/>
      </w:r>
      <w:r w:rsidRPr="00230515">
        <w:rPr>
          <w:color w:val="000000" w:themeColor="text1"/>
        </w:rPr>
        <w:t xml:space="preserve"> </w:t>
      </w:r>
      <w:r w:rsidRPr="00477490">
        <w:rPr>
          <w:color w:val="000000" w:themeColor="text1"/>
        </w:rPr>
        <w:t>Authorized for use on an intra-Air Force basis for Government Furnished Property (GFP) accountability.  Refer to ADC 1226 for detailed procedures.</w:t>
      </w:r>
    </w:p>
  </w:footnote>
  <w:footnote w:id="4">
    <w:p w14:paraId="5CE9D633" w14:textId="5611B756" w:rsidR="0018207C" w:rsidRPr="00230515" w:rsidRDefault="0018207C">
      <w:pPr>
        <w:pStyle w:val="FootnoteText"/>
      </w:pPr>
      <w:r w:rsidRPr="00230515">
        <w:rPr>
          <w:rStyle w:val="FootnoteReference"/>
        </w:rPr>
        <w:footnoteRef/>
      </w:r>
      <w:r w:rsidRPr="00230515">
        <w:t xml:space="preserve"> </w:t>
      </w:r>
      <w:r w:rsidRPr="00477490">
        <w:t>Not available for use without prior coordination.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1998" w14:textId="77777777" w:rsidR="0018207C" w:rsidRPr="00170165" w:rsidRDefault="0018207C">
    <w:pPr>
      <w:pStyle w:val="Header"/>
      <w:jc w:val="left"/>
      <w:rPr>
        <w:i/>
        <w:u w:val="none"/>
      </w:rPr>
    </w:pPr>
    <w:r w:rsidRPr="00170165">
      <w:rPr>
        <w:i/>
        <w:u w:val="none"/>
      </w:rPr>
      <w:t>DoD 4000.25-M, Vol 1</w:t>
    </w:r>
    <w:r>
      <w:rPr>
        <w:i/>
        <w:u w:val="none"/>
      </w:rPr>
      <w:t>, August 2004</w:t>
    </w:r>
  </w:p>
  <w:p w14:paraId="4FB31999" w14:textId="77777777" w:rsidR="0018207C" w:rsidRDefault="0018207C">
    <w:pPr>
      <w:pStyle w:val="Header"/>
      <w:jc w:val="left"/>
      <w:rPr>
        <w:b/>
        <w:u w:val="none"/>
      </w:rPr>
    </w:pPr>
    <w:r>
      <w:rPr>
        <w:i/>
        <w:u w:val="none"/>
      </w:rPr>
      <w:t>Change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199A" w14:textId="6157B2BA" w:rsidR="0018207C" w:rsidRPr="0023592C" w:rsidRDefault="0018207C" w:rsidP="00465A6B">
    <w:pPr>
      <w:pStyle w:val="Header"/>
      <w:tabs>
        <w:tab w:val="left" w:pos="720"/>
      </w:tabs>
      <w:jc w:val="right"/>
      <w:rPr>
        <w:rFonts w:cs="Arial"/>
        <w:i/>
        <w:u w:val="none"/>
      </w:rPr>
    </w:pPr>
    <w:r w:rsidRPr="0023592C">
      <w:rPr>
        <w:rFonts w:cs="Arial"/>
        <w:i/>
        <w:u w:val="none"/>
      </w:rPr>
      <w:t>DLM 4000.25,</w:t>
    </w:r>
    <w:r w:rsidRPr="0023592C">
      <w:rPr>
        <w:rFonts w:cs="Arial"/>
        <w:i/>
        <w:szCs w:val="24"/>
        <w:u w:val="none"/>
      </w:rPr>
      <w:t xml:space="preserve"> Volume 1</w:t>
    </w:r>
    <w:r w:rsidRPr="0023592C">
      <w:rPr>
        <w:rFonts w:cs="Arial"/>
        <w:i/>
        <w:u w:val="none"/>
      </w:rPr>
      <w:t xml:space="preserve">, </w:t>
    </w:r>
    <w:r w:rsidR="000D374A" w:rsidRPr="000D374A">
      <w:rPr>
        <w:rFonts w:cs="Arial"/>
        <w:i/>
        <w:szCs w:val="24"/>
        <w:u w:val="none"/>
      </w:rPr>
      <w:t>April 09, 2022</w:t>
    </w:r>
  </w:p>
  <w:p w14:paraId="6742EE83" w14:textId="5532B445" w:rsidR="0018207C" w:rsidRPr="0023592C" w:rsidRDefault="0018207C" w:rsidP="00465A6B">
    <w:pPr>
      <w:pStyle w:val="Header"/>
      <w:tabs>
        <w:tab w:val="left" w:pos="720"/>
      </w:tabs>
      <w:jc w:val="right"/>
      <w:rPr>
        <w:rFonts w:cs="Arial"/>
        <w:i/>
        <w:u w:val="none"/>
      </w:rPr>
    </w:pPr>
    <w:r w:rsidRPr="0023592C">
      <w:rPr>
        <w:rFonts w:cs="Arial"/>
        <w:i/>
        <w:u w:val="none"/>
      </w:rPr>
      <w:t xml:space="preserve">Change </w:t>
    </w:r>
    <w:r w:rsidR="002039EB">
      <w:rPr>
        <w:rFonts w:cs="Arial"/>
        <w:i/>
        <w:u w:val="none"/>
      </w:rPr>
      <w:t>1</w:t>
    </w:r>
    <w:r w:rsidR="00AA0AD4">
      <w:rPr>
        <w:rFonts w:cs="Arial"/>
        <w:i/>
        <w:u w:val="non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9A8E15E"/>
    <w:lvl w:ilvl="0">
      <w:start w:val="7"/>
      <w:numFmt w:val="decimal"/>
      <w:pStyle w:val="Heading1"/>
      <w:suff w:val="nothing"/>
      <w:lvlText w:val="C%1. CHAPTER 7"/>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rPr>
    </w:lvl>
    <w:lvl w:ilvl="4">
      <w:start w:val="1"/>
      <w:numFmt w:val="decimal"/>
      <w:pStyle w:val="Heading5"/>
      <w:suff w:val="nothing"/>
      <w:lvlText w:val="C%1.%2.%3.%4.%5  "/>
      <w:lvlJc w:val="left"/>
      <w:pPr>
        <w:ind w:left="1260" w:firstLine="1080"/>
      </w:pPr>
      <w:rPr>
        <w:rFonts w:ascii="Arial" w:hAnsi="Arial" w:hint="default"/>
        <w:b w:val="0"/>
        <w:i w:val="0"/>
        <w:caps w:val="0"/>
        <w:strike w:val="0"/>
        <w:dstrike w:val="0"/>
        <w:vanish w:val="0"/>
        <w:color w:val="000000"/>
        <w:sz w:val="24"/>
        <w:vertAlign w:val="base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rPr>
    </w:lvl>
  </w:abstractNum>
  <w:abstractNum w:abstractNumId="1" w15:restartNumberingAfterBreak="0">
    <w:nsid w:val="014F711A"/>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2" w15:restartNumberingAfterBreak="0">
    <w:nsid w:val="051A75C6"/>
    <w:multiLevelType w:val="singleLevel"/>
    <w:tmpl w:val="6DA84DC0"/>
    <w:lvl w:ilvl="0">
      <w:start w:val="1"/>
      <w:numFmt w:val="bullet"/>
      <w:lvlText w:val=""/>
      <w:lvlJc w:val="left"/>
      <w:pPr>
        <w:tabs>
          <w:tab w:val="num" w:pos="432"/>
        </w:tabs>
        <w:ind w:left="432" w:hanging="432"/>
      </w:pPr>
      <w:rPr>
        <w:rFonts w:ascii="Wingdings" w:hAnsi="Wingdings" w:hint="default"/>
      </w:rPr>
    </w:lvl>
  </w:abstractNum>
  <w:abstractNum w:abstractNumId="3" w15:restartNumberingAfterBreak="0">
    <w:nsid w:val="0CAB1C19"/>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4"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E52C61"/>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6" w15:restartNumberingAfterBreak="0">
    <w:nsid w:val="17B06A2E"/>
    <w:multiLevelType w:val="singleLevel"/>
    <w:tmpl w:val="ECF04016"/>
    <w:lvl w:ilvl="0">
      <w:start w:val="1"/>
      <w:numFmt w:val="bullet"/>
      <w:lvlText w:val=""/>
      <w:lvlJc w:val="left"/>
      <w:pPr>
        <w:tabs>
          <w:tab w:val="num" w:pos="432"/>
        </w:tabs>
        <w:ind w:left="432" w:hanging="432"/>
      </w:pPr>
      <w:rPr>
        <w:rFonts w:ascii="Wingdings" w:hAnsi="Wingdings" w:hint="default"/>
      </w:rPr>
    </w:lvl>
  </w:abstractNum>
  <w:abstractNum w:abstractNumId="7" w15:restartNumberingAfterBreak="0">
    <w:nsid w:val="25E456AC"/>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8" w15:restartNumberingAfterBreak="0">
    <w:nsid w:val="2B842130"/>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9" w15:restartNumberingAfterBreak="0">
    <w:nsid w:val="35430791"/>
    <w:multiLevelType w:val="singleLevel"/>
    <w:tmpl w:val="37F0798A"/>
    <w:lvl w:ilvl="0">
      <w:start w:val="1"/>
      <w:numFmt w:val="bullet"/>
      <w:pStyle w:val="ListBullet3"/>
      <w:lvlText w:val=""/>
      <w:lvlJc w:val="left"/>
      <w:pPr>
        <w:tabs>
          <w:tab w:val="num" w:pos="432"/>
        </w:tabs>
        <w:ind w:left="432" w:hanging="432"/>
      </w:pPr>
      <w:rPr>
        <w:rFonts w:ascii="Wingdings" w:hAnsi="Wingdings" w:hint="default"/>
      </w:rPr>
    </w:lvl>
  </w:abstractNum>
  <w:abstractNum w:abstractNumId="10" w15:restartNumberingAfterBreak="0">
    <w:nsid w:val="364F36FA"/>
    <w:multiLevelType w:val="singleLevel"/>
    <w:tmpl w:val="22CEA628"/>
    <w:lvl w:ilvl="0">
      <w:start w:val="1"/>
      <w:numFmt w:val="bullet"/>
      <w:pStyle w:val="ListBullet2"/>
      <w:lvlText w:val=""/>
      <w:lvlJc w:val="left"/>
      <w:pPr>
        <w:tabs>
          <w:tab w:val="num" w:pos="432"/>
        </w:tabs>
        <w:ind w:left="432" w:hanging="432"/>
      </w:pPr>
      <w:rPr>
        <w:rFonts w:ascii="Wingdings" w:hAnsi="Wingdings" w:hint="default"/>
      </w:rPr>
    </w:lvl>
  </w:abstractNum>
  <w:abstractNum w:abstractNumId="11" w15:restartNumberingAfterBreak="0">
    <w:nsid w:val="3AD41A04"/>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12" w15:restartNumberingAfterBreak="0">
    <w:nsid w:val="41EF2E79"/>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13" w15:restartNumberingAfterBreak="0">
    <w:nsid w:val="495D2BD7"/>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14" w15:restartNumberingAfterBreak="0">
    <w:nsid w:val="4DFE3E88"/>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15" w15:restartNumberingAfterBreak="0">
    <w:nsid w:val="5BA5089B"/>
    <w:multiLevelType w:val="singleLevel"/>
    <w:tmpl w:val="9488AC28"/>
    <w:lvl w:ilvl="0">
      <w:start w:val="1"/>
      <w:numFmt w:val="bullet"/>
      <w:pStyle w:val="ListBullet"/>
      <w:lvlText w:val=""/>
      <w:lvlJc w:val="left"/>
      <w:pPr>
        <w:tabs>
          <w:tab w:val="num" w:pos="432"/>
        </w:tabs>
        <w:ind w:left="432" w:hanging="432"/>
      </w:pPr>
      <w:rPr>
        <w:rFonts w:ascii="Wingdings" w:hAnsi="Wingdings" w:hint="default"/>
      </w:rPr>
    </w:lvl>
  </w:abstractNum>
  <w:abstractNum w:abstractNumId="16" w15:restartNumberingAfterBreak="0">
    <w:nsid w:val="625819B8"/>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17" w15:restartNumberingAfterBreak="0">
    <w:nsid w:val="727667D6"/>
    <w:multiLevelType w:val="singleLevel"/>
    <w:tmpl w:val="A514A440"/>
    <w:lvl w:ilvl="0">
      <w:start w:val="1"/>
      <w:numFmt w:val="bullet"/>
      <w:pStyle w:val="Style1"/>
      <w:lvlText w:val=""/>
      <w:lvlJc w:val="left"/>
      <w:pPr>
        <w:tabs>
          <w:tab w:val="num" w:pos="432"/>
        </w:tabs>
        <w:ind w:left="432" w:hanging="432"/>
      </w:pPr>
      <w:rPr>
        <w:rFonts w:ascii="Wingdings" w:hAnsi="Wingdings" w:hint="default"/>
      </w:rPr>
    </w:lvl>
  </w:abstractNum>
  <w:abstractNum w:abstractNumId="18" w15:restartNumberingAfterBreak="0">
    <w:nsid w:val="76697128"/>
    <w:multiLevelType w:val="singleLevel"/>
    <w:tmpl w:val="21AAC260"/>
    <w:lvl w:ilvl="0">
      <w:start w:val="1"/>
      <w:numFmt w:val="bullet"/>
      <w:lvlText w:val=""/>
      <w:lvlJc w:val="left"/>
      <w:pPr>
        <w:tabs>
          <w:tab w:val="num" w:pos="432"/>
        </w:tabs>
        <w:ind w:left="432" w:hanging="432"/>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8"/>
  </w:num>
  <w:num w:numId="17">
    <w:abstractNumId w:val="2"/>
  </w:num>
  <w:num w:numId="18">
    <w:abstractNumId w:val="6"/>
  </w:num>
  <w:num w:numId="19">
    <w:abstractNumId w:val="6"/>
  </w:num>
  <w:num w:numId="20">
    <w:abstractNumId w:val="6"/>
  </w:num>
  <w:num w:numId="21">
    <w:abstractNumId w:val="6"/>
  </w:num>
  <w:num w:numId="22">
    <w:abstractNumId w:val="18"/>
  </w:num>
  <w:num w:numId="23">
    <w:abstractNumId w:val="18"/>
  </w:num>
  <w:num w:numId="24">
    <w:abstractNumId w:val="18"/>
  </w:num>
  <w:num w:numId="25">
    <w:abstractNumId w:val="18"/>
  </w:num>
  <w:num w:numId="26">
    <w:abstractNumId w:val="6"/>
  </w:num>
  <w:num w:numId="27">
    <w:abstractNumId w:val="6"/>
  </w:num>
  <w:num w:numId="28">
    <w:abstractNumId w:val="6"/>
  </w:num>
  <w:num w:numId="29">
    <w:abstractNumId w:val="6"/>
  </w:num>
  <w:num w:numId="30">
    <w:abstractNumId w:val="6"/>
  </w:num>
  <w:num w:numId="31">
    <w:abstractNumId w:val="18"/>
  </w:num>
  <w:num w:numId="32">
    <w:abstractNumId w:val="17"/>
  </w:num>
  <w:num w:numId="33">
    <w:abstractNumId w:val="5"/>
  </w:num>
  <w:num w:numId="34">
    <w:abstractNumId w:val="11"/>
  </w:num>
  <w:num w:numId="35">
    <w:abstractNumId w:val="10"/>
  </w:num>
  <w:num w:numId="36">
    <w:abstractNumId w:val="12"/>
  </w:num>
  <w:num w:numId="37">
    <w:abstractNumId w:val="3"/>
  </w:num>
  <w:num w:numId="38">
    <w:abstractNumId w:val="7"/>
  </w:num>
  <w:num w:numId="39">
    <w:abstractNumId w:val="13"/>
  </w:num>
  <w:num w:numId="40">
    <w:abstractNumId w:val="1"/>
  </w:num>
  <w:num w:numId="41">
    <w:abstractNumId w:val="14"/>
  </w:num>
  <w:num w:numId="42">
    <w:abstractNumId w:val="8"/>
  </w:num>
  <w:num w:numId="43">
    <w:abstractNumId w:val="16"/>
  </w:num>
  <w:num w:numId="44">
    <w:abstractNumId w:val="1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AF"/>
    <w:rsid w:val="00000787"/>
    <w:rsid w:val="000050F8"/>
    <w:rsid w:val="00005D2D"/>
    <w:rsid w:val="00012963"/>
    <w:rsid w:val="000219EB"/>
    <w:rsid w:val="00035608"/>
    <w:rsid w:val="000645F2"/>
    <w:rsid w:val="00065392"/>
    <w:rsid w:val="0007139B"/>
    <w:rsid w:val="00077C5C"/>
    <w:rsid w:val="00080B6B"/>
    <w:rsid w:val="00083EFA"/>
    <w:rsid w:val="00085385"/>
    <w:rsid w:val="0008731A"/>
    <w:rsid w:val="000873B7"/>
    <w:rsid w:val="000A1CAC"/>
    <w:rsid w:val="000A3B4B"/>
    <w:rsid w:val="000A621D"/>
    <w:rsid w:val="000A70D7"/>
    <w:rsid w:val="000B5BB2"/>
    <w:rsid w:val="000B6C70"/>
    <w:rsid w:val="000C0BC4"/>
    <w:rsid w:val="000D374A"/>
    <w:rsid w:val="000F5461"/>
    <w:rsid w:val="00134623"/>
    <w:rsid w:val="00136058"/>
    <w:rsid w:val="00140F11"/>
    <w:rsid w:val="001422F3"/>
    <w:rsid w:val="00144CA6"/>
    <w:rsid w:val="00150E06"/>
    <w:rsid w:val="001566EA"/>
    <w:rsid w:val="00160A30"/>
    <w:rsid w:val="00170165"/>
    <w:rsid w:val="0018207C"/>
    <w:rsid w:val="00186F93"/>
    <w:rsid w:val="001A1DB4"/>
    <w:rsid w:val="001A7F26"/>
    <w:rsid w:val="001D0208"/>
    <w:rsid w:val="002016E2"/>
    <w:rsid w:val="0020370F"/>
    <w:rsid w:val="002039EB"/>
    <w:rsid w:val="0020787F"/>
    <w:rsid w:val="002123AA"/>
    <w:rsid w:val="00214099"/>
    <w:rsid w:val="00230515"/>
    <w:rsid w:val="00235651"/>
    <w:rsid w:val="0023592C"/>
    <w:rsid w:val="00235A0B"/>
    <w:rsid w:val="00265F74"/>
    <w:rsid w:val="00272581"/>
    <w:rsid w:val="00275031"/>
    <w:rsid w:val="00293781"/>
    <w:rsid w:val="00297DF7"/>
    <w:rsid w:val="002F3BDE"/>
    <w:rsid w:val="0031683E"/>
    <w:rsid w:val="00321796"/>
    <w:rsid w:val="003362C1"/>
    <w:rsid w:val="00337D62"/>
    <w:rsid w:val="00351CD6"/>
    <w:rsid w:val="0036131A"/>
    <w:rsid w:val="00383355"/>
    <w:rsid w:val="00383BDD"/>
    <w:rsid w:val="00394CC8"/>
    <w:rsid w:val="00395921"/>
    <w:rsid w:val="003B1BD3"/>
    <w:rsid w:val="003D0592"/>
    <w:rsid w:val="003D490A"/>
    <w:rsid w:val="003F419F"/>
    <w:rsid w:val="00401788"/>
    <w:rsid w:val="00405B72"/>
    <w:rsid w:val="00422858"/>
    <w:rsid w:val="00422F29"/>
    <w:rsid w:val="004347EE"/>
    <w:rsid w:val="0043634D"/>
    <w:rsid w:val="00444938"/>
    <w:rsid w:val="00447377"/>
    <w:rsid w:val="00465A6B"/>
    <w:rsid w:val="00466CA0"/>
    <w:rsid w:val="00477490"/>
    <w:rsid w:val="00481997"/>
    <w:rsid w:val="00482BA1"/>
    <w:rsid w:val="00486D8D"/>
    <w:rsid w:val="00492F43"/>
    <w:rsid w:val="004E2FD9"/>
    <w:rsid w:val="004E3EAE"/>
    <w:rsid w:val="00502E9E"/>
    <w:rsid w:val="00514CA3"/>
    <w:rsid w:val="00516C83"/>
    <w:rsid w:val="00535BAB"/>
    <w:rsid w:val="00540A61"/>
    <w:rsid w:val="00546031"/>
    <w:rsid w:val="00547A29"/>
    <w:rsid w:val="0055309D"/>
    <w:rsid w:val="00555DF2"/>
    <w:rsid w:val="00557A35"/>
    <w:rsid w:val="00573B15"/>
    <w:rsid w:val="00573C0E"/>
    <w:rsid w:val="005841B3"/>
    <w:rsid w:val="005A36E7"/>
    <w:rsid w:val="005A7327"/>
    <w:rsid w:val="005B1B52"/>
    <w:rsid w:val="005B2EC8"/>
    <w:rsid w:val="005C38E2"/>
    <w:rsid w:val="005F38D3"/>
    <w:rsid w:val="005F661F"/>
    <w:rsid w:val="00612E46"/>
    <w:rsid w:val="00613BCB"/>
    <w:rsid w:val="00625246"/>
    <w:rsid w:val="00631FBE"/>
    <w:rsid w:val="00634DD7"/>
    <w:rsid w:val="00645448"/>
    <w:rsid w:val="00647B7B"/>
    <w:rsid w:val="006553BE"/>
    <w:rsid w:val="0065594A"/>
    <w:rsid w:val="00687BCC"/>
    <w:rsid w:val="006902FE"/>
    <w:rsid w:val="006A097A"/>
    <w:rsid w:val="006A4742"/>
    <w:rsid w:val="006C59F5"/>
    <w:rsid w:val="006C6216"/>
    <w:rsid w:val="006D05BD"/>
    <w:rsid w:val="006D1B6B"/>
    <w:rsid w:val="006F54C1"/>
    <w:rsid w:val="007124B1"/>
    <w:rsid w:val="007642C3"/>
    <w:rsid w:val="00766D61"/>
    <w:rsid w:val="00771A2D"/>
    <w:rsid w:val="00792CCA"/>
    <w:rsid w:val="007A13F6"/>
    <w:rsid w:val="007A41AF"/>
    <w:rsid w:val="007B607D"/>
    <w:rsid w:val="007C0AA4"/>
    <w:rsid w:val="007D39E7"/>
    <w:rsid w:val="007D79AC"/>
    <w:rsid w:val="007E646A"/>
    <w:rsid w:val="007F190C"/>
    <w:rsid w:val="007F1BA6"/>
    <w:rsid w:val="007F5097"/>
    <w:rsid w:val="007F7A90"/>
    <w:rsid w:val="00815D68"/>
    <w:rsid w:val="008251EB"/>
    <w:rsid w:val="00832630"/>
    <w:rsid w:val="0084406F"/>
    <w:rsid w:val="008570A9"/>
    <w:rsid w:val="00857B3F"/>
    <w:rsid w:val="0086643E"/>
    <w:rsid w:val="00877589"/>
    <w:rsid w:val="008821DD"/>
    <w:rsid w:val="008854D3"/>
    <w:rsid w:val="00891FE5"/>
    <w:rsid w:val="00892328"/>
    <w:rsid w:val="008C7E2A"/>
    <w:rsid w:val="00902DAB"/>
    <w:rsid w:val="00950684"/>
    <w:rsid w:val="00961451"/>
    <w:rsid w:val="0096188C"/>
    <w:rsid w:val="0097594A"/>
    <w:rsid w:val="00987526"/>
    <w:rsid w:val="00996F2D"/>
    <w:rsid w:val="009A5F20"/>
    <w:rsid w:val="009A6121"/>
    <w:rsid w:val="009B5653"/>
    <w:rsid w:val="009C4E8D"/>
    <w:rsid w:val="009E7B76"/>
    <w:rsid w:val="00A14426"/>
    <w:rsid w:val="00A23B0D"/>
    <w:rsid w:val="00A34A2E"/>
    <w:rsid w:val="00A47187"/>
    <w:rsid w:val="00A75099"/>
    <w:rsid w:val="00A7725E"/>
    <w:rsid w:val="00A93075"/>
    <w:rsid w:val="00AA0AD4"/>
    <w:rsid w:val="00AC57D2"/>
    <w:rsid w:val="00AD2095"/>
    <w:rsid w:val="00AD464C"/>
    <w:rsid w:val="00AE7BBA"/>
    <w:rsid w:val="00B17C73"/>
    <w:rsid w:val="00B21945"/>
    <w:rsid w:val="00B23A94"/>
    <w:rsid w:val="00B467F9"/>
    <w:rsid w:val="00B55AAC"/>
    <w:rsid w:val="00B71529"/>
    <w:rsid w:val="00B75AD1"/>
    <w:rsid w:val="00B90FDD"/>
    <w:rsid w:val="00B928AC"/>
    <w:rsid w:val="00BA41CF"/>
    <w:rsid w:val="00BB121A"/>
    <w:rsid w:val="00BD00C4"/>
    <w:rsid w:val="00BD2FD1"/>
    <w:rsid w:val="00BE37F5"/>
    <w:rsid w:val="00BF4B96"/>
    <w:rsid w:val="00C116CE"/>
    <w:rsid w:val="00C22E08"/>
    <w:rsid w:val="00C27265"/>
    <w:rsid w:val="00C41A88"/>
    <w:rsid w:val="00C67F3A"/>
    <w:rsid w:val="00C738FF"/>
    <w:rsid w:val="00C93B85"/>
    <w:rsid w:val="00CA0D8E"/>
    <w:rsid w:val="00CB57B0"/>
    <w:rsid w:val="00CB7217"/>
    <w:rsid w:val="00CD576A"/>
    <w:rsid w:val="00CF1DFE"/>
    <w:rsid w:val="00CF3DB8"/>
    <w:rsid w:val="00D162C7"/>
    <w:rsid w:val="00D22983"/>
    <w:rsid w:val="00D300A5"/>
    <w:rsid w:val="00D4669F"/>
    <w:rsid w:val="00D55384"/>
    <w:rsid w:val="00D67673"/>
    <w:rsid w:val="00D71C13"/>
    <w:rsid w:val="00D741E0"/>
    <w:rsid w:val="00D871B3"/>
    <w:rsid w:val="00D911F0"/>
    <w:rsid w:val="00DC2C53"/>
    <w:rsid w:val="00DC377E"/>
    <w:rsid w:val="00DD1856"/>
    <w:rsid w:val="00E065AF"/>
    <w:rsid w:val="00E138AA"/>
    <w:rsid w:val="00E4139F"/>
    <w:rsid w:val="00E5040D"/>
    <w:rsid w:val="00E56BDB"/>
    <w:rsid w:val="00E6023F"/>
    <w:rsid w:val="00E61C27"/>
    <w:rsid w:val="00E67089"/>
    <w:rsid w:val="00E67A9C"/>
    <w:rsid w:val="00E707D2"/>
    <w:rsid w:val="00E7200B"/>
    <w:rsid w:val="00E722D9"/>
    <w:rsid w:val="00E75D2B"/>
    <w:rsid w:val="00E85111"/>
    <w:rsid w:val="00E92DCE"/>
    <w:rsid w:val="00E952FC"/>
    <w:rsid w:val="00E979D5"/>
    <w:rsid w:val="00EA110F"/>
    <w:rsid w:val="00ED377C"/>
    <w:rsid w:val="00ED716B"/>
    <w:rsid w:val="00EE3302"/>
    <w:rsid w:val="00EE37FC"/>
    <w:rsid w:val="00F11C1C"/>
    <w:rsid w:val="00F15211"/>
    <w:rsid w:val="00F32AA7"/>
    <w:rsid w:val="00F55E96"/>
    <w:rsid w:val="00F8628E"/>
    <w:rsid w:val="00F866A3"/>
    <w:rsid w:val="00FC713E"/>
    <w:rsid w:val="00FD7658"/>
    <w:rsid w:val="00FE5DD3"/>
    <w:rsid w:val="00FF02B4"/>
    <w:rsid w:val="00FF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B3196D"/>
  <w15:docId w15:val="{0D87271C-306E-4986-B5CC-BFF8E1BE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C1"/>
    <w:rPr>
      <w:rFonts w:ascii="Arial" w:hAnsi="Arial"/>
      <w:sz w:val="24"/>
    </w:rPr>
  </w:style>
  <w:style w:type="paragraph" w:styleId="Heading1">
    <w:name w:val="heading 1"/>
    <w:basedOn w:val="NormalIndent"/>
    <w:autoRedefine/>
    <w:qFormat/>
    <w:rsid w:val="006F54C1"/>
    <w:pPr>
      <w:numPr>
        <w:numId w:val="14"/>
      </w:numPr>
      <w:spacing w:before="60" w:after="120"/>
      <w:jc w:val="center"/>
      <w:outlineLvl w:val="0"/>
    </w:pPr>
    <w:rPr>
      <w:b/>
      <w:caps/>
      <w:sz w:val="48"/>
    </w:rPr>
  </w:style>
  <w:style w:type="paragraph" w:styleId="Heading2">
    <w:name w:val="heading 2"/>
    <w:basedOn w:val="Normal"/>
    <w:autoRedefine/>
    <w:qFormat/>
    <w:rsid w:val="006F54C1"/>
    <w:pPr>
      <w:numPr>
        <w:ilvl w:val="1"/>
        <w:numId w:val="14"/>
      </w:numPr>
      <w:spacing w:before="240" w:after="60"/>
      <w:outlineLvl w:val="1"/>
    </w:pPr>
  </w:style>
  <w:style w:type="paragraph" w:styleId="Heading3">
    <w:name w:val="heading 3"/>
    <w:basedOn w:val="Normal"/>
    <w:autoRedefine/>
    <w:qFormat/>
    <w:rsid w:val="006F54C1"/>
    <w:pPr>
      <w:numPr>
        <w:ilvl w:val="2"/>
        <w:numId w:val="14"/>
      </w:numPr>
      <w:tabs>
        <w:tab w:val="left" w:pos="1530"/>
      </w:tabs>
      <w:spacing w:before="240" w:after="60"/>
      <w:outlineLvl w:val="2"/>
    </w:pPr>
  </w:style>
  <w:style w:type="paragraph" w:styleId="Heading4">
    <w:name w:val="heading 4"/>
    <w:basedOn w:val="Normal"/>
    <w:autoRedefine/>
    <w:qFormat/>
    <w:rsid w:val="006F54C1"/>
    <w:pPr>
      <w:numPr>
        <w:ilvl w:val="3"/>
        <w:numId w:val="14"/>
      </w:numPr>
      <w:spacing w:before="60" w:after="120"/>
      <w:outlineLvl w:val="3"/>
    </w:pPr>
  </w:style>
  <w:style w:type="paragraph" w:styleId="Heading5">
    <w:name w:val="heading 5"/>
    <w:basedOn w:val="Normal"/>
    <w:autoRedefine/>
    <w:qFormat/>
    <w:rsid w:val="006F54C1"/>
    <w:pPr>
      <w:numPr>
        <w:ilvl w:val="4"/>
        <w:numId w:val="14"/>
      </w:numPr>
      <w:spacing w:before="60" w:after="120"/>
      <w:outlineLvl w:val="4"/>
    </w:pPr>
  </w:style>
  <w:style w:type="paragraph" w:styleId="Heading6">
    <w:name w:val="heading 6"/>
    <w:basedOn w:val="Normal"/>
    <w:autoRedefine/>
    <w:qFormat/>
    <w:rsid w:val="006F54C1"/>
    <w:pPr>
      <w:numPr>
        <w:ilvl w:val="5"/>
        <w:numId w:val="14"/>
      </w:numPr>
      <w:tabs>
        <w:tab w:val="left" w:pos="3150"/>
      </w:tabs>
      <w:spacing w:before="60" w:after="120"/>
      <w:outlineLvl w:val="5"/>
    </w:pPr>
  </w:style>
  <w:style w:type="paragraph" w:styleId="Heading7">
    <w:name w:val="heading 7"/>
    <w:basedOn w:val="Normal"/>
    <w:autoRedefine/>
    <w:qFormat/>
    <w:rsid w:val="006F54C1"/>
    <w:pPr>
      <w:numPr>
        <w:ilvl w:val="6"/>
        <w:numId w:val="14"/>
      </w:numPr>
      <w:spacing w:before="60" w:after="120"/>
      <w:outlineLvl w:val="6"/>
    </w:pPr>
  </w:style>
  <w:style w:type="paragraph" w:styleId="Heading8">
    <w:name w:val="heading 8"/>
    <w:basedOn w:val="Normal"/>
    <w:next w:val="Heading9"/>
    <w:autoRedefine/>
    <w:qFormat/>
    <w:rsid w:val="006F54C1"/>
    <w:pPr>
      <w:numPr>
        <w:ilvl w:val="7"/>
        <w:numId w:val="14"/>
      </w:numPr>
      <w:spacing w:before="60" w:after="120"/>
      <w:outlineLvl w:val="7"/>
    </w:pPr>
  </w:style>
  <w:style w:type="paragraph" w:styleId="Heading9">
    <w:name w:val="heading 9"/>
    <w:basedOn w:val="Normal"/>
    <w:autoRedefine/>
    <w:qFormat/>
    <w:rsid w:val="006F54C1"/>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6F54C1"/>
    <w:rPr>
      <w:vertAlign w:val="superscript"/>
    </w:rPr>
  </w:style>
  <w:style w:type="character" w:styleId="FootnoteReference">
    <w:name w:val="footnote reference"/>
    <w:basedOn w:val="DefaultParagraphFont"/>
    <w:rsid w:val="006F54C1"/>
    <w:rPr>
      <w:vertAlign w:val="superscript"/>
    </w:rPr>
  </w:style>
  <w:style w:type="character" w:styleId="PageNumber">
    <w:name w:val="page number"/>
    <w:basedOn w:val="DefaultParagraphFont"/>
    <w:rsid w:val="006F54C1"/>
    <w:rPr>
      <w:rFonts w:ascii="Arial" w:hAnsi="Arial"/>
      <w:b/>
      <w:sz w:val="24"/>
    </w:rPr>
  </w:style>
  <w:style w:type="paragraph" w:styleId="Footer">
    <w:name w:val="footer"/>
    <w:basedOn w:val="Normal"/>
    <w:link w:val="FooterChar"/>
    <w:uiPriority w:val="99"/>
    <w:rsid w:val="006F54C1"/>
    <w:pPr>
      <w:tabs>
        <w:tab w:val="center" w:pos="4320"/>
        <w:tab w:val="right" w:pos="8640"/>
      </w:tabs>
    </w:pPr>
  </w:style>
  <w:style w:type="paragraph" w:styleId="Header">
    <w:name w:val="header"/>
    <w:basedOn w:val="Normal"/>
    <w:rsid w:val="006F54C1"/>
    <w:pPr>
      <w:tabs>
        <w:tab w:val="center" w:pos="4320"/>
        <w:tab w:val="right" w:pos="8640"/>
      </w:tabs>
      <w:jc w:val="center"/>
    </w:pPr>
    <w:rPr>
      <w:u w:val="single"/>
    </w:rPr>
  </w:style>
  <w:style w:type="paragraph" w:styleId="FootnoteText">
    <w:name w:val="footnote text"/>
    <w:aliases w:val="ft"/>
    <w:basedOn w:val="Normal"/>
    <w:link w:val="FootnoteTextChar"/>
    <w:rsid w:val="006F54C1"/>
    <w:rPr>
      <w:sz w:val="20"/>
    </w:rPr>
  </w:style>
  <w:style w:type="paragraph" w:customStyle="1" w:styleId="SubTitle">
    <w:name w:val="Sub Title"/>
    <w:basedOn w:val="Title"/>
    <w:rsid w:val="006F54C1"/>
    <w:rPr>
      <w:sz w:val="28"/>
      <w:u w:val="single"/>
    </w:rPr>
  </w:style>
  <w:style w:type="paragraph" w:styleId="Title">
    <w:name w:val="Title"/>
    <w:basedOn w:val="Normal"/>
    <w:next w:val="Header"/>
    <w:autoRedefine/>
    <w:qFormat/>
    <w:rsid w:val="006F54C1"/>
    <w:pPr>
      <w:spacing w:after="240"/>
      <w:jc w:val="center"/>
    </w:pPr>
    <w:rPr>
      <w:b/>
      <w:caps/>
      <w:kern w:val="28"/>
      <w:sz w:val="36"/>
    </w:rPr>
  </w:style>
  <w:style w:type="paragraph" w:styleId="Subtitle0">
    <w:name w:val="Subtitle"/>
    <w:basedOn w:val="Normal"/>
    <w:qFormat/>
    <w:rsid w:val="006F54C1"/>
    <w:pPr>
      <w:spacing w:after="240"/>
      <w:jc w:val="center"/>
    </w:pPr>
    <w:rPr>
      <w:b/>
      <w:caps/>
      <w:sz w:val="28"/>
      <w:u w:val="single"/>
    </w:rPr>
  </w:style>
  <w:style w:type="paragraph" w:customStyle="1" w:styleId="BodyTextHanging">
    <w:name w:val="Body Text Hanging"/>
    <w:basedOn w:val="Normal"/>
    <w:rsid w:val="006F54C1"/>
    <w:pPr>
      <w:spacing w:after="160"/>
      <w:ind w:left="1440"/>
    </w:pPr>
  </w:style>
  <w:style w:type="paragraph" w:styleId="BodyText">
    <w:name w:val="Body Text"/>
    <w:basedOn w:val="Normal"/>
    <w:rsid w:val="006F54C1"/>
    <w:pPr>
      <w:spacing w:after="120"/>
    </w:pPr>
  </w:style>
  <w:style w:type="paragraph" w:styleId="ListBullet">
    <w:name w:val="List Bullet"/>
    <w:basedOn w:val="NormalIndent"/>
    <w:autoRedefine/>
    <w:rsid w:val="006F54C1"/>
    <w:pPr>
      <w:numPr>
        <w:numId w:val="44"/>
      </w:numPr>
      <w:tabs>
        <w:tab w:val="clear" w:pos="432"/>
        <w:tab w:val="num" w:pos="810"/>
      </w:tabs>
      <w:spacing w:before="60" w:after="60"/>
      <w:ind w:left="810" w:hanging="450"/>
    </w:pPr>
  </w:style>
  <w:style w:type="paragraph" w:styleId="ListBullet2">
    <w:name w:val="List Bullet 2"/>
    <w:basedOn w:val="Normal"/>
    <w:autoRedefine/>
    <w:rsid w:val="006F54C1"/>
    <w:pPr>
      <w:numPr>
        <w:numId w:val="35"/>
      </w:numPr>
      <w:tabs>
        <w:tab w:val="clear" w:pos="432"/>
        <w:tab w:val="num" w:pos="1170"/>
      </w:tabs>
      <w:spacing w:before="60" w:after="60"/>
      <w:ind w:left="1166"/>
    </w:pPr>
  </w:style>
  <w:style w:type="paragraph" w:styleId="ListBullet3">
    <w:name w:val="List Bullet 3"/>
    <w:basedOn w:val="Normal"/>
    <w:autoRedefine/>
    <w:rsid w:val="006F54C1"/>
    <w:pPr>
      <w:numPr>
        <w:numId w:val="45"/>
      </w:numPr>
      <w:tabs>
        <w:tab w:val="clear" w:pos="432"/>
        <w:tab w:val="num" w:pos="1710"/>
      </w:tabs>
      <w:spacing w:after="120"/>
      <w:ind w:left="1710" w:hanging="522"/>
    </w:pPr>
  </w:style>
  <w:style w:type="paragraph" w:styleId="ListNumber">
    <w:name w:val="List Number"/>
    <w:basedOn w:val="Normal"/>
    <w:rsid w:val="006F54C1"/>
    <w:pPr>
      <w:ind w:left="360" w:hanging="360"/>
    </w:pPr>
  </w:style>
  <w:style w:type="paragraph" w:styleId="ListNumber2">
    <w:name w:val="List Number 2"/>
    <w:basedOn w:val="Normal"/>
    <w:rsid w:val="006F54C1"/>
    <w:pPr>
      <w:ind w:left="720" w:hanging="360"/>
    </w:pPr>
  </w:style>
  <w:style w:type="paragraph" w:styleId="ListNumber3">
    <w:name w:val="List Number 3"/>
    <w:basedOn w:val="Normal"/>
    <w:rsid w:val="006F54C1"/>
    <w:pPr>
      <w:ind w:left="1080" w:hanging="360"/>
    </w:pPr>
  </w:style>
  <w:style w:type="paragraph" w:styleId="DocumentMap">
    <w:name w:val="Document Map"/>
    <w:basedOn w:val="Normal"/>
    <w:semiHidden/>
    <w:rsid w:val="006F54C1"/>
    <w:pPr>
      <w:shd w:val="clear" w:color="auto" w:fill="000080"/>
    </w:pPr>
    <w:rPr>
      <w:rFonts w:ascii="Tahoma" w:hAnsi="Tahoma"/>
    </w:rPr>
  </w:style>
  <w:style w:type="character" w:styleId="Hyperlink">
    <w:name w:val="Hyperlink"/>
    <w:basedOn w:val="DefaultParagraphFont"/>
    <w:rsid w:val="006F54C1"/>
    <w:rPr>
      <w:color w:val="0000FF"/>
      <w:u w:val="single"/>
    </w:rPr>
  </w:style>
  <w:style w:type="paragraph" w:styleId="NormalIndent">
    <w:name w:val="Normal Indent"/>
    <w:basedOn w:val="Normal"/>
    <w:rsid w:val="006F54C1"/>
    <w:pPr>
      <w:ind w:left="720"/>
    </w:pPr>
  </w:style>
  <w:style w:type="paragraph" w:customStyle="1" w:styleId="Style1">
    <w:name w:val="Style1"/>
    <w:basedOn w:val="NormalIndent"/>
    <w:next w:val="ListBullet3"/>
    <w:autoRedefine/>
    <w:rsid w:val="006F54C1"/>
    <w:pPr>
      <w:numPr>
        <w:numId w:val="32"/>
      </w:numPr>
      <w:tabs>
        <w:tab w:val="clear" w:pos="432"/>
        <w:tab w:val="left" w:pos="2232"/>
      </w:tabs>
      <w:spacing w:before="60" w:after="60"/>
      <w:ind w:left="2232"/>
    </w:pPr>
  </w:style>
  <w:style w:type="character" w:styleId="FollowedHyperlink">
    <w:name w:val="FollowedHyperlink"/>
    <w:basedOn w:val="DefaultParagraphFont"/>
    <w:rsid w:val="006F54C1"/>
    <w:rPr>
      <w:color w:val="800080"/>
      <w:u w:val="single"/>
    </w:rPr>
  </w:style>
  <w:style w:type="character" w:styleId="CommentReference">
    <w:name w:val="annotation reference"/>
    <w:basedOn w:val="DefaultParagraphFont"/>
    <w:semiHidden/>
    <w:rsid w:val="006F54C1"/>
    <w:rPr>
      <w:sz w:val="16"/>
      <w:szCs w:val="16"/>
    </w:rPr>
  </w:style>
  <w:style w:type="paragraph" w:styleId="CommentText">
    <w:name w:val="annotation text"/>
    <w:basedOn w:val="Normal"/>
    <w:link w:val="CommentTextChar"/>
    <w:semiHidden/>
    <w:rsid w:val="006F54C1"/>
    <w:rPr>
      <w:sz w:val="20"/>
    </w:rPr>
  </w:style>
  <w:style w:type="paragraph" w:styleId="BalloonText">
    <w:name w:val="Balloon Text"/>
    <w:basedOn w:val="Normal"/>
    <w:semiHidden/>
    <w:rsid w:val="006D05BD"/>
    <w:rPr>
      <w:rFonts w:ascii="Tahoma" w:hAnsi="Tahoma" w:cs="Tahoma"/>
      <w:sz w:val="16"/>
      <w:szCs w:val="16"/>
    </w:rPr>
  </w:style>
  <w:style w:type="paragraph" w:styleId="CommentSubject">
    <w:name w:val="annotation subject"/>
    <w:basedOn w:val="CommentText"/>
    <w:next w:val="CommentText"/>
    <w:link w:val="CommentSubjectChar"/>
    <w:rsid w:val="00405B72"/>
    <w:rPr>
      <w:b/>
      <w:bCs/>
    </w:rPr>
  </w:style>
  <w:style w:type="character" w:customStyle="1" w:styleId="CommentTextChar">
    <w:name w:val="Comment Text Char"/>
    <w:basedOn w:val="DefaultParagraphFont"/>
    <w:link w:val="CommentText"/>
    <w:semiHidden/>
    <w:rsid w:val="00405B72"/>
    <w:rPr>
      <w:rFonts w:ascii="Arial" w:hAnsi="Arial"/>
    </w:rPr>
  </w:style>
  <w:style w:type="character" w:customStyle="1" w:styleId="CommentSubjectChar">
    <w:name w:val="Comment Subject Char"/>
    <w:basedOn w:val="CommentTextChar"/>
    <w:link w:val="CommentSubject"/>
    <w:rsid w:val="00405B72"/>
    <w:rPr>
      <w:rFonts w:ascii="Arial" w:hAnsi="Arial"/>
    </w:rPr>
  </w:style>
  <w:style w:type="paragraph" w:styleId="Revision">
    <w:name w:val="Revision"/>
    <w:hidden/>
    <w:uiPriority w:val="99"/>
    <w:semiHidden/>
    <w:rsid w:val="00405B72"/>
    <w:rPr>
      <w:rFonts w:ascii="Arial" w:hAnsi="Arial"/>
      <w:sz w:val="24"/>
    </w:rPr>
  </w:style>
  <w:style w:type="character" w:customStyle="1" w:styleId="FootnoteTextChar">
    <w:name w:val="Footnote Text Char"/>
    <w:aliases w:val="ft Char"/>
    <w:basedOn w:val="DefaultParagraphFont"/>
    <w:link w:val="FootnoteText"/>
    <w:rsid w:val="0031683E"/>
    <w:rPr>
      <w:rFonts w:ascii="Arial" w:hAnsi="Arial"/>
    </w:rPr>
  </w:style>
  <w:style w:type="character" w:customStyle="1" w:styleId="FooterChar">
    <w:name w:val="Footer Char"/>
    <w:basedOn w:val="DefaultParagraphFont"/>
    <w:link w:val="Footer"/>
    <w:uiPriority w:val="99"/>
    <w:rsid w:val="00C41A8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ED0FF695-A67C-4A2E-88FC-64B9D23A1C36}">
  <ds:schemaRefs>
    <ds:schemaRef ds:uri="http://schemas.microsoft.com/sharepoint/v3/contenttype/forms"/>
  </ds:schemaRefs>
</ds:datastoreItem>
</file>

<file path=customXml/itemProps2.xml><?xml version="1.0" encoding="utf-8"?>
<ds:datastoreItem xmlns:ds="http://schemas.openxmlformats.org/officeDocument/2006/customXml" ds:itemID="{B2A18CE0-8625-412B-857B-FE3A987FD9AB}">
  <ds:schemaRefs>
    <ds:schemaRef ds:uri="http://schemas.openxmlformats.org/officeDocument/2006/bibliography"/>
  </ds:schemaRefs>
</ds:datastoreItem>
</file>

<file path=customXml/itemProps3.xml><?xml version="1.0" encoding="utf-8"?>
<ds:datastoreItem xmlns:ds="http://schemas.openxmlformats.org/officeDocument/2006/customXml" ds:itemID="{4632B58C-3945-4547-9BA7-E9F71D674EFC}"/>
</file>

<file path=customXml/itemProps4.xml><?xml version="1.0" encoding="utf-8"?>
<ds:datastoreItem xmlns:ds="http://schemas.openxmlformats.org/officeDocument/2006/customXml" ds:itemID="{705ADDEA-2EDE-46CE-A2E2-7F51F352B4FA}">
  <ds:schemaRefs>
    <ds:schemaRef ds:uri="http://schemas.microsoft.com/sharepoint/v4"/>
    <ds:schemaRef ds:uri="http://schemas.microsoft.com/sharepoint/v3"/>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7de212dc-c478-4e11-849a-cdcc6d13fa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Chapter.dot</Template>
  <TotalTime>406</TotalTime>
  <Pages>4</Pages>
  <Words>1174</Words>
  <Characters>7262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Chapter 4 - Functional Application Errors</vt:lpstr>
    </vt:vector>
  </TitlesOfParts>
  <Manager>Mary Jane Johnson</Manager>
  <Company>DLA</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 Functional Application Errors</dc:title>
  <dc:subject>DLM 4000.25, Volume 1, Chapter 4 - Functional Application Errors</dc:subject>
  <dc:creator>Defense Logistics Management Standards Office</dc:creator>
  <cp:lastModifiedBy>Nguyen, Bao X CTR DLA INFO OPERATIONS (USA)</cp:lastModifiedBy>
  <cp:revision>61</cp:revision>
  <cp:lastPrinted>2012-03-28T12:58:00Z</cp:lastPrinted>
  <dcterms:created xsi:type="dcterms:W3CDTF">2012-01-06T20:38:00Z</dcterms:created>
  <dcterms:modified xsi:type="dcterms:W3CDTF">2022-04-12T19:17:00Z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23900</vt:r8>
  </property>
</Properties>
</file>