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5A7A7" w14:textId="77777777" w:rsidR="00477413" w:rsidRPr="00431F90" w:rsidRDefault="004B640A" w:rsidP="00E36367">
      <w:pPr>
        <w:spacing w:after="240"/>
        <w:jc w:val="center"/>
        <w:rPr>
          <w:b/>
          <w:sz w:val="44"/>
          <w:szCs w:val="44"/>
          <w:u w:val="single"/>
        </w:rPr>
      </w:pPr>
      <w:r w:rsidRPr="00431F90">
        <w:rPr>
          <w:b/>
          <w:sz w:val="44"/>
          <w:szCs w:val="44"/>
          <w:u w:val="single"/>
        </w:rPr>
        <w:t>AP2.2</w:t>
      </w:r>
      <w:r w:rsidR="00A152DB" w:rsidRPr="00431F90">
        <w:rPr>
          <w:b/>
          <w:sz w:val="44"/>
          <w:szCs w:val="44"/>
          <w:u w:val="single"/>
        </w:rPr>
        <w:t>.</w:t>
      </w:r>
      <w:r w:rsidR="00E055EC" w:rsidRPr="00431F90">
        <w:rPr>
          <w:b/>
          <w:sz w:val="44"/>
          <w:szCs w:val="44"/>
          <w:u w:val="single"/>
        </w:rPr>
        <w:t xml:space="preserve"> </w:t>
      </w:r>
      <w:r w:rsidRPr="00431F90">
        <w:rPr>
          <w:b/>
          <w:sz w:val="44"/>
          <w:szCs w:val="44"/>
          <w:u w:val="single"/>
        </w:rPr>
        <w:t>APPENDIX 2.2</w:t>
      </w:r>
    </w:p>
    <w:p w14:paraId="4515A7A9" w14:textId="532D2849" w:rsidR="00477413" w:rsidRPr="00B92972" w:rsidRDefault="00477413" w:rsidP="00E36367">
      <w:pPr>
        <w:spacing w:after="360"/>
        <w:jc w:val="center"/>
        <w:rPr>
          <w:b/>
          <w:sz w:val="36"/>
          <w:szCs w:val="36"/>
          <w:u w:val="single"/>
        </w:rPr>
      </w:pPr>
      <w:r w:rsidRPr="00B92972">
        <w:rPr>
          <w:b/>
          <w:sz w:val="36"/>
          <w:szCs w:val="36"/>
          <w:u w:val="single"/>
        </w:rPr>
        <w:t>TYPE OF PHYSICAL INVENTORY/</w:t>
      </w:r>
      <w:r w:rsidR="00E36367">
        <w:rPr>
          <w:b/>
          <w:sz w:val="36"/>
          <w:szCs w:val="36"/>
          <w:u w:val="single"/>
        </w:rPr>
        <w:br/>
      </w:r>
      <w:r w:rsidRPr="00B92972">
        <w:rPr>
          <w:b/>
          <w:sz w:val="36"/>
          <w:szCs w:val="36"/>
          <w:u w:val="single"/>
        </w:rPr>
        <w:t>TRANSACTION HISTORY</w:t>
      </w:r>
      <w:r w:rsidR="002B1B2A" w:rsidRPr="00B92972">
        <w:rPr>
          <w:b/>
          <w:sz w:val="36"/>
          <w:szCs w:val="36"/>
          <w:u w:val="single"/>
        </w:rPr>
        <w:t xml:space="preserve"> </w:t>
      </w:r>
      <w:r w:rsidRPr="00B92972">
        <w:rPr>
          <w:b/>
          <w:sz w:val="36"/>
          <w:szCs w:val="36"/>
          <w:u w:val="single"/>
        </w:rPr>
        <w:t>CODES</w:t>
      </w:r>
    </w:p>
    <w:p w14:paraId="4515A7AB" w14:textId="77777777" w:rsidR="00477413" w:rsidRPr="006E6AA0" w:rsidRDefault="00477413" w:rsidP="00813982">
      <w:pPr>
        <w:pStyle w:val="Heading3"/>
        <w:numPr>
          <w:ilvl w:val="0"/>
          <w:numId w:val="0"/>
        </w:numPr>
        <w:tabs>
          <w:tab w:val="left" w:pos="3600"/>
        </w:tabs>
        <w:spacing w:before="0" w:after="240"/>
      </w:pPr>
      <w:r w:rsidRPr="006E6AA0">
        <w:rPr>
          <w:bCs/>
        </w:rPr>
        <w:t>NUMBER OF CHARACTERS</w:t>
      </w:r>
      <w:r w:rsidRPr="006E6AA0">
        <w:t>:</w:t>
      </w:r>
      <w:r w:rsidRPr="006E6AA0">
        <w:tab/>
        <w:t>One</w:t>
      </w:r>
      <w:bookmarkStart w:id="0" w:name="_GoBack"/>
      <w:bookmarkEnd w:id="0"/>
    </w:p>
    <w:p w14:paraId="4515A7AC" w14:textId="77777777" w:rsidR="00477413" w:rsidRPr="006E6AA0" w:rsidRDefault="00477413" w:rsidP="00813982">
      <w:pPr>
        <w:pStyle w:val="Heading3"/>
        <w:numPr>
          <w:ilvl w:val="0"/>
          <w:numId w:val="0"/>
        </w:numPr>
        <w:tabs>
          <w:tab w:val="left" w:pos="3600"/>
        </w:tabs>
        <w:spacing w:before="0" w:after="240"/>
      </w:pPr>
      <w:r w:rsidRPr="006E6AA0">
        <w:rPr>
          <w:bCs/>
        </w:rPr>
        <w:t>TYPE OF CODE:</w:t>
      </w:r>
      <w:r w:rsidRPr="006E6AA0">
        <w:rPr>
          <w:bCs/>
        </w:rPr>
        <w:tab/>
      </w:r>
      <w:r w:rsidRPr="006E6AA0">
        <w:t xml:space="preserve">Alpha/Numeric </w:t>
      </w:r>
    </w:p>
    <w:p w14:paraId="4515A7AD" w14:textId="77777777" w:rsidR="00477413" w:rsidRPr="006E6AA0" w:rsidRDefault="00477413" w:rsidP="00813982">
      <w:pPr>
        <w:pStyle w:val="Heading3"/>
        <w:numPr>
          <w:ilvl w:val="0"/>
          <w:numId w:val="0"/>
        </w:numPr>
        <w:spacing w:before="0" w:after="240"/>
        <w:ind w:left="3600" w:hanging="3600"/>
      </w:pPr>
      <w:r w:rsidRPr="006E6AA0">
        <w:rPr>
          <w:bCs/>
        </w:rPr>
        <w:t>EXPLANATION:</w:t>
      </w:r>
      <w:r w:rsidRPr="006E6AA0">
        <w:rPr>
          <w:bCs/>
        </w:rPr>
        <w:tab/>
      </w:r>
      <w:r w:rsidRPr="006E6AA0">
        <w:rPr>
          <w:rFonts w:cs="Arial"/>
        </w:rPr>
        <w:t>Used in physical Inventory/transaction history documents to identify the typ</w:t>
      </w:r>
      <w:r w:rsidR="00AB7E82" w:rsidRPr="006E6AA0">
        <w:rPr>
          <w:rFonts w:cs="Arial"/>
        </w:rPr>
        <w:t>e of Inventory being conducted/</w:t>
      </w:r>
      <w:r w:rsidRPr="006E6AA0">
        <w:rPr>
          <w:rFonts w:cs="Arial"/>
        </w:rPr>
        <w:t>requested, or to identify requests for/transmission of custodial balances/transaction history</w:t>
      </w:r>
      <w:r w:rsidRPr="006E6AA0">
        <w:rPr>
          <w:rFonts w:cs="Arial"/>
          <w:bCs/>
        </w:rPr>
        <w:t>.</w:t>
      </w:r>
    </w:p>
    <w:p w14:paraId="4515A7AE" w14:textId="77777777" w:rsidR="00477413" w:rsidRPr="006E6AA0" w:rsidRDefault="00477413" w:rsidP="00813982">
      <w:pPr>
        <w:pStyle w:val="Heading3"/>
        <w:numPr>
          <w:ilvl w:val="0"/>
          <w:numId w:val="0"/>
        </w:numPr>
        <w:tabs>
          <w:tab w:val="left" w:pos="3600"/>
        </w:tabs>
        <w:spacing w:before="0" w:after="240"/>
      </w:pPr>
      <w:r w:rsidRPr="006E6AA0">
        <w:rPr>
          <w:bCs/>
        </w:rPr>
        <w:t>RECORD POSITIONS</w:t>
      </w:r>
      <w:r w:rsidR="008473B0" w:rsidRPr="006E6AA0">
        <w:t xml:space="preserve">:  </w:t>
      </w:r>
      <w:r w:rsidR="008473B0" w:rsidRPr="006E6AA0">
        <w:tab/>
      </w:r>
      <w:r w:rsidR="00E055EC" w:rsidRPr="006E6AA0">
        <w:t>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5775"/>
      </w:tblGrid>
      <w:tr w:rsidR="00813982" w:rsidRPr="006E6AA0" w14:paraId="688C2BCF" w14:textId="77777777" w:rsidTr="00400370">
        <w:trPr>
          <w:trHeight w:val="819"/>
        </w:trPr>
        <w:tc>
          <w:tcPr>
            <w:tcW w:w="3618" w:type="dxa"/>
          </w:tcPr>
          <w:p w14:paraId="7982E8F3" w14:textId="77777777" w:rsidR="00813982" w:rsidRPr="006E6AA0" w:rsidRDefault="00813982" w:rsidP="00813982">
            <w:pPr>
              <w:tabs>
                <w:tab w:val="left" w:pos="3600"/>
              </w:tabs>
              <w:spacing w:after="240"/>
            </w:pPr>
            <w:r w:rsidRPr="006E6AA0">
              <w:t>DLMS SEGMENT/QUALIFIER:</w:t>
            </w:r>
          </w:p>
        </w:tc>
        <w:tc>
          <w:tcPr>
            <w:tcW w:w="5958" w:type="dxa"/>
          </w:tcPr>
          <w:p w14:paraId="77C20023" w14:textId="5AE69E12" w:rsidR="00813982" w:rsidRPr="006E6AA0" w:rsidRDefault="00813982" w:rsidP="00813982">
            <w:pPr>
              <w:tabs>
                <w:tab w:val="left" w:pos="3600"/>
              </w:tabs>
              <w:spacing w:after="240"/>
            </w:pPr>
            <w:r w:rsidRPr="006E6AA0">
              <w:t>LQ Segment, LQ01 Data Element ID 1270 Qualifier “FC – Type of Physical Inventory or Transaction History Code”</w:t>
            </w:r>
          </w:p>
        </w:tc>
      </w:tr>
    </w:tbl>
    <w:tbl>
      <w:tblPr>
        <w:tblW w:w="945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0"/>
        <w:gridCol w:w="7920"/>
      </w:tblGrid>
      <w:tr w:rsidR="00477413" w:rsidRPr="006E6AA0" w14:paraId="4515A7B2" w14:textId="77777777" w:rsidTr="00282B16">
        <w:trPr>
          <w:cantSplit/>
          <w:tblHeader/>
        </w:trPr>
        <w:tc>
          <w:tcPr>
            <w:tcW w:w="1530" w:type="dxa"/>
          </w:tcPr>
          <w:p w14:paraId="4515A7B0" w14:textId="35AFAC70" w:rsidR="00477413" w:rsidRPr="006E6AA0" w:rsidRDefault="00813982">
            <w:pPr>
              <w:spacing w:before="100" w:after="100"/>
              <w:rPr>
                <w:rFonts w:cs="Arial"/>
                <w:u w:val="single"/>
              </w:rPr>
            </w:pPr>
            <w:r w:rsidRPr="006E6AA0">
              <w:rPr>
                <w:rFonts w:cs="Arial"/>
                <w:bCs/>
                <w:u w:val="single"/>
              </w:rPr>
              <w:t>C</w:t>
            </w:r>
            <w:r w:rsidR="00477413" w:rsidRPr="006E6AA0">
              <w:rPr>
                <w:rFonts w:cs="Arial"/>
                <w:bCs/>
                <w:u w:val="single"/>
              </w:rPr>
              <w:t>ODE</w:t>
            </w:r>
          </w:p>
        </w:tc>
        <w:tc>
          <w:tcPr>
            <w:tcW w:w="7920" w:type="dxa"/>
          </w:tcPr>
          <w:p w14:paraId="4515A7B1" w14:textId="77777777" w:rsidR="00477413" w:rsidRPr="006E6AA0" w:rsidRDefault="00477413">
            <w:pPr>
              <w:spacing w:before="100" w:after="100"/>
              <w:rPr>
                <w:rFonts w:cs="Arial"/>
                <w:u w:val="single"/>
              </w:rPr>
            </w:pPr>
            <w:r w:rsidRPr="006E6AA0">
              <w:rPr>
                <w:rFonts w:cs="Arial"/>
                <w:bCs/>
                <w:u w:val="single"/>
              </w:rPr>
              <w:t>DEFINITION</w:t>
            </w:r>
          </w:p>
        </w:tc>
      </w:tr>
      <w:tr w:rsidR="00477413" w14:paraId="4515A7B5" w14:textId="77777777" w:rsidTr="00282B16">
        <w:trPr>
          <w:cantSplit/>
          <w:trHeight w:val="403"/>
        </w:trPr>
        <w:tc>
          <w:tcPr>
            <w:tcW w:w="1530" w:type="dxa"/>
          </w:tcPr>
          <w:p w14:paraId="4515A7B3" w14:textId="77777777" w:rsidR="00477413" w:rsidRDefault="00477413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</w:rPr>
              <w:t>A through B</w:t>
            </w:r>
          </w:p>
        </w:tc>
        <w:tc>
          <w:tcPr>
            <w:tcW w:w="7920" w:type="dxa"/>
          </w:tcPr>
          <w:p w14:paraId="4515A7B4" w14:textId="77777777" w:rsidR="00477413" w:rsidRDefault="00477413">
            <w:pPr>
              <w:spacing w:before="100" w:after="60"/>
              <w:rPr>
                <w:rFonts w:cs="Arial"/>
              </w:rPr>
            </w:pPr>
            <w:r>
              <w:rPr>
                <w:rFonts w:cs="Arial"/>
              </w:rPr>
              <w:t>Reserved for future DoD assignment.</w:t>
            </w:r>
          </w:p>
        </w:tc>
      </w:tr>
      <w:tr w:rsidR="00477413" w14:paraId="4515A7B8" w14:textId="77777777" w:rsidTr="00282B16">
        <w:trPr>
          <w:cantSplit/>
          <w:trHeight w:val="403"/>
        </w:trPr>
        <w:tc>
          <w:tcPr>
            <w:tcW w:w="1530" w:type="dxa"/>
          </w:tcPr>
          <w:p w14:paraId="4515A7B6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7920" w:type="dxa"/>
          </w:tcPr>
          <w:p w14:paraId="4515A7B7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 w:rsidRPr="00741368">
              <w:rPr>
                <w:rFonts w:cs="Arial"/>
              </w:rPr>
              <w:t>Special Inventory, all supply condition codes</w:t>
            </w:r>
            <w:r w:rsidR="00DF3B9C" w:rsidRPr="00741368">
              <w:rPr>
                <w:rFonts w:cs="Arial"/>
              </w:rPr>
              <w:t xml:space="preserve"> (SCC).  Initiated by the </w:t>
            </w:r>
            <w:r w:rsidRPr="00741368">
              <w:rPr>
                <w:rFonts w:cs="Arial"/>
              </w:rPr>
              <w:t>storage activity</w:t>
            </w:r>
            <w:r w:rsidR="00DF3B9C" w:rsidRPr="00741368">
              <w:rPr>
                <w:rFonts w:cs="Arial"/>
              </w:rPr>
              <w:t xml:space="preserve"> in support of inventory accuracy improvements initiative</w:t>
            </w:r>
            <w:r>
              <w:rPr>
                <w:rFonts w:cs="Arial"/>
              </w:rPr>
              <w:t>.</w:t>
            </w:r>
          </w:p>
        </w:tc>
      </w:tr>
      <w:tr w:rsidR="00477413" w14:paraId="4515A7BB" w14:textId="77777777" w:rsidTr="00282B16">
        <w:trPr>
          <w:cantSplit/>
          <w:trHeight w:val="403"/>
        </w:trPr>
        <w:tc>
          <w:tcPr>
            <w:tcW w:w="1530" w:type="dxa"/>
          </w:tcPr>
          <w:p w14:paraId="4515A7B9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7920" w:type="dxa"/>
          </w:tcPr>
          <w:p w14:paraId="4515A7BA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Special Inventory, all supply condition codes.  Initiated by owner as a result of end of day processing imbalances.</w:t>
            </w:r>
          </w:p>
        </w:tc>
      </w:tr>
      <w:tr w:rsidR="00477413" w14:paraId="4515A7BE" w14:textId="77777777" w:rsidTr="00282B16">
        <w:trPr>
          <w:cantSplit/>
          <w:trHeight w:val="403"/>
        </w:trPr>
        <w:tc>
          <w:tcPr>
            <w:tcW w:w="1530" w:type="dxa"/>
          </w:tcPr>
          <w:p w14:paraId="4515A7BC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7920" w:type="dxa"/>
          </w:tcPr>
          <w:p w14:paraId="4515A7BD" w14:textId="3D4083A6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Spot Inventory due to denial (</w:t>
            </w:r>
            <w:r w:rsidRPr="00741368">
              <w:rPr>
                <w:rFonts w:cs="Arial"/>
              </w:rPr>
              <w:t xml:space="preserve">all </w:t>
            </w:r>
            <w:r w:rsidR="00B34CAB" w:rsidRPr="00741368">
              <w:rPr>
                <w:rFonts w:cs="Arial"/>
              </w:rPr>
              <w:t>SCCs</w:t>
            </w:r>
            <w:r>
              <w:rPr>
                <w:rFonts w:cs="Arial"/>
              </w:rPr>
              <w:t>).  Initiated by the storage activity or owner as a result of denials.</w:t>
            </w:r>
          </w:p>
        </w:tc>
      </w:tr>
      <w:tr w:rsidR="00477413" w14:paraId="4515A7C1" w14:textId="77777777" w:rsidTr="00282B16">
        <w:trPr>
          <w:cantSplit/>
          <w:trHeight w:val="403"/>
        </w:trPr>
        <w:tc>
          <w:tcPr>
            <w:tcW w:w="1530" w:type="dxa"/>
          </w:tcPr>
          <w:p w14:paraId="4515A7BF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F</w:t>
            </w:r>
          </w:p>
        </w:tc>
        <w:tc>
          <w:tcPr>
            <w:tcW w:w="7920" w:type="dxa"/>
          </w:tcPr>
          <w:p w14:paraId="4515A7C0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Reserved for future DoD assignment.</w:t>
            </w:r>
          </w:p>
        </w:tc>
      </w:tr>
      <w:tr w:rsidR="00477413" w14:paraId="4515A7C4" w14:textId="77777777" w:rsidTr="00282B16">
        <w:trPr>
          <w:cantSplit/>
          <w:trHeight w:val="403"/>
        </w:trPr>
        <w:tc>
          <w:tcPr>
            <w:tcW w:w="1530" w:type="dxa"/>
          </w:tcPr>
          <w:p w14:paraId="4515A7C2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7920" w:type="dxa"/>
          </w:tcPr>
          <w:p w14:paraId="4515A7C3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Scheduled Inventory.  Inventory to be conducted within a specified period of time according to an established plan on controlled items and all other items or categories designated by the DoD Component.</w:t>
            </w:r>
          </w:p>
        </w:tc>
      </w:tr>
      <w:tr w:rsidR="00477413" w14:paraId="4515A7C7" w14:textId="77777777" w:rsidTr="00282B16">
        <w:trPr>
          <w:cantSplit/>
          <w:trHeight w:val="403"/>
        </w:trPr>
        <w:tc>
          <w:tcPr>
            <w:tcW w:w="1530" w:type="dxa"/>
          </w:tcPr>
          <w:p w14:paraId="4515A7C5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H</w:t>
            </w:r>
          </w:p>
        </w:tc>
        <w:tc>
          <w:tcPr>
            <w:tcW w:w="7920" w:type="dxa"/>
          </w:tcPr>
          <w:p w14:paraId="4515A7C6" w14:textId="7C71C960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all </w:t>
            </w:r>
            <w:r w:rsidR="00B34CAB" w:rsidRPr="00741368">
              <w:rPr>
                <w:rFonts w:cs="Arial"/>
              </w:rPr>
              <w:t>SCCs</w:t>
            </w:r>
            <w:r>
              <w:rPr>
                <w:rFonts w:cs="Arial"/>
              </w:rPr>
              <w:t>.  Initiated by owner when an Inventory is necessary and the date of last Inventory is less than 90 days.</w:t>
            </w:r>
          </w:p>
        </w:tc>
      </w:tr>
      <w:tr w:rsidR="00477413" w14:paraId="4515A7CA" w14:textId="77777777" w:rsidTr="00282B16">
        <w:trPr>
          <w:cantSplit/>
          <w:trHeight w:val="403"/>
        </w:trPr>
        <w:tc>
          <w:tcPr>
            <w:tcW w:w="1530" w:type="dxa"/>
          </w:tcPr>
          <w:p w14:paraId="4515A7C8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7920" w:type="dxa"/>
          </w:tcPr>
          <w:p w14:paraId="4515A7C9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Scheduled Inventory.  Initiated by owner based on owner’s inventory prioritization methodology.</w:t>
            </w:r>
          </w:p>
        </w:tc>
      </w:tr>
      <w:tr w:rsidR="00477413" w14:paraId="4515A7CD" w14:textId="77777777" w:rsidTr="00282B16">
        <w:trPr>
          <w:cantSplit/>
          <w:trHeight w:val="403"/>
        </w:trPr>
        <w:tc>
          <w:tcPr>
            <w:tcW w:w="1530" w:type="dxa"/>
          </w:tcPr>
          <w:p w14:paraId="4515A7CB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J</w:t>
            </w:r>
          </w:p>
        </w:tc>
        <w:tc>
          <w:tcPr>
            <w:tcW w:w="7920" w:type="dxa"/>
          </w:tcPr>
          <w:p w14:paraId="4515A7CC" w14:textId="53C49566" w:rsidR="00477413" w:rsidRDefault="00477413" w:rsidP="00E363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all </w:t>
            </w:r>
            <w:r w:rsidR="00B34CAB" w:rsidRPr="00741368">
              <w:rPr>
                <w:rFonts w:cs="Arial"/>
              </w:rPr>
              <w:t>SCCs</w:t>
            </w:r>
            <w:r>
              <w:rPr>
                <w:rFonts w:cs="Arial"/>
              </w:rPr>
              <w:t>.  Initiated by owner as a result of location reconciliation errors.</w:t>
            </w:r>
          </w:p>
        </w:tc>
      </w:tr>
      <w:tr w:rsidR="00477413" w14:paraId="4515A7D0" w14:textId="77777777" w:rsidTr="00282B16">
        <w:trPr>
          <w:cantSplit/>
          <w:trHeight w:val="403"/>
        </w:trPr>
        <w:tc>
          <w:tcPr>
            <w:tcW w:w="1530" w:type="dxa"/>
          </w:tcPr>
          <w:p w14:paraId="4515A7CE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lastRenderedPageBreak/>
              <w:t>K</w:t>
            </w:r>
          </w:p>
        </w:tc>
        <w:tc>
          <w:tcPr>
            <w:tcW w:w="7920" w:type="dxa"/>
          </w:tcPr>
          <w:p w14:paraId="4515A7CF" w14:textId="46C13C9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all </w:t>
            </w:r>
            <w:r w:rsidR="00B34CAB" w:rsidRPr="00741368">
              <w:rPr>
                <w:rFonts w:cs="Arial"/>
              </w:rPr>
              <w:t>SCCs</w:t>
            </w:r>
            <w:r>
              <w:rPr>
                <w:rFonts w:cs="Arial"/>
              </w:rPr>
              <w:t>.  Initiated by storage activity as a result of location survey errors.</w:t>
            </w:r>
          </w:p>
        </w:tc>
      </w:tr>
      <w:tr w:rsidR="00477413" w14:paraId="4515A7D3" w14:textId="77777777" w:rsidTr="00282B16">
        <w:trPr>
          <w:cantSplit/>
          <w:trHeight w:val="403"/>
        </w:trPr>
        <w:tc>
          <w:tcPr>
            <w:tcW w:w="1530" w:type="dxa"/>
          </w:tcPr>
          <w:p w14:paraId="4515A7D1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</w:t>
            </w:r>
          </w:p>
        </w:tc>
        <w:tc>
          <w:tcPr>
            <w:tcW w:w="7920" w:type="dxa"/>
          </w:tcPr>
          <w:p w14:paraId="4515A7D2" w14:textId="677BE209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Scheduled Inventory, specified </w:t>
            </w:r>
            <w:r w:rsidR="00B34CAB" w:rsidRPr="00741368">
              <w:rPr>
                <w:rFonts w:cs="Arial"/>
              </w:rPr>
              <w:t>SCCs</w:t>
            </w:r>
            <w:r>
              <w:rPr>
                <w:rFonts w:cs="Arial"/>
              </w:rPr>
              <w:t>.  Initiated by owner for a random statistical sample Inventory.</w:t>
            </w:r>
          </w:p>
        </w:tc>
      </w:tr>
      <w:tr w:rsidR="00477413" w14:paraId="4515A7D6" w14:textId="77777777" w:rsidTr="00282B16">
        <w:trPr>
          <w:cantSplit/>
          <w:trHeight w:val="403"/>
        </w:trPr>
        <w:tc>
          <w:tcPr>
            <w:tcW w:w="1530" w:type="dxa"/>
          </w:tcPr>
          <w:p w14:paraId="4515A7D4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M</w:t>
            </w:r>
          </w:p>
        </w:tc>
        <w:tc>
          <w:tcPr>
            <w:tcW w:w="7920" w:type="dxa"/>
          </w:tcPr>
          <w:p w14:paraId="4515A7D5" w14:textId="73E9849D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</w:t>
            </w:r>
            <w:r w:rsidR="00B34CAB" w:rsidRPr="00741368">
              <w:rPr>
                <w:rFonts w:cs="Arial"/>
              </w:rPr>
              <w:t>SCCs</w:t>
            </w:r>
            <w:r>
              <w:rPr>
                <w:rFonts w:cs="Arial"/>
              </w:rPr>
              <w:t>.  Initiated by storage activity as a result of onhand balance mismatches between the locator and property accountability records.</w:t>
            </w:r>
          </w:p>
        </w:tc>
      </w:tr>
      <w:tr w:rsidR="00477413" w14:paraId="4515A7D9" w14:textId="77777777" w:rsidTr="00282B16">
        <w:trPr>
          <w:cantSplit/>
          <w:trHeight w:val="403"/>
        </w:trPr>
        <w:tc>
          <w:tcPr>
            <w:tcW w:w="1530" w:type="dxa"/>
          </w:tcPr>
          <w:p w14:paraId="4515A7D7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</w:t>
            </w:r>
          </w:p>
        </w:tc>
        <w:tc>
          <w:tcPr>
            <w:tcW w:w="7920" w:type="dxa"/>
          </w:tcPr>
          <w:p w14:paraId="4515A7D8" w14:textId="0FF9DAA3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Scheduled Inventory, specified </w:t>
            </w:r>
            <w:r w:rsidR="00B34CAB" w:rsidRPr="00741368">
              <w:rPr>
                <w:rFonts w:cs="Arial"/>
              </w:rPr>
              <w:t>SCCs.</w:t>
            </w:r>
            <w:r>
              <w:rPr>
                <w:rFonts w:cs="Arial"/>
              </w:rPr>
              <w:t xml:space="preserve">  Initiated by storage activity for the annual statistical sample Inventory.</w:t>
            </w:r>
          </w:p>
        </w:tc>
      </w:tr>
      <w:tr w:rsidR="00477413" w14:paraId="4515A7DC" w14:textId="77777777" w:rsidTr="00282B16">
        <w:trPr>
          <w:cantSplit/>
          <w:trHeight w:val="403"/>
        </w:trPr>
        <w:tc>
          <w:tcPr>
            <w:tcW w:w="1530" w:type="dxa"/>
          </w:tcPr>
          <w:p w14:paraId="4515A7DA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O </w:t>
            </w:r>
          </w:p>
        </w:tc>
        <w:tc>
          <w:tcPr>
            <w:tcW w:w="7920" w:type="dxa"/>
          </w:tcPr>
          <w:p w14:paraId="4515A7DB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Reserved for future DoD assignment.</w:t>
            </w:r>
          </w:p>
        </w:tc>
      </w:tr>
      <w:tr w:rsidR="00477413" w14:paraId="4515A7DF" w14:textId="77777777" w:rsidTr="00282B16">
        <w:trPr>
          <w:cantSplit/>
          <w:trHeight w:val="403"/>
        </w:trPr>
        <w:tc>
          <w:tcPr>
            <w:tcW w:w="1530" w:type="dxa"/>
          </w:tcPr>
          <w:p w14:paraId="4515A7DD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P  </w:t>
            </w:r>
          </w:p>
        </w:tc>
        <w:tc>
          <w:tcPr>
            <w:tcW w:w="7920" w:type="dxa"/>
          </w:tcPr>
          <w:p w14:paraId="4515A7DE" w14:textId="0E1DC1E6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Scheduled Inventory, specified </w:t>
            </w:r>
            <w:r w:rsidR="00B34CAB" w:rsidRPr="00741368">
              <w:rPr>
                <w:rFonts w:cs="Arial"/>
              </w:rPr>
              <w:t>SCCs</w:t>
            </w:r>
            <w:r w:rsidR="00B34CAB" w:rsidRPr="00B34CAB">
              <w:rPr>
                <w:rFonts w:cs="Arial"/>
              </w:rPr>
              <w:t>.</w:t>
            </w:r>
            <w:r w:rsidRPr="00B34CA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Initiated by storage activity for a random statistical sample Inventory.</w:t>
            </w:r>
          </w:p>
        </w:tc>
      </w:tr>
      <w:tr w:rsidR="00477413" w14:paraId="4515A7E2" w14:textId="77777777" w:rsidTr="00282B16">
        <w:trPr>
          <w:cantSplit/>
          <w:trHeight w:val="403"/>
        </w:trPr>
        <w:tc>
          <w:tcPr>
            <w:tcW w:w="1530" w:type="dxa"/>
          </w:tcPr>
          <w:p w14:paraId="4515A7E0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Q</w:t>
            </w:r>
          </w:p>
        </w:tc>
        <w:tc>
          <w:tcPr>
            <w:tcW w:w="7920" w:type="dxa"/>
          </w:tcPr>
          <w:p w14:paraId="4515A7E1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Reserved for future DoD assignment.</w:t>
            </w:r>
          </w:p>
        </w:tc>
      </w:tr>
      <w:tr w:rsidR="00477413" w14:paraId="4515A7E5" w14:textId="77777777" w:rsidTr="00282B16">
        <w:trPr>
          <w:cantSplit/>
          <w:trHeight w:val="403"/>
        </w:trPr>
        <w:tc>
          <w:tcPr>
            <w:tcW w:w="1530" w:type="dxa"/>
          </w:tcPr>
          <w:p w14:paraId="4515A7E3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7920" w:type="dxa"/>
          </w:tcPr>
          <w:p w14:paraId="4515A7E4" w14:textId="7451E3D6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specified </w:t>
            </w:r>
            <w:r w:rsidR="00B34CAB" w:rsidRPr="00741368">
              <w:rPr>
                <w:rFonts w:cs="Arial"/>
              </w:rPr>
              <w:t>SCC</w:t>
            </w:r>
            <w:r>
              <w:rPr>
                <w:rFonts w:cs="Arial"/>
              </w:rPr>
              <w:t xml:space="preserve">.  Initiated by </w:t>
            </w:r>
            <w:r w:rsidR="00B34CAB">
              <w:rPr>
                <w:rFonts w:cs="Arial"/>
              </w:rPr>
              <w:t>s</w:t>
            </w:r>
            <w:r>
              <w:rPr>
                <w:rFonts w:cs="Arial"/>
              </w:rPr>
              <w:t>torage activity in an effort to resolve a customer report of discrepancy.</w:t>
            </w:r>
          </w:p>
        </w:tc>
      </w:tr>
      <w:tr w:rsidR="00477413" w14:paraId="4515A7E8" w14:textId="77777777" w:rsidTr="00282B16">
        <w:trPr>
          <w:cantSplit/>
          <w:trHeight w:val="403"/>
        </w:trPr>
        <w:tc>
          <w:tcPr>
            <w:tcW w:w="1530" w:type="dxa"/>
          </w:tcPr>
          <w:p w14:paraId="4515A7E6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</w:t>
            </w:r>
          </w:p>
        </w:tc>
        <w:tc>
          <w:tcPr>
            <w:tcW w:w="7920" w:type="dxa"/>
          </w:tcPr>
          <w:p w14:paraId="4515A7E7" w14:textId="0F9DC0F5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specified </w:t>
            </w:r>
            <w:r w:rsidR="00B34CAB" w:rsidRPr="00741368">
              <w:rPr>
                <w:rFonts w:cs="Arial"/>
              </w:rPr>
              <w:t>SCC</w:t>
            </w:r>
            <w:r>
              <w:rPr>
                <w:rFonts w:cs="Arial"/>
              </w:rPr>
              <w:t>.  Initiated by storage activity as part of receipt follow-up (intransit) resolution process.</w:t>
            </w:r>
          </w:p>
        </w:tc>
      </w:tr>
      <w:tr w:rsidR="00477413" w14:paraId="4515A7EB" w14:textId="77777777" w:rsidTr="00282B16">
        <w:trPr>
          <w:cantSplit/>
          <w:trHeight w:val="403"/>
        </w:trPr>
        <w:tc>
          <w:tcPr>
            <w:tcW w:w="1530" w:type="dxa"/>
          </w:tcPr>
          <w:p w14:paraId="4515A7E9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T</w:t>
            </w:r>
          </w:p>
        </w:tc>
        <w:tc>
          <w:tcPr>
            <w:tcW w:w="7920" w:type="dxa"/>
          </w:tcPr>
          <w:p w14:paraId="4515A7EA" w14:textId="4CED4A20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specified </w:t>
            </w:r>
            <w:r w:rsidR="00B34CAB" w:rsidRPr="00741368">
              <w:rPr>
                <w:rFonts w:cs="Arial"/>
              </w:rPr>
              <w:t>SCC</w:t>
            </w:r>
            <w:r>
              <w:rPr>
                <w:rFonts w:cs="Arial"/>
              </w:rPr>
              <w:t>.  Initiated by storage activity as a result of a disposal release order directing ownership transfer to the Recycling Control Point.</w:t>
            </w:r>
          </w:p>
        </w:tc>
      </w:tr>
      <w:tr w:rsidR="00477413" w14:paraId="4515A7EE" w14:textId="77777777" w:rsidTr="00282B16">
        <w:trPr>
          <w:cantSplit/>
          <w:trHeight w:val="403"/>
        </w:trPr>
        <w:tc>
          <w:tcPr>
            <w:tcW w:w="1530" w:type="dxa"/>
          </w:tcPr>
          <w:p w14:paraId="4515A7EC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U</w:t>
            </w:r>
          </w:p>
        </w:tc>
        <w:tc>
          <w:tcPr>
            <w:tcW w:w="7920" w:type="dxa"/>
          </w:tcPr>
          <w:p w14:paraId="4515A7ED" w14:textId="3E7B8E70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specified </w:t>
            </w:r>
            <w:r w:rsidR="00B34CAB" w:rsidRPr="00741368">
              <w:rPr>
                <w:rFonts w:cs="Arial"/>
              </w:rPr>
              <w:t>SCC</w:t>
            </w:r>
            <w:r>
              <w:rPr>
                <w:rFonts w:cs="Arial"/>
              </w:rPr>
              <w:t>.  A location-level inventory initiated by storage activity for low asset visibility counts.</w:t>
            </w:r>
          </w:p>
        </w:tc>
      </w:tr>
      <w:tr w:rsidR="00477413" w14:paraId="4515A7F1" w14:textId="77777777" w:rsidTr="00282B16">
        <w:trPr>
          <w:cantSplit/>
          <w:trHeight w:val="403"/>
        </w:trPr>
        <w:tc>
          <w:tcPr>
            <w:tcW w:w="1530" w:type="dxa"/>
          </w:tcPr>
          <w:p w14:paraId="4515A7EF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7920" w:type="dxa"/>
          </w:tcPr>
          <w:p w14:paraId="4515A7F0" w14:textId="703E8035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Special inventory, specified </w:t>
            </w:r>
            <w:r w:rsidR="00B34CAB" w:rsidRPr="00741368">
              <w:rPr>
                <w:rFonts w:cs="Arial"/>
              </w:rPr>
              <w:t>SCC</w:t>
            </w:r>
            <w:r>
              <w:rPr>
                <w:rFonts w:cs="Arial"/>
              </w:rPr>
              <w:t>.  Initiated by storage activity as a result of a location-level inventory adjustment or exceeding predetermined thresholds.</w:t>
            </w:r>
          </w:p>
        </w:tc>
      </w:tr>
      <w:tr w:rsidR="00477413" w14:paraId="4515A7F4" w14:textId="77777777" w:rsidTr="00282B16">
        <w:trPr>
          <w:cantSplit/>
          <w:trHeight w:val="403"/>
        </w:trPr>
        <w:tc>
          <w:tcPr>
            <w:tcW w:w="1530" w:type="dxa"/>
          </w:tcPr>
          <w:p w14:paraId="4515A7F2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W</w:t>
            </w:r>
          </w:p>
        </w:tc>
        <w:tc>
          <w:tcPr>
            <w:tcW w:w="7920" w:type="dxa"/>
          </w:tcPr>
          <w:p w14:paraId="4515A7F3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Automatic submission of transaction history from storage activity to owner/ manager.</w:t>
            </w:r>
          </w:p>
        </w:tc>
      </w:tr>
      <w:tr w:rsidR="00477413" w14:paraId="4515A7F7" w14:textId="77777777" w:rsidTr="00282B16">
        <w:trPr>
          <w:cantSplit/>
          <w:trHeight w:val="403"/>
        </w:trPr>
        <w:tc>
          <w:tcPr>
            <w:tcW w:w="1530" w:type="dxa"/>
          </w:tcPr>
          <w:p w14:paraId="4515A7F5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7920" w:type="dxa"/>
          </w:tcPr>
          <w:p w14:paraId="4515A7F6" w14:textId="77777777" w:rsidR="00477413" w:rsidRDefault="00477413" w:rsidP="00E36367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Storage activity transaction history requested by owner/manager or transaction history response from storage activity to owner.</w:t>
            </w:r>
          </w:p>
        </w:tc>
      </w:tr>
      <w:tr w:rsidR="00477413" w:rsidRPr="00741368" w14:paraId="4515A7FA" w14:textId="77777777" w:rsidTr="00282B16">
        <w:trPr>
          <w:cantSplit/>
          <w:trHeight w:val="403"/>
        </w:trPr>
        <w:tc>
          <w:tcPr>
            <w:tcW w:w="1530" w:type="dxa"/>
          </w:tcPr>
          <w:p w14:paraId="4515A7F8" w14:textId="77777777" w:rsidR="00477413" w:rsidRPr="00741368" w:rsidRDefault="00477413" w:rsidP="00E36367">
            <w:pPr>
              <w:spacing w:before="60" w:after="60"/>
              <w:rPr>
                <w:rFonts w:cs="Arial"/>
              </w:rPr>
            </w:pPr>
            <w:r w:rsidRPr="00741368">
              <w:rPr>
                <w:rFonts w:cs="Arial"/>
                <w:szCs w:val="22"/>
              </w:rPr>
              <w:t>Y</w:t>
            </w:r>
          </w:p>
        </w:tc>
        <w:tc>
          <w:tcPr>
            <w:tcW w:w="7920" w:type="dxa"/>
          </w:tcPr>
          <w:p w14:paraId="4515A7F9" w14:textId="77777777" w:rsidR="00477413" w:rsidRPr="00741368" w:rsidRDefault="00F021C5" w:rsidP="00E36367">
            <w:pPr>
              <w:spacing w:before="60" w:after="60"/>
              <w:rPr>
                <w:rFonts w:cs="Arial"/>
              </w:rPr>
            </w:pPr>
            <w:r w:rsidRPr="00741368">
              <w:rPr>
                <w:rFonts w:cs="Arial"/>
                <w:szCs w:val="22"/>
              </w:rPr>
              <w:t xml:space="preserve">Annual (Total) Transaction History (optional for use to distinguish history associated with annual reconciliation from other transaction </w:t>
            </w:r>
            <w:r w:rsidR="00954789" w:rsidRPr="00741368">
              <w:rPr>
                <w:rFonts w:cs="Arial"/>
                <w:szCs w:val="22"/>
              </w:rPr>
              <w:t>history</w:t>
            </w:r>
            <w:r w:rsidRPr="00741368">
              <w:rPr>
                <w:rFonts w:cs="Arial"/>
                <w:szCs w:val="22"/>
              </w:rPr>
              <w:t>)</w:t>
            </w:r>
          </w:p>
        </w:tc>
      </w:tr>
      <w:tr w:rsidR="00477413" w:rsidRPr="00741368" w14:paraId="4515A7FD" w14:textId="77777777" w:rsidTr="00282B16">
        <w:trPr>
          <w:cantSplit/>
          <w:trHeight w:val="403"/>
        </w:trPr>
        <w:tc>
          <w:tcPr>
            <w:tcW w:w="1530" w:type="dxa"/>
          </w:tcPr>
          <w:p w14:paraId="4515A7FB" w14:textId="77777777" w:rsidR="00477413" w:rsidRPr="00741368" w:rsidRDefault="00477413" w:rsidP="00E36367">
            <w:pPr>
              <w:spacing w:before="60" w:after="60"/>
              <w:rPr>
                <w:rFonts w:cs="Arial"/>
              </w:rPr>
            </w:pPr>
            <w:r w:rsidRPr="00741368">
              <w:rPr>
                <w:rFonts w:cs="Arial"/>
                <w:szCs w:val="22"/>
              </w:rPr>
              <w:t>Z</w:t>
            </w:r>
          </w:p>
        </w:tc>
        <w:tc>
          <w:tcPr>
            <w:tcW w:w="7920" w:type="dxa"/>
          </w:tcPr>
          <w:p w14:paraId="4515A7FC" w14:textId="77777777" w:rsidR="00477413" w:rsidRPr="00741368" w:rsidRDefault="00DF3B9C" w:rsidP="00E36367">
            <w:pPr>
              <w:spacing w:before="60" w:after="60"/>
              <w:rPr>
                <w:rFonts w:cs="Arial"/>
              </w:rPr>
            </w:pPr>
            <w:r w:rsidRPr="00741368">
              <w:rPr>
                <w:rFonts w:cs="Arial"/>
                <w:szCs w:val="22"/>
              </w:rPr>
              <w:t>Special Inventory (specified SCC) systemically initiated by the storage activity for quantity mismatches within the storage activity’s management system between the quantity-by-location and the owner balances (i.e. Book-to-Book adjustments).</w:t>
            </w:r>
            <w:r w:rsidRPr="00741368">
              <w:rPr>
                <w:rFonts w:ascii="Times New Roman" w:hAnsi="Times New Roman"/>
                <w:bCs/>
                <w:iCs/>
                <w:color w:val="FF0000"/>
                <w:szCs w:val="24"/>
              </w:rPr>
              <w:t xml:space="preserve">  </w:t>
            </w:r>
          </w:p>
        </w:tc>
      </w:tr>
      <w:tr w:rsidR="00477413" w:rsidRPr="00741368" w14:paraId="4515A800" w14:textId="77777777" w:rsidTr="00282B16">
        <w:trPr>
          <w:cantSplit/>
          <w:trHeight w:val="403"/>
        </w:trPr>
        <w:tc>
          <w:tcPr>
            <w:tcW w:w="1530" w:type="dxa"/>
          </w:tcPr>
          <w:p w14:paraId="4515A7FE" w14:textId="77777777" w:rsidR="00477413" w:rsidRPr="00741368" w:rsidRDefault="00477413" w:rsidP="00E36367">
            <w:pPr>
              <w:spacing w:before="60" w:after="60"/>
              <w:rPr>
                <w:rFonts w:cs="Arial"/>
              </w:rPr>
            </w:pPr>
            <w:r w:rsidRPr="00741368">
              <w:rPr>
                <w:rFonts w:cs="Arial"/>
                <w:szCs w:val="22"/>
              </w:rPr>
              <w:t>0 through 7</w:t>
            </w:r>
          </w:p>
        </w:tc>
        <w:tc>
          <w:tcPr>
            <w:tcW w:w="7920" w:type="dxa"/>
          </w:tcPr>
          <w:p w14:paraId="4515A7FF" w14:textId="77777777" w:rsidR="00477413" w:rsidRPr="00741368" w:rsidRDefault="00477413" w:rsidP="00E36367">
            <w:pPr>
              <w:spacing w:before="60" w:after="60"/>
              <w:rPr>
                <w:rFonts w:cs="Arial"/>
              </w:rPr>
            </w:pPr>
            <w:r w:rsidRPr="00741368">
              <w:rPr>
                <w:rFonts w:cs="Arial"/>
                <w:szCs w:val="22"/>
              </w:rPr>
              <w:t>Reserved for future DoD assignment</w:t>
            </w:r>
            <w:r w:rsidRPr="00741368">
              <w:rPr>
                <w:rFonts w:cs="Arial"/>
              </w:rPr>
              <w:t>.</w:t>
            </w:r>
          </w:p>
        </w:tc>
      </w:tr>
      <w:tr w:rsidR="00477413" w:rsidRPr="00741368" w14:paraId="4515A805" w14:textId="77777777" w:rsidTr="00ED6424">
        <w:trPr>
          <w:cantSplit/>
          <w:trHeight w:val="403"/>
        </w:trPr>
        <w:tc>
          <w:tcPr>
            <w:tcW w:w="1530" w:type="dxa"/>
          </w:tcPr>
          <w:p w14:paraId="4515A803" w14:textId="77777777" w:rsidR="00477413" w:rsidRPr="00741368" w:rsidRDefault="00477413" w:rsidP="00E36367">
            <w:pPr>
              <w:spacing w:before="60" w:after="60"/>
              <w:rPr>
                <w:rFonts w:cs="Arial"/>
                <w:szCs w:val="22"/>
              </w:rPr>
            </w:pPr>
            <w:r w:rsidRPr="00741368">
              <w:rPr>
                <w:rFonts w:cs="Arial"/>
                <w:szCs w:val="22"/>
              </w:rPr>
              <w:lastRenderedPageBreak/>
              <w:t>8</w:t>
            </w:r>
            <w:r w:rsidR="000873E0" w:rsidRPr="00741368">
              <w:rPr>
                <w:rStyle w:val="EndnoteReference"/>
                <w:rFonts w:cs="Arial"/>
                <w:szCs w:val="22"/>
              </w:rPr>
              <w:endnoteReference w:id="1"/>
            </w:r>
          </w:p>
        </w:tc>
        <w:tc>
          <w:tcPr>
            <w:tcW w:w="7920" w:type="dxa"/>
          </w:tcPr>
          <w:p w14:paraId="4515A804" w14:textId="77777777" w:rsidR="00477413" w:rsidRPr="00741368" w:rsidRDefault="00477413" w:rsidP="00E36367">
            <w:pPr>
              <w:spacing w:before="60" w:after="60"/>
              <w:rPr>
                <w:rFonts w:cs="Arial"/>
                <w:szCs w:val="22"/>
              </w:rPr>
            </w:pPr>
            <w:r w:rsidRPr="00741368">
              <w:rPr>
                <w:rFonts w:cs="Arial"/>
                <w:szCs w:val="22"/>
              </w:rPr>
              <w:t xml:space="preserve">Distribution depot/storage activity has no transaction for the stock or part number requested for the dates specified, but </w:t>
            </w:r>
            <w:r w:rsidR="003E7A30" w:rsidRPr="00741368">
              <w:rPr>
                <w:rFonts w:cs="Arial"/>
                <w:szCs w:val="22"/>
              </w:rPr>
              <w:t>transactions</w:t>
            </w:r>
            <w:r w:rsidRPr="00741368">
              <w:rPr>
                <w:rFonts w:cs="Arial"/>
                <w:szCs w:val="22"/>
              </w:rPr>
              <w:t xml:space="preserve"> are available since the date of last location reconcil</w:t>
            </w:r>
            <w:r w:rsidR="003E7A30" w:rsidRPr="00741368">
              <w:rPr>
                <w:rFonts w:cs="Arial"/>
                <w:szCs w:val="22"/>
              </w:rPr>
              <w:t>iation.  For use with DLMS Supplement</w:t>
            </w:r>
            <w:r w:rsidRPr="00741368">
              <w:rPr>
                <w:rFonts w:cs="Arial"/>
                <w:szCs w:val="22"/>
              </w:rPr>
              <w:t xml:space="preserve"> 84</w:t>
            </w:r>
            <w:r w:rsidR="003E7A30" w:rsidRPr="00741368">
              <w:rPr>
                <w:rFonts w:cs="Arial"/>
                <w:szCs w:val="22"/>
              </w:rPr>
              <w:t>6P when beginning segment Repor</w:t>
            </w:r>
            <w:r w:rsidRPr="00741368">
              <w:rPr>
                <w:rFonts w:cs="Arial"/>
                <w:szCs w:val="22"/>
              </w:rPr>
              <w:t>t Type Code (1/BIA02/20) is 'AD'.</w:t>
            </w:r>
            <w:r w:rsidR="003E7A30" w:rsidRPr="00741368">
              <w:rPr>
                <w:rFonts w:cs="Arial"/>
                <w:szCs w:val="22"/>
              </w:rPr>
              <w:t xml:space="preserve">  Used only with DLMS.</w:t>
            </w:r>
          </w:p>
        </w:tc>
      </w:tr>
      <w:tr w:rsidR="00477413" w:rsidRPr="00741368" w14:paraId="4515A808" w14:textId="77777777" w:rsidTr="00ED6424">
        <w:trPr>
          <w:cantSplit/>
          <w:trHeight w:val="403"/>
        </w:trPr>
        <w:tc>
          <w:tcPr>
            <w:tcW w:w="1530" w:type="dxa"/>
          </w:tcPr>
          <w:p w14:paraId="4515A806" w14:textId="77777777" w:rsidR="00477413" w:rsidRPr="00741368" w:rsidRDefault="00477413" w:rsidP="00E36367">
            <w:pPr>
              <w:spacing w:before="60" w:after="60"/>
              <w:rPr>
                <w:rFonts w:cs="Arial"/>
                <w:szCs w:val="22"/>
              </w:rPr>
            </w:pPr>
            <w:r w:rsidRPr="00741368">
              <w:rPr>
                <w:rFonts w:cs="Arial"/>
                <w:szCs w:val="22"/>
              </w:rPr>
              <w:t>9</w:t>
            </w:r>
            <w:r w:rsidR="000873E0" w:rsidRPr="00741368">
              <w:rPr>
                <w:rStyle w:val="EndnoteReference"/>
                <w:rFonts w:cs="Arial"/>
                <w:szCs w:val="22"/>
              </w:rPr>
              <w:endnoteReference w:id="2"/>
            </w:r>
          </w:p>
        </w:tc>
        <w:tc>
          <w:tcPr>
            <w:tcW w:w="7920" w:type="dxa"/>
          </w:tcPr>
          <w:p w14:paraId="4515A807" w14:textId="77777777" w:rsidR="00477413" w:rsidRPr="00741368" w:rsidRDefault="00477413" w:rsidP="00E36367">
            <w:pPr>
              <w:spacing w:before="60" w:after="60"/>
              <w:rPr>
                <w:rFonts w:cs="Arial"/>
                <w:szCs w:val="22"/>
              </w:rPr>
            </w:pPr>
            <w:r w:rsidRPr="00741368">
              <w:rPr>
                <w:rFonts w:cs="Arial"/>
                <w:szCs w:val="22"/>
              </w:rPr>
              <w:t xml:space="preserve">Distribution depot/storage </w:t>
            </w:r>
            <w:r w:rsidR="003E7A30" w:rsidRPr="00741368">
              <w:rPr>
                <w:rFonts w:cs="Arial"/>
                <w:szCs w:val="22"/>
              </w:rPr>
              <w:t>activity</w:t>
            </w:r>
            <w:r w:rsidRPr="00741368">
              <w:rPr>
                <w:rFonts w:cs="Arial"/>
                <w:szCs w:val="22"/>
              </w:rPr>
              <w:t xml:space="preserve"> has no transactions available for the dates specified or since the date of last reconciliation.  For use with DLMS Supplement 846P when beginning segment Report Type Code (1/BIA02/20) is 'AD'.</w:t>
            </w:r>
            <w:r w:rsidR="003E7A30" w:rsidRPr="00741368">
              <w:rPr>
                <w:rFonts w:cs="Arial"/>
                <w:szCs w:val="22"/>
              </w:rPr>
              <w:t xml:space="preserve">  Used only with DLMS.</w:t>
            </w:r>
          </w:p>
        </w:tc>
      </w:tr>
    </w:tbl>
    <w:p w14:paraId="4515A809" w14:textId="77777777" w:rsidR="00477413" w:rsidRDefault="00477413">
      <w:pPr>
        <w:pStyle w:val="Footer"/>
        <w:tabs>
          <w:tab w:val="clear" w:pos="4320"/>
          <w:tab w:val="clear" w:pos="8640"/>
        </w:tabs>
        <w:rPr>
          <w:rFonts w:cs="Arial"/>
        </w:rPr>
      </w:pPr>
    </w:p>
    <w:sectPr w:rsidR="00477413" w:rsidSect="00741368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5A80C" w14:textId="77777777" w:rsidR="00641372" w:rsidRDefault="00641372">
      <w:r>
        <w:separator/>
      </w:r>
    </w:p>
  </w:endnote>
  <w:endnote w:type="continuationSeparator" w:id="0">
    <w:p w14:paraId="4515A80D" w14:textId="77777777" w:rsidR="00641372" w:rsidRDefault="00641372">
      <w:r>
        <w:continuationSeparator/>
      </w:r>
    </w:p>
  </w:endnote>
  <w:endnote w:id="1">
    <w:p w14:paraId="4515A819" w14:textId="77777777" w:rsidR="00641372" w:rsidRPr="00741368" w:rsidRDefault="00641372">
      <w:pPr>
        <w:pStyle w:val="EndnoteText"/>
      </w:pPr>
      <w:r w:rsidRPr="00741368">
        <w:rPr>
          <w:rStyle w:val="EndnoteReference"/>
        </w:rPr>
        <w:endnoteRef/>
      </w:r>
      <w:r w:rsidRPr="00741368">
        <w:t xml:space="preserve"> As an interim exception, DLA vendor storage activities do not use codes 8 or 9 under DLMS.  DLA vendor storage activities 8-fill or 9-fill the document number field, until such time as they fully implement ADC 198.</w:t>
      </w:r>
    </w:p>
  </w:endnote>
  <w:endnote w:id="2">
    <w:p w14:paraId="4515A81A" w14:textId="33A4AF93" w:rsidR="00641372" w:rsidRPr="00741368" w:rsidRDefault="00641372">
      <w:pPr>
        <w:pStyle w:val="EndnoteText"/>
      </w:pPr>
      <w:r w:rsidRPr="00741368">
        <w:rPr>
          <w:rStyle w:val="EndnoteReference"/>
        </w:rPr>
        <w:endnoteRef/>
      </w:r>
      <w:r w:rsidRPr="00741368">
        <w:t xml:space="preserve"> Ibid 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A812" w14:textId="77777777" w:rsidR="00641372" w:rsidRDefault="00641372" w:rsidP="00F842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5A813" w14:textId="77777777" w:rsidR="00641372" w:rsidRDefault="00641372">
    <w:pPr>
      <w:pStyle w:val="Footer"/>
      <w:jc w:val="center"/>
      <w:rPr>
        <w:b/>
      </w:rPr>
    </w:pPr>
    <w:r>
      <w:rPr>
        <w:b/>
      </w:rPr>
      <w:t>AP2.2-</w:t>
    </w:r>
  </w:p>
  <w:p w14:paraId="4515A814" w14:textId="77777777" w:rsidR="00641372" w:rsidRDefault="0064137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7D0C1" w14:textId="661B08A3" w:rsidR="00365589" w:rsidRDefault="00365589">
    <w:pPr>
      <w:pStyle w:val="Footer"/>
      <w:jc w:val="right"/>
    </w:pPr>
    <w:r>
      <w:t>AP2.2-</w:t>
    </w:r>
    <w:sdt>
      <w:sdtPr>
        <w:id w:val="-8328307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07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ab/>
          <w:t>APPENDIX 2.2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5A80A" w14:textId="77777777" w:rsidR="00641372" w:rsidRDefault="00641372">
      <w:r>
        <w:separator/>
      </w:r>
    </w:p>
  </w:footnote>
  <w:footnote w:type="continuationSeparator" w:id="0">
    <w:p w14:paraId="4515A80B" w14:textId="77777777" w:rsidR="00641372" w:rsidRDefault="0064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A80E" w14:textId="77777777" w:rsidR="00641372" w:rsidRDefault="00641372">
    <w:pPr>
      <w:rPr>
        <w:b/>
        <w:bCs/>
        <w:iCs/>
      </w:rPr>
    </w:pPr>
  </w:p>
  <w:p w14:paraId="4515A80F" w14:textId="77777777" w:rsidR="00641372" w:rsidRDefault="00641372">
    <w:pPr>
      <w:pStyle w:val="Header"/>
      <w:jc w:val="left"/>
      <w:rPr>
        <w:u w:val="none"/>
      </w:rPr>
    </w:pPr>
    <w:r>
      <w:rPr>
        <w:b/>
        <w:bCs/>
        <w:iCs/>
        <w:u w:val="none"/>
      </w:rPr>
      <w:t>DoD 4000.25-2-M</w:t>
    </w:r>
  </w:p>
  <w:p w14:paraId="4515A810" w14:textId="77777777" w:rsidR="00641372" w:rsidRDefault="00641372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AFBE2" w14:textId="4001E87E" w:rsidR="00C56A69" w:rsidRDefault="00C56A69" w:rsidP="00C56A69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D17075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1AEDDABB" w14:textId="77777777" w:rsidR="00C56A69" w:rsidRDefault="00C56A69" w:rsidP="00C56A69">
    <w:pPr>
      <w:pStyle w:val="Header"/>
      <w:tabs>
        <w:tab w:val="left" w:pos="720"/>
      </w:tabs>
      <w:jc w:val="right"/>
      <w:rPr>
        <w:i/>
        <w:u w:val="none"/>
      </w:rPr>
    </w:pPr>
    <w:r>
      <w:rPr>
        <w:rFonts w:cs="Arial"/>
        <w:i/>
        <w:szCs w:val="24"/>
        <w:u w:val="none"/>
      </w:rPr>
      <w:t>Change 13</w:t>
    </w:r>
  </w:p>
  <w:p w14:paraId="0803B2ED" w14:textId="62EC411E" w:rsidR="00F02BD1" w:rsidRPr="00C56A69" w:rsidRDefault="00F02BD1" w:rsidP="00C56A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297CFE06"/>
    <w:lvl w:ilvl="0">
      <w:start w:val="1"/>
      <w:numFmt w:val="none"/>
      <w:pStyle w:val="Heading1"/>
      <w:suff w:val="nothing"/>
      <w:lvlText w:val="AP2.2 APPENDIX 2.2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966237"/>
    <w:multiLevelType w:val="hybridMultilevel"/>
    <w:tmpl w:val="C9BA7EC4"/>
    <w:lvl w:ilvl="0" w:tplc="A33CDE60">
      <w:start w:val="4"/>
      <w:numFmt w:val="decimal"/>
      <w:lvlText w:val="%1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9" w15:restartNumberingAfterBreak="0">
    <w:nsid w:val="48B923C7"/>
    <w:multiLevelType w:val="hybridMultilevel"/>
    <w:tmpl w:val="621AD8B4"/>
    <w:lvl w:ilvl="0" w:tplc="C5946E64">
      <w:start w:val="2"/>
      <w:numFmt w:val="decimal"/>
      <w:lvlText w:val="%1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56496982"/>
    <w:multiLevelType w:val="hybridMultilevel"/>
    <w:tmpl w:val="35D45738"/>
    <w:lvl w:ilvl="0" w:tplc="6090057E">
      <w:start w:val="3"/>
      <w:numFmt w:val="decimal"/>
      <w:lvlText w:val="%1"/>
      <w:lvlJc w:val="left"/>
      <w:pPr>
        <w:tabs>
          <w:tab w:val="num" w:pos="4524"/>
        </w:tabs>
        <w:ind w:left="4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244"/>
        </w:tabs>
        <w:ind w:left="52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964"/>
        </w:tabs>
        <w:ind w:left="59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84"/>
        </w:tabs>
        <w:ind w:left="6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404"/>
        </w:tabs>
        <w:ind w:left="7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124"/>
        </w:tabs>
        <w:ind w:left="8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44"/>
        </w:tabs>
        <w:ind w:left="8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564"/>
        </w:tabs>
        <w:ind w:left="9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84"/>
        </w:tabs>
        <w:ind w:left="10284" w:hanging="180"/>
      </w:pPr>
    </w:lvl>
  </w:abstractNum>
  <w:abstractNum w:abstractNumId="11" w15:restartNumberingAfterBreak="0">
    <w:nsid w:val="7FD60581"/>
    <w:multiLevelType w:val="hybridMultilevel"/>
    <w:tmpl w:val="2C786A36"/>
    <w:lvl w:ilvl="0" w:tplc="6BE0FF34">
      <w:start w:val="1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13"/>
    <w:rsid w:val="00047625"/>
    <w:rsid w:val="000575B6"/>
    <w:rsid w:val="000873E0"/>
    <w:rsid w:val="00184080"/>
    <w:rsid w:val="001A19C7"/>
    <w:rsid w:val="001E401C"/>
    <w:rsid w:val="001F6E10"/>
    <w:rsid w:val="002236E5"/>
    <w:rsid w:val="0024770B"/>
    <w:rsid w:val="0026121C"/>
    <w:rsid w:val="00267197"/>
    <w:rsid w:val="00282B16"/>
    <w:rsid w:val="0028617F"/>
    <w:rsid w:val="002B1B2A"/>
    <w:rsid w:val="003367E0"/>
    <w:rsid w:val="003458B1"/>
    <w:rsid w:val="00365589"/>
    <w:rsid w:val="003C5142"/>
    <w:rsid w:val="003E7A30"/>
    <w:rsid w:val="00400370"/>
    <w:rsid w:val="00425C85"/>
    <w:rsid w:val="00431F90"/>
    <w:rsid w:val="00477413"/>
    <w:rsid w:val="004A24E6"/>
    <w:rsid w:val="004B640A"/>
    <w:rsid w:val="004C262B"/>
    <w:rsid w:val="004D4937"/>
    <w:rsid w:val="00523C67"/>
    <w:rsid w:val="0052564E"/>
    <w:rsid w:val="00564A8E"/>
    <w:rsid w:val="005B38D9"/>
    <w:rsid w:val="005D22AF"/>
    <w:rsid w:val="00641372"/>
    <w:rsid w:val="006636F4"/>
    <w:rsid w:val="00681FEA"/>
    <w:rsid w:val="006C3004"/>
    <w:rsid w:val="006E6AA0"/>
    <w:rsid w:val="00741368"/>
    <w:rsid w:val="00763677"/>
    <w:rsid w:val="00784863"/>
    <w:rsid w:val="007A7D1D"/>
    <w:rsid w:val="00813982"/>
    <w:rsid w:val="008473B0"/>
    <w:rsid w:val="008B3EFE"/>
    <w:rsid w:val="008C4657"/>
    <w:rsid w:val="00954789"/>
    <w:rsid w:val="00963DF7"/>
    <w:rsid w:val="009E2147"/>
    <w:rsid w:val="00A1435B"/>
    <w:rsid w:val="00A152DB"/>
    <w:rsid w:val="00A23426"/>
    <w:rsid w:val="00A5521D"/>
    <w:rsid w:val="00AA11AE"/>
    <w:rsid w:val="00AB7E82"/>
    <w:rsid w:val="00B34CAB"/>
    <w:rsid w:val="00B92972"/>
    <w:rsid w:val="00C32D9E"/>
    <w:rsid w:val="00C52516"/>
    <w:rsid w:val="00C56A69"/>
    <w:rsid w:val="00C7605D"/>
    <w:rsid w:val="00CC5C95"/>
    <w:rsid w:val="00D17075"/>
    <w:rsid w:val="00D37E31"/>
    <w:rsid w:val="00D52BB2"/>
    <w:rsid w:val="00DB609D"/>
    <w:rsid w:val="00DF3B9C"/>
    <w:rsid w:val="00DF4AD5"/>
    <w:rsid w:val="00E05113"/>
    <w:rsid w:val="00E055EC"/>
    <w:rsid w:val="00E36367"/>
    <w:rsid w:val="00E620D3"/>
    <w:rsid w:val="00E73F4F"/>
    <w:rsid w:val="00ED6424"/>
    <w:rsid w:val="00EF5896"/>
    <w:rsid w:val="00F021C5"/>
    <w:rsid w:val="00F02BD1"/>
    <w:rsid w:val="00F045AD"/>
    <w:rsid w:val="00F842C6"/>
    <w:rsid w:val="00FA1DFA"/>
    <w:rsid w:val="00F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4515A7A7"/>
  <w15:docId w15:val="{05EDF9F4-5695-466F-9A6B-0F4702F3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21D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A5521D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A5521D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A5521D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A5521D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A5521D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A5521D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A5521D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A5521D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A5521D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A5521D"/>
    <w:rPr>
      <w:vertAlign w:val="superscript"/>
    </w:rPr>
  </w:style>
  <w:style w:type="character" w:styleId="FootnoteReference">
    <w:name w:val="footnote reference"/>
    <w:basedOn w:val="DefaultParagraphFont"/>
    <w:semiHidden/>
    <w:rsid w:val="00A5521D"/>
    <w:rPr>
      <w:vertAlign w:val="superscript"/>
    </w:rPr>
  </w:style>
  <w:style w:type="character" w:styleId="PageNumber">
    <w:name w:val="page number"/>
    <w:basedOn w:val="DefaultParagraphFont"/>
    <w:rsid w:val="00A5521D"/>
    <w:rPr>
      <w:rFonts w:ascii="Arial" w:hAnsi="Arial"/>
      <w:b/>
      <w:sz w:val="24"/>
    </w:rPr>
  </w:style>
  <w:style w:type="paragraph" w:styleId="Footer">
    <w:name w:val="footer"/>
    <w:basedOn w:val="Normal"/>
    <w:link w:val="FooterChar"/>
    <w:uiPriority w:val="99"/>
    <w:rsid w:val="00A5521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5521D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A5521D"/>
    <w:rPr>
      <w:sz w:val="20"/>
    </w:rPr>
  </w:style>
  <w:style w:type="paragraph" w:customStyle="1" w:styleId="SubTitle">
    <w:name w:val="Sub Title"/>
    <w:basedOn w:val="Title"/>
    <w:rsid w:val="00A5521D"/>
    <w:rPr>
      <w:u w:val="single"/>
    </w:rPr>
  </w:style>
  <w:style w:type="paragraph" w:styleId="Title">
    <w:name w:val="Title"/>
    <w:basedOn w:val="Normal"/>
    <w:next w:val="Header"/>
    <w:qFormat/>
    <w:rsid w:val="00A5521D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A5521D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A5521D"/>
    <w:pPr>
      <w:spacing w:after="160"/>
      <w:ind w:left="1440"/>
    </w:pPr>
  </w:style>
  <w:style w:type="paragraph" w:styleId="BodyText">
    <w:name w:val="Body Text"/>
    <w:basedOn w:val="Normal"/>
    <w:rsid w:val="00A5521D"/>
    <w:pPr>
      <w:spacing w:after="120"/>
    </w:pPr>
  </w:style>
  <w:style w:type="paragraph" w:styleId="ListBullet">
    <w:name w:val="List Bullet"/>
    <w:basedOn w:val="Normal"/>
    <w:rsid w:val="00A5521D"/>
    <w:pPr>
      <w:spacing w:after="120"/>
      <w:ind w:left="360" w:hanging="360"/>
    </w:pPr>
  </w:style>
  <w:style w:type="paragraph" w:styleId="ListBullet2">
    <w:name w:val="List Bullet 2"/>
    <w:basedOn w:val="Normal"/>
    <w:rsid w:val="00A5521D"/>
    <w:pPr>
      <w:ind w:left="720" w:hanging="360"/>
    </w:pPr>
  </w:style>
  <w:style w:type="paragraph" w:styleId="ListBullet3">
    <w:name w:val="List Bullet 3"/>
    <w:basedOn w:val="Normal"/>
    <w:rsid w:val="00A5521D"/>
    <w:pPr>
      <w:ind w:left="1080" w:hanging="360"/>
    </w:pPr>
  </w:style>
  <w:style w:type="paragraph" w:styleId="ListNumber">
    <w:name w:val="List Number"/>
    <w:basedOn w:val="Normal"/>
    <w:rsid w:val="00A5521D"/>
    <w:pPr>
      <w:ind w:left="360" w:hanging="360"/>
    </w:pPr>
  </w:style>
  <w:style w:type="paragraph" w:styleId="ListNumber2">
    <w:name w:val="List Number 2"/>
    <w:basedOn w:val="Normal"/>
    <w:rsid w:val="00A5521D"/>
    <w:pPr>
      <w:ind w:left="720" w:hanging="360"/>
    </w:pPr>
  </w:style>
  <w:style w:type="paragraph" w:styleId="ListNumber3">
    <w:name w:val="List Number 3"/>
    <w:basedOn w:val="Normal"/>
    <w:rsid w:val="00A5521D"/>
    <w:pPr>
      <w:ind w:left="1080" w:hanging="360"/>
    </w:pPr>
  </w:style>
  <w:style w:type="paragraph" w:styleId="DocumentMap">
    <w:name w:val="Document Map"/>
    <w:basedOn w:val="Normal"/>
    <w:semiHidden/>
    <w:rsid w:val="00A5521D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A5521D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EndnoteText">
    <w:name w:val="endnote text"/>
    <w:basedOn w:val="Normal"/>
    <w:link w:val="EndnoteTextChar"/>
    <w:rsid w:val="000873E0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0873E0"/>
    <w:rPr>
      <w:rFonts w:ascii="Arial" w:hAnsi="Arial"/>
    </w:rPr>
  </w:style>
  <w:style w:type="paragraph" w:styleId="BalloonText">
    <w:name w:val="Balloon Text"/>
    <w:basedOn w:val="Normal"/>
    <w:link w:val="BalloonTextChar"/>
    <w:rsid w:val="00E051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51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1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365589"/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C56A69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ppendi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DEED6-0BA2-414E-99B9-F006DD2CB644}"/>
</file>

<file path=customXml/itemProps2.xml><?xml version="1.0" encoding="utf-8"?>
<ds:datastoreItem xmlns:ds="http://schemas.openxmlformats.org/officeDocument/2006/customXml" ds:itemID="{0B382051-AB5A-4AF7-8DB5-2344EEB79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B6139-4E55-45D6-A325-EA411DF91D73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D0996C-9451-4F5A-B49A-EDCF36C9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Appendix.dot</Template>
  <TotalTime>89</TotalTime>
  <Pages>3</Pages>
  <Words>587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MILSTRAPAP2.2 TYPE OF PHYSICAL INVENTORY/TRANSACTION HISTORY CODE</vt:lpstr>
    </vt:vector>
  </TitlesOfParts>
  <Company>DLA Logistics Management Standards 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AP2.2 TYPE OF PHYSICAL INVENTORY/TRANSACTION HISTORY CODE</dc:title>
  <dc:subject>TYPE OF PHYSICAL INVENTORY/TRANSACTION HISTORY CODES</dc:subject>
  <dc:creator>Mary Jane Johnson</dc:creator>
  <cp:lastModifiedBy>Nguyen, Bao X CTR DLA INFO OPERATIONS (USA)</cp:lastModifiedBy>
  <cp:revision>15</cp:revision>
  <cp:lastPrinted>2012-04-24T14:50:00Z</cp:lastPrinted>
  <dcterms:created xsi:type="dcterms:W3CDTF">2011-12-08T14:58:00Z</dcterms:created>
  <dcterms:modified xsi:type="dcterms:W3CDTF">2019-11-26T19:21:00Z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2321500</vt:r8>
  </property>
</Properties>
</file>