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D1E85" w14:textId="77777777" w:rsidR="00C175E9" w:rsidRPr="002D096B" w:rsidRDefault="00C83FDF" w:rsidP="00F33CED">
      <w:pPr>
        <w:spacing w:after="240"/>
        <w:jc w:val="center"/>
        <w:rPr>
          <w:b/>
          <w:sz w:val="44"/>
          <w:szCs w:val="44"/>
          <w:u w:val="single"/>
        </w:rPr>
      </w:pPr>
      <w:r w:rsidRPr="002D096B">
        <w:rPr>
          <w:b/>
          <w:sz w:val="44"/>
          <w:szCs w:val="44"/>
          <w:u w:val="single"/>
        </w:rPr>
        <w:t>AP2.3</w:t>
      </w:r>
      <w:r w:rsidR="007E4B47" w:rsidRPr="002D096B">
        <w:rPr>
          <w:b/>
          <w:sz w:val="44"/>
          <w:szCs w:val="44"/>
          <w:u w:val="single"/>
        </w:rPr>
        <w:t>.</w:t>
      </w:r>
      <w:r w:rsidRPr="002D096B">
        <w:rPr>
          <w:b/>
          <w:sz w:val="44"/>
          <w:szCs w:val="44"/>
          <w:u w:val="single"/>
        </w:rPr>
        <w:t xml:space="preserve"> </w:t>
      </w:r>
      <w:r w:rsidR="00713476" w:rsidRPr="002D096B">
        <w:rPr>
          <w:b/>
          <w:sz w:val="44"/>
          <w:szCs w:val="44"/>
          <w:u w:val="single"/>
        </w:rPr>
        <w:t>APPENDIX 2.3</w:t>
      </w:r>
    </w:p>
    <w:p w14:paraId="72BD1E86" w14:textId="77777777" w:rsidR="00C175E9" w:rsidRDefault="00C175E9" w:rsidP="00A07185">
      <w:pPr>
        <w:spacing w:after="360"/>
        <w:jc w:val="center"/>
        <w:rPr>
          <w:rFonts w:cs="Arial"/>
          <w:b/>
          <w:bCs/>
          <w:sz w:val="36"/>
          <w:szCs w:val="38"/>
          <w:u w:val="single"/>
        </w:rPr>
      </w:pPr>
      <w:r>
        <w:rPr>
          <w:rFonts w:cs="Arial"/>
          <w:b/>
          <w:bCs/>
          <w:sz w:val="36"/>
          <w:szCs w:val="38"/>
          <w:u w:val="single"/>
        </w:rPr>
        <w:t>OWNERSHIP CODES</w:t>
      </w:r>
    </w:p>
    <w:p w14:paraId="72BD1E88" w14:textId="519F7FED" w:rsidR="00C175E9" w:rsidRPr="00224ADD" w:rsidRDefault="00C175E9" w:rsidP="00EE1880">
      <w:pPr>
        <w:pStyle w:val="Heading3"/>
        <w:numPr>
          <w:ilvl w:val="0"/>
          <w:numId w:val="0"/>
        </w:numPr>
        <w:spacing w:before="0" w:after="240"/>
      </w:pPr>
      <w:r w:rsidRPr="00224ADD">
        <w:rPr>
          <w:bCs/>
        </w:rPr>
        <w:t>NUMBER OF CHARACTERS</w:t>
      </w:r>
      <w:r w:rsidRPr="00224ADD">
        <w:t>:</w:t>
      </w:r>
      <w:r w:rsidRPr="00224ADD">
        <w:tab/>
      </w:r>
      <w:r w:rsidR="00E93FC0">
        <w:tab/>
      </w:r>
      <w:r w:rsidRPr="00224ADD">
        <w:t>One</w:t>
      </w:r>
      <w:bookmarkStart w:id="0" w:name="_GoBack"/>
      <w:bookmarkEnd w:id="0"/>
    </w:p>
    <w:p w14:paraId="72BD1E89" w14:textId="77777777" w:rsidR="00C175E9" w:rsidRPr="00224ADD" w:rsidRDefault="00C175E9" w:rsidP="00EE1880">
      <w:pPr>
        <w:pStyle w:val="Heading3"/>
        <w:numPr>
          <w:ilvl w:val="0"/>
          <w:numId w:val="0"/>
        </w:numPr>
        <w:spacing w:before="0" w:after="240"/>
      </w:pPr>
      <w:r w:rsidRPr="00224ADD">
        <w:rPr>
          <w:bCs/>
        </w:rPr>
        <w:t>TYPE OF CODE:</w:t>
      </w:r>
      <w:r w:rsidRPr="00224ADD">
        <w:rPr>
          <w:bCs/>
        </w:rPr>
        <w:tab/>
      </w:r>
      <w:r w:rsidRPr="00224ADD">
        <w:rPr>
          <w:bCs/>
        </w:rPr>
        <w:tab/>
      </w:r>
      <w:r w:rsidRPr="00224ADD">
        <w:rPr>
          <w:bCs/>
        </w:rPr>
        <w:tab/>
      </w:r>
      <w:r w:rsidRPr="00224ADD">
        <w:rPr>
          <w:bCs/>
        </w:rPr>
        <w:tab/>
      </w:r>
      <w:r w:rsidRPr="00224ADD">
        <w:rPr>
          <w:bCs/>
        </w:rPr>
        <w:tab/>
      </w:r>
      <w:r w:rsidRPr="00224ADD">
        <w:t xml:space="preserve"> Numeric </w:t>
      </w:r>
    </w:p>
    <w:p w14:paraId="72BD1E8A" w14:textId="32BC98C0" w:rsidR="00C175E9" w:rsidRPr="00224ADD" w:rsidRDefault="00C175E9" w:rsidP="00EE1880">
      <w:pPr>
        <w:pStyle w:val="Heading3"/>
        <w:numPr>
          <w:ilvl w:val="0"/>
          <w:numId w:val="0"/>
        </w:numPr>
        <w:spacing w:before="0" w:after="240"/>
        <w:ind w:left="3600" w:hanging="3600"/>
      </w:pPr>
      <w:r w:rsidRPr="00224ADD">
        <w:rPr>
          <w:bCs/>
        </w:rPr>
        <w:t>EXPLANATION:</w:t>
      </w:r>
      <w:r w:rsidRPr="00224ADD">
        <w:rPr>
          <w:bCs/>
        </w:rPr>
        <w:tab/>
      </w:r>
      <w:r w:rsidRPr="00224ADD">
        <w:t>Provides a means of segmenting inventory balances,  accounted for in inventory control records of a Military Service/DLA, but which are owned by others.  Further segmentation of these stocks by purpose code is neither prescribed nor intended.</w:t>
      </w:r>
    </w:p>
    <w:p w14:paraId="72BD1E8B" w14:textId="77777777" w:rsidR="00C175E9" w:rsidRPr="00224ADD" w:rsidRDefault="00C175E9" w:rsidP="00EE1880">
      <w:pPr>
        <w:pStyle w:val="Heading3"/>
        <w:numPr>
          <w:ilvl w:val="0"/>
          <w:numId w:val="0"/>
        </w:numPr>
        <w:spacing w:before="0" w:after="240"/>
      </w:pPr>
      <w:r w:rsidRPr="00224ADD">
        <w:rPr>
          <w:bCs/>
        </w:rPr>
        <w:t>RECORD POSITIONS</w:t>
      </w:r>
      <w:r w:rsidRPr="00224ADD">
        <w:t xml:space="preserve">: </w:t>
      </w:r>
      <w:r w:rsidRPr="00224ADD">
        <w:tab/>
      </w:r>
      <w:r w:rsidRPr="00224ADD">
        <w:tab/>
      </w:r>
      <w:r w:rsidRPr="00224ADD">
        <w:tab/>
        <w:t xml:space="preserve">70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EE1880" w:rsidRPr="00224ADD" w14:paraId="570BCCDA" w14:textId="77777777" w:rsidTr="00745EC0">
        <w:tc>
          <w:tcPr>
            <w:tcW w:w="3618" w:type="dxa"/>
            <w:shd w:val="clear" w:color="auto" w:fill="auto"/>
          </w:tcPr>
          <w:p w14:paraId="27899FBD" w14:textId="77777777" w:rsidR="00EE1880" w:rsidRPr="00224ADD" w:rsidRDefault="00EE1880" w:rsidP="00745EC0">
            <w:pPr>
              <w:tabs>
                <w:tab w:val="left" w:pos="3600"/>
              </w:tabs>
            </w:pPr>
            <w:r w:rsidRPr="00224ADD">
              <w:t>DLMS SEGMENT/QUALIFIER:</w:t>
            </w:r>
          </w:p>
        </w:tc>
        <w:tc>
          <w:tcPr>
            <w:tcW w:w="5958" w:type="dxa"/>
            <w:shd w:val="clear" w:color="auto" w:fill="auto"/>
          </w:tcPr>
          <w:p w14:paraId="65C1CE14" w14:textId="1083DECB" w:rsidR="00EE1880" w:rsidRPr="00224ADD" w:rsidRDefault="00EE1880" w:rsidP="00745EC0">
            <w:pPr>
              <w:tabs>
                <w:tab w:val="left" w:pos="3600"/>
              </w:tabs>
            </w:pPr>
            <w:r w:rsidRPr="00224ADD">
              <w:t>LQ Segment, LQ01 Data Element ID 1270 Qualifier    “A1 – Ownership Code</w:t>
            </w:r>
            <w:r w:rsidR="007E45D5">
              <w:t>”</w:t>
            </w:r>
            <w:r w:rsidRPr="00224ADD">
              <w:t xml:space="preserve"> </w:t>
            </w:r>
          </w:p>
        </w:tc>
      </w:tr>
    </w:tbl>
    <w:p w14:paraId="6130C886" w14:textId="2DB786BB" w:rsidR="00EE1880" w:rsidRDefault="00EE1880" w:rsidP="00EE1880">
      <w:pPr>
        <w:pStyle w:val="Heading3"/>
        <w:numPr>
          <w:ilvl w:val="0"/>
          <w:numId w:val="0"/>
        </w:numPr>
        <w:spacing w:before="0" w:after="240"/>
      </w:pP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90"/>
        <w:gridCol w:w="4050"/>
        <w:gridCol w:w="4500"/>
      </w:tblGrid>
      <w:tr w:rsidR="00C175E9" w:rsidRPr="00224ADD" w14:paraId="72BD1E90" w14:textId="77777777" w:rsidTr="00BB75E0">
        <w:trPr>
          <w:cantSplit/>
          <w:trHeight w:val="403"/>
          <w:tblHeader/>
        </w:trPr>
        <w:tc>
          <w:tcPr>
            <w:tcW w:w="990" w:type="dxa"/>
          </w:tcPr>
          <w:p w14:paraId="72BD1E8D" w14:textId="77777777" w:rsidR="00C175E9" w:rsidRPr="00224ADD" w:rsidRDefault="00C175E9" w:rsidP="00224ADD">
            <w:pPr>
              <w:spacing w:before="120" w:after="120"/>
              <w:rPr>
                <w:rFonts w:cs="Arial"/>
                <w:u w:val="single"/>
              </w:rPr>
            </w:pPr>
            <w:r w:rsidRPr="00224ADD">
              <w:rPr>
                <w:rFonts w:cs="Arial"/>
                <w:bCs/>
                <w:szCs w:val="48"/>
                <w:u w:val="single"/>
              </w:rPr>
              <w:t>CODE</w:t>
            </w:r>
          </w:p>
        </w:tc>
        <w:tc>
          <w:tcPr>
            <w:tcW w:w="4050" w:type="dxa"/>
          </w:tcPr>
          <w:p w14:paraId="72BD1E8E" w14:textId="77777777" w:rsidR="00C175E9" w:rsidRPr="00224ADD" w:rsidRDefault="00C175E9" w:rsidP="00224ADD">
            <w:pPr>
              <w:spacing w:before="120" w:after="120"/>
              <w:rPr>
                <w:rFonts w:cs="Arial"/>
                <w:u w:val="single"/>
              </w:rPr>
            </w:pPr>
            <w:r w:rsidRPr="00224ADD">
              <w:rPr>
                <w:rFonts w:cs="Arial"/>
                <w:bCs/>
                <w:szCs w:val="48"/>
                <w:u w:val="single"/>
              </w:rPr>
              <w:t>TITLE</w:t>
            </w:r>
          </w:p>
        </w:tc>
        <w:tc>
          <w:tcPr>
            <w:tcW w:w="4500" w:type="dxa"/>
          </w:tcPr>
          <w:p w14:paraId="72BD1E8F" w14:textId="77777777" w:rsidR="00C175E9" w:rsidRPr="00224ADD" w:rsidRDefault="00C175E9" w:rsidP="00224ADD">
            <w:pPr>
              <w:spacing w:before="120" w:after="120"/>
              <w:rPr>
                <w:rFonts w:cs="Arial"/>
                <w:u w:val="single"/>
              </w:rPr>
            </w:pPr>
            <w:r w:rsidRPr="00224ADD">
              <w:rPr>
                <w:rFonts w:cs="Arial"/>
                <w:bCs/>
                <w:szCs w:val="48"/>
                <w:u w:val="single"/>
              </w:rPr>
              <w:t>EXPLANATION</w:t>
            </w:r>
          </w:p>
        </w:tc>
      </w:tr>
      <w:tr w:rsidR="00C175E9" w14:paraId="72BD1E94" w14:textId="77777777" w:rsidTr="00BB75E0">
        <w:trPr>
          <w:cantSplit/>
          <w:trHeight w:val="403"/>
        </w:trPr>
        <w:tc>
          <w:tcPr>
            <w:tcW w:w="990" w:type="dxa"/>
          </w:tcPr>
          <w:p w14:paraId="72BD1E91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1</w:t>
            </w:r>
          </w:p>
        </w:tc>
        <w:tc>
          <w:tcPr>
            <w:tcW w:w="4050" w:type="dxa"/>
          </w:tcPr>
          <w:p w14:paraId="72BD1E92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ARMY</w:t>
            </w:r>
          </w:p>
        </w:tc>
        <w:tc>
          <w:tcPr>
            <w:tcW w:w="4500" w:type="dxa"/>
          </w:tcPr>
          <w:p w14:paraId="72BD1E93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Stocks held on inventory control records of a non-Army item manager but owned by Army.</w:t>
            </w:r>
          </w:p>
        </w:tc>
      </w:tr>
      <w:tr w:rsidR="00C175E9" w14:paraId="72BD1E98" w14:textId="77777777" w:rsidTr="00BB75E0">
        <w:trPr>
          <w:cantSplit/>
          <w:trHeight w:val="403"/>
        </w:trPr>
        <w:tc>
          <w:tcPr>
            <w:tcW w:w="990" w:type="dxa"/>
          </w:tcPr>
          <w:p w14:paraId="72BD1E95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2</w:t>
            </w:r>
          </w:p>
        </w:tc>
        <w:tc>
          <w:tcPr>
            <w:tcW w:w="4050" w:type="dxa"/>
          </w:tcPr>
          <w:p w14:paraId="72BD1E96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DEFENSE LOGISTICS AGENCY</w:t>
            </w:r>
          </w:p>
        </w:tc>
        <w:tc>
          <w:tcPr>
            <w:tcW w:w="4500" w:type="dxa"/>
          </w:tcPr>
          <w:p w14:paraId="72BD1E97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Stocks held on inventory control records of a non-DLA item manager but owned by DLA.</w:t>
            </w:r>
          </w:p>
        </w:tc>
      </w:tr>
      <w:tr w:rsidR="00C175E9" w14:paraId="72BD1E9C" w14:textId="77777777" w:rsidTr="00BB75E0">
        <w:trPr>
          <w:cantSplit/>
          <w:trHeight w:val="403"/>
        </w:trPr>
        <w:tc>
          <w:tcPr>
            <w:tcW w:w="990" w:type="dxa"/>
          </w:tcPr>
          <w:p w14:paraId="72BD1E99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3</w:t>
            </w:r>
          </w:p>
        </w:tc>
        <w:tc>
          <w:tcPr>
            <w:tcW w:w="4050" w:type="dxa"/>
          </w:tcPr>
          <w:p w14:paraId="72BD1E9A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OTHERS</w:t>
            </w:r>
          </w:p>
        </w:tc>
        <w:tc>
          <w:tcPr>
            <w:tcW w:w="4500" w:type="dxa"/>
          </w:tcPr>
          <w:p w14:paraId="72BD1E9B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Stocks held on inventory control records of a Service/Agency item manager but owned by an Agency outside of DoD.</w:t>
            </w:r>
          </w:p>
        </w:tc>
      </w:tr>
      <w:tr w:rsidR="00C175E9" w14:paraId="72BD1EA0" w14:textId="77777777" w:rsidTr="00BB75E0">
        <w:trPr>
          <w:cantSplit/>
          <w:trHeight w:val="403"/>
        </w:trPr>
        <w:tc>
          <w:tcPr>
            <w:tcW w:w="990" w:type="dxa"/>
          </w:tcPr>
          <w:p w14:paraId="72BD1E9D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4</w:t>
            </w:r>
          </w:p>
        </w:tc>
        <w:tc>
          <w:tcPr>
            <w:tcW w:w="4050" w:type="dxa"/>
          </w:tcPr>
          <w:p w14:paraId="72BD1E9E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 xml:space="preserve">MARINE CORPS </w:t>
            </w:r>
          </w:p>
        </w:tc>
        <w:tc>
          <w:tcPr>
            <w:tcW w:w="4500" w:type="dxa"/>
          </w:tcPr>
          <w:p w14:paraId="72BD1E9F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Stocks held on inventory control records of a non-Marine Corps item manager but owned by Marine Corps.</w:t>
            </w:r>
          </w:p>
        </w:tc>
      </w:tr>
      <w:tr w:rsidR="00C175E9" w14:paraId="72BD1EA4" w14:textId="77777777" w:rsidTr="00BB75E0">
        <w:trPr>
          <w:cantSplit/>
          <w:trHeight w:val="403"/>
        </w:trPr>
        <w:tc>
          <w:tcPr>
            <w:tcW w:w="990" w:type="dxa"/>
          </w:tcPr>
          <w:p w14:paraId="72BD1EA1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5</w:t>
            </w:r>
          </w:p>
        </w:tc>
        <w:tc>
          <w:tcPr>
            <w:tcW w:w="4050" w:type="dxa"/>
          </w:tcPr>
          <w:p w14:paraId="72BD1EA2" w14:textId="5AD3B40C" w:rsidR="00C175E9" w:rsidRDefault="00C175E9" w:rsidP="00F33CED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 xml:space="preserve">NAVY </w:t>
            </w:r>
          </w:p>
        </w:tc>
        <w:tc>
          <w:tcPr>
            <w:tcW w:w="4500" w:type="dxa"/>
          </w:tcPr>
          <w:p w14:paraId="72BD1EA3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Stocks held on inventory control records of a non-Navy item manager but owned by Navy.</w:t>
            </w:r>
          </w:p>
        </w:tc>
      </w:tr>
      <w:tr w:rsidR="00C175E9" w14:paraId="72BD1EA8" w14:textId="77777777" w:rsidTr="00BB75E0">
        <w:trPr>
          <w:cantSplit/>
          <w:trHeight w:val="403"/>
        </w:trPr>
        <w:tc>
          <w:tcPr>
            <w:tcW w:w="990" w:type="dxa"/>
          </w:tcPr>
          <w:p w14:paraId="72BD1EA5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6</w:t>
            </w:r>
          </w:p>
        </w:tc>
        <w:tc>
          <w:tcPr>
            <w:tcW w:w="4050" w:type="dxa"/>
          </w:tcPr>
          <w:p w14:paraId="72BD1EA6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AIR FORCE</w:t>
            </w:r>
          </w:p>
        </w:tc>
        <w:tc>
          <w:tcPr>
            <w:tcW w:w="4500" w:type="dxa"/>
          </w:tcPr>
          <w:p w14:paraId="72BD1EA7" w14:textId="77777777" w:rsidR="00C175E9" w:rsidRPr="0055377F" w:rsidRDefault="00C175E9" w:rsidP="0055377F">
            <w:pPr>
              <w:spacing w:before="100" w:after="60"/>
              <w:rPr>
                <w:rFonts w:cs="Arial"/>
                <w:szCs w:val="48"/>
              </w:rPr>
            </w:pPr>
            <w:r>
              <w:rPr>
                <w:rFonts w:cs="Arial"/>
                <w:szCs w:val="48"/>
              </w:rPr>
              <w:t xml:space="preserve">Stocks held on inventory control records of a non-Air Force item manager but owned by Air Force. </w:t>
            </w:r>
          </w:p>
        </w:tc>
      </w:tr>
      <w:tr w:rsidR="00C175E9" w14:paraId="72BD1EAC" w14:textId="77777777" w:rsidTr="00BB75E0">
        <w:trPr>
          <w:cantSplit/>
          <w:trHeight w:val="403"/>
        </w:trPr>
        <w:tc>
          <w:tcPr>
            <w:tcW w:w="990" w:type="dxa"/>
          </w:tcPr>
          <w:p w14:paraId="72BD1EA9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lastRenderedPageBreak/>
              <w:t>7</w:t>
            </w:r>
          </w:p>
        </w:tc>
        <w:tc>
          <w:tcPr>
            <w:tcW w:w="4050" w:type="dxa"/>
          </w:tcPr>
          <w:p w14:paraId="72BD1EAA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OTHER DoD</w:t>
            </w:r>
          </w:p>
        </w:tc>
        <w:tc>
          <w:tcPr>
            <w:tcW w:w="4500" w:type="dxa"/>
          </w:tcPr>
          <w:p w14:paraId="72BD1EAB" w14:textId="63DA87FA" w:rsidR="00C175E9" w:rsidRDefault="00C175E9" w:rsidP="00D6353F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Stocks held on inventory control records of a Military Service/</w:t>
            </w:r>
            <w:r w:rsidR="007E45D5">
              <w:rPr>
                <w:rFonts w:cs="Arial"/>
                <w:szCs w:val="48"/>
              </w:rPr>
              <w:t>Defense Threat Reduction Agency</w:t>
            </w:r>
            <w:r w:rsidR="00D6353F">
              <w:rPr>
                <w:rFonts w:cs="Arial"/>
                <w:szCs w:val="48"/>
              </w:rPr>
              <w:t xml:space="preserve"> (DTRA)</w:t>
            </w:r>
            <w:r w:rsidR="007E45D5" w:rsidDel="007E45D5">
              <w:rPr>
                <w:rFonts w:cs="Arial"/>
                <w:szCs w:val="48"/>
              </w:rPr>
              <w:t xml:space="preserve"> </w:t>
            </w:r>
            <w:r>
              <w:rPr>
                <w:rFonts w:cs="Arial"/>
                <w:szCs w:val="48"/>
              </w:rPr>
              <w:t>DLA item manager but owned by a DoD Agency other than a Military Service/</w:t>
            </w:r>
            <w:r w:rsidR="00D6353F">
              <w:rPr>
                <w:rFonts w:cs="Arial"/>
                <w:szCs w:val="48"/>
              </w:rPr>
              <w:t>DTRA</w:t>
            </w:r>
            <w:r>
              <w:rPr>
                <w:rFonts w:cs="Arial"/>
                <w:szCs w:val="48"/>
              </w:rPr>
              <w:t xml:space="preserve"> or DLA. </w:t>
            </w:r>
          </w:p>
        </w:tc>
      </w:tr>
      <w:tr w:rsidR="00C175E9" w14:paraId="72BD1EB0" w14:textId="77777777" w:rsidTr="00BB75E0">
        <w:trPr>
          <w:cantSplit/>
          <w:trHeight w:val="403"/>
        </w:trPr>
        <w:tc>
          <w:tcPr>
            <w:tcW w:w="990" w:type="dxa"/>
          </w:tcPr>
          <w:p w14:paraId="72BD1EAD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8</w:t>
            </w:r>
          </w:p>
        </w:tc>
        <w:tc>
          <w:tcPr>
            <w:tcW w:w="4050" w:type="dxa"/>
          </w:tcPr>
          <w:p w14:paraId="72BD1EAE" w14:textId="2E06B903" w:rsidR="00C175E9" w:rsidRDefault="00F33CED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Grant Aid</w:t>
            </w:r>
          </w:p>
        </w:tc>
        <w:tc>
          <w:tcPr>
            <w:tcW w:w="4500" w:type="dxa"/>
          </w:tcPr>
          <w:p w14:paraId="72BD1EAF" w14:textId="52F46275" w:rsidR="00C175E9" w:rsidRDefault="00C175E9" w:rsidP="00EE1880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 xml:space="preserve">Stocks held on inventory control records of a Service/Agency item manager but owned by </w:t>
            </w:r>
            <w:r w:rsidR="00EE1880">
              <w:rPr>
                <w:rFonts w:cs="Arial"/>
                <w:szCs w:val="48"/>
              </w:rPr>
              <w:t>g</w:t>
            </w:r>
            <w:r w:rsidR="00F33CED">
              <w:rPr>
                <w:rFonts w:cs="Arial"/>
                <w:szCs w:val="48"/>
              </w:rPr>
              <w:t xml:space="preserve">rant </w:t>
            </w:r>
            <w:r w:rsidR="00EE1880">
              <w:rPr>
                <w:rFonts w:cs="Arial"/>
                <w:szCs w:val="48"/>
              </w:rPr>
              <w:t>a</w:t>
            </w:r>
            <w:r w:rsidR="00F33CED">
              <w:rPr>
                <w:rFonts w:cs="Arial"/>
                <w:szCs w:val="48"/>
              </w:rPr>
              <w:t>id</w:t>
            </w:r>
            <w:r>
              <w:rPr>
                <w:rFonts w:cs="Arial"/>
                <w:szCs w:val="48"/>
              </w:rPr>
              <w:t>.</w:t>
            </w:r>
          </w:p>
        </w:tc>
      </w:tr>
      <w:tr w:rsidR="00C175E9" w14:paraId="72BD1EB4" w14:textId="77777777" w:rsidTr="00BB75E0">
        <w:trPr>
          <w:cantSplit/>
          <w:trHeight w:val="403"/>
        </w:trPr>
        <w:tc>
          <w:tcPr>
            <w:tcW w:w="990" w:type="dxa"/>
          </w:tcPr>
          <w:p w14:paraId="72BD1EB1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9</w:t>
            </w:r>
          </w:p>
        </w:tc>
        <w:tc>
          <w:tcPr>
            <w:tcW w:w="4050" w:type="dxa"/>
          </w:tcPr>
          <w:p w14:paraId="72BD1EB2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 xml:space="preserve">OTHER ITEM MANAGER </w:t>
            </w:r>
          </w:p>
        </w:tc>
        <w:tc>
          <w:tcPr>
            <w:tcW w:w="4500" w:type="dxa"/>
          </w:tcPr>
          <w:p w14:paraId="72BD1EB3" w14:textId="77777777" w:rsidR="00C175E9" w:rsidRDefault="00C175E9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  <w:szCs w:val="48"/>
              </w:rPr>
              <w:t>Stocks held on inventory control records of a Service/Agency item manager but owned by another item manager within that same Service/Agency.</w:t>
            </w:r>
          </w:p>
        </w:tc>
      </w:tr>
      <w:tr w:rsidR="00C175E9" w:rsidRPr="00F23D39" w14:paraId="72BD1EB8" w14:textId="77777777" w:rsidTr="00BB75E0">
        <w:trPr>
          <w:cantSplit/>
          <w:trHeight w:val="403"/>
        </w:trPr>
        <w:tc>
          <w:tcPr>
            <w:tcW w:w="990" w:type="dxa"/>
          </w:tcPr>
          <w:p w14:paraId="72BD1EB5" w14:textId="77777777" w:rsidR="00C175E9" w:rsidRPr="00F23D39" w:rsidRDefault="00C175E9">
            <w:pPr>
              <w:spacing w:before="100" w:after="60"/>
              <w:rPr>
                <w:rFonts w:cs="Arial"/>
                <w:color w:val="000000"/>
              </w:rPr>
            </w:pPr>
            <w:r w:rsidRPr="00F23D39">
              <w:rPr>
                <w:rFonts w:cs="Arial"/>
                <w:color w:val="000000"/>
                <w:szCs w:val="48"/>
              </w:rPr>
              <w:t>0</w:t>
            </w:r>
          </w:p>
        </w:tc>
        <w:tc>
          <w:tcPr>
            <w:tcW w:w="4050" w:type="dxa"/>
          </w:tcPr>
          <w:p w14:paraId="72BD1EB6" w14:textId="77777777" w:rsidR="00C175E9" w:rsidRPr="00F23D39" w:rsidRDefault="0055377F">
            <w:pPr>
              <w:spacing w:before="100" w:after="60"/>
              <w:rPr>
                <w:rFonts w:cs="Arial"/>
                <w:color w:val="000000"/>
              </w:rPr>
            </w:pPr>
            <w:r w:rsidRPr="00F23D39">
              <w:rPr>
                <w:rFonts w:cs="Arial"/>
                <w:color w:val="000000"/>
                <w:szCs w:val="48"/>
              </w:rPr>
              <w:t>SPECIAL OPERATIONS FORCES</w:t>
            </w:r>
          </w:p>
        </w:tc>
        <w:tc>
          <w:tcPr>
            <w:tcW w:w="4500" w:type="dxa"/>
          </w:tcPr>
          <w:p w14:paraId="72BD1EB7" w14:textId="77777777" w:rsidR="00C175E9" w:rsidRPr="00F23D39" w:rsidRDefault="00C83FDF">
            <w:pPr>
              <w:spacing w:before="100" w:after="60"/>
              <w:rPr>
                <w:rFonts w:cs="Arial"/>
                <w:color w:val="000000"/>
              </w:rPr>
            </w:pPr>
            <w:r w:rsidRPr="00F23D39">
              <w:rPr>
                <w:rFonts w:cs="Arial"/>
                <w:color w:val="000000"/>
                <w:szCs w:val="48"/>
              </w:rPr>
              <w:t xml:space="preserve">Stocks held on inventory control record of a non-Special Operations Forces item manager but owned by </w:t>
            </w:r>
            <w:r w:rsidR="00924449" w:rsidRPr="00F23D39">
              <w:rPr>
                <w:rFonts w:cs="Arial"/>
                <w:color w:val="000000"/>
                <w:szCs w:val="48"/>
              </w:rPr>
              <w:t>Special</w:t>
            </w:r>
            <w:r w:rsidRPr="00F23D39">
              <w:rPr>
                <w:rFonts w:cs="Arial"/>
                <w:color w:val="000000"/>
                <w:szCs w:val="48"/>
              </w:rPr>
              <w:t xml:space="preserve"> Operations Forces</w:t>
            </w:r>
          </w:p>
        </w:tc>
      </w:tr>
    </w:tbl>
    <w:p w14:paraId="72BD1EB9" w14:textId="47219B3B" w:rsidR="00C175E9" w:rsidRDefault="00C175E9">
      <w:pPr>
        <w:rPr>
          <w:rFonts w:cs="Arial"/>
        </w:rPr>
      </w:pPr>
    </w:p>
    <w:p w14:paraId="6F4D0CA2" w14:textId="77777777" w:rsidR="00745EC0" w:rsidRDefault="00745EC0">
      <w:pPr>
        <w:rPr>
          <w:rFonts w:cs="Arial"/>
        </w:rPr>
      </w:pPr>
    </w:p>
    <w:sectPr w:rsidR="00745EC0" w:rsidSect="00F33CED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D1EBC" w14:textId="77777777" w:rsidR="007E45D5" w:rsidRDefault="007E45D5">
      <w:r>
        <w:separator/>
      </w:r>
    </w:p>
  </w:endnote>
  <w:endnote w:type="continuationSeparator" w:id="0">
    <w:p w14:paraId="72BD1EBD" w14:textId="77777777" w:rsidR="007E45D5" w:rsidRDefault="007E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1EC2" w14:textId="77777777" w:rsidR="007E45D5" w:rsidRDefault="007E45D5" w:rsidP="009F2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BD1EC3" w14:textId="77777777" w:rsidR="007E45D5" w:rsidRDefault="007E45D5">
    <w:pPr>
      <w:pStyle w:val="Footer"/>
      <w:jc w:val="center"/>
      <w:rPr>
        <w:b/>
      </w:rPr>
    </w:pPr>
    <w:r>
      <w:rPr>
        <w:b/>
      </w:rPr>
      <w:t>AP2.3-</w:t>
    </w:r>
  </w:p>
  <w:p w14:paraId="72BD1EC4" w14:textId="77777777" w:rsidR="007E45D5" w:rsidRDefault="007E45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1EC5" w14:textId="48CC4346" w:rsidR="007E45D5" w:rsidRPr="00C83FDF" w:rsidRDefault="007E45D5" w:rsidP="009F27B7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AP2.3-</w:t>
    </w:r>
    <w:r w:rsidRPr="00C83FDF">
      <w:rPr>
        <w:rStyle w:val="PageNumber"/>
        <w:b w:val="0"/>
      </w:rPr>
      <w:fldChar w:fldCharType="begin"/>
    </w:r>
    <w:r w:rsidRPr="00C83FDF">
      <w:rPr>
        <w:rStyle w:val="PageNumber"/>
        <w:b w:val="0"/>
      </w:rPr>
      <w:instrText xml:space="preserve">PAGE  </w:instrText>
    </w:r>
    <w:r w:rsidRPr="00C83FDF">
      <w:rPr>
        <w:rStyle w:val="PageNumber"/>
        <w:b w:val="0"/>
      </w:rPr>
      <w:fldChar w:fldCharType="separate"/>
    </w:r>
    <w:r w:rsidR="00037E7A">
      <w:rPr>
        <w:rStyle w:val="PageNumber"/>
        <w:b w:val="0"/>
        <w:noProof/>
      </w:rPr>
      <w:t>1</w:t>
    </w:r>
    <w:r w:rsidRPr="00C83FDF">
      <w:rPr>
        <w:rStyle w:val="PageNumber"/>
        <w:b w:val="0"/>
      </w:rPr>
      <w:fldChar w:fldCharType="end"/>
    </w:r>
  </w:p>
  <w:p w14:paraId="72BD1EC6" w14:textId="77777777" w:rsidR="007E45D5" w:rsidRPr="00C83FDF" w:rsidRDefault="007E45D5" w:rsidP="00C83FDF">
    <w:pPr>
      <w:pStyle w:val="Footer"/>
      <w:tabs>
        <w:tab w:val="clear" w:pos="4320"/>
        <w:tab w:val="clear" w:pos="8640"/>
      </w:tabs>
      <w:jc w:val="right"/>
    </w:pPr>
    <w:r>
      <w:t>APPENDIX 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1EBA" w14:textId="77777777" w:rsidR="007E45D5" w:rsidRDefault="007E45D5">
      <w:r>
        <w:separator/>
      </w:r>
    </w:p>
  </w:footnote>
  <w:footnote w:type="continuationSeparator" w:id="0">
    <w:p w14:paraId="72BD1EBB" w14:textId="77777777" w:rsidR="007E45D5" w:rsidRDefault="007E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1EBE" w14:textId="77777777" w:rsidR="007E45D5" w:rsidRDefault="007E45D5">
    <w:pPr>
      <w:rPr>
        <w:iCs/>
      </w:rPr>
    </w:pPr>
  </w:p>
  <w:p w14:paraId="72BD1EBF" w14:textId="77777777" w:rsidR="007E45D5" w:rsidRDefault="007E45D5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72BD1EC0" w14:textId="77777777" w:rsidR="007E45D5" w:rsidRDefault="007E45D5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ADAC" w14:textId="0E2AAFC8" w:rsidR="00D22BB3" w:rsidRDefault="00D22BB3" w:rsidP="00D22BB3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037E7A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47AA5967" w14:textId="77777777" w:rsidR="00D22BB3" w:rsidRDefault="00D22BB3" w:rsidP="00D22BB3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72BD1EC1" w14:textId="4ADD43ED" w:rsidR="007E45D5" w:rsidRPr="00D22BB3" w:rsidRDefault="007E45D5" w:rsidP="00D22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B526F7B6"/>
    <w:lvl w:ilvl="0">
      <w:start w:val="1"/>
      <w:numFmt w:val="none"/>
      <w:pStyle w:val="Heading1"/>
      <w:suff w:val="nothing"/>
      <w:lvlText w:val="AP2.3 APPENDIX 2.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3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3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3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3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3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3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3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3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9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1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5E9"/>
    <w:rsid w:val="00003E7C"/>
    <w:rsid w:val="00010026"/>
    <w:rsid w:val="00034762"/>
    <w:rsid w:val="00037E7A"/>
    <w:rsid w:val="00187176"/>
    <w:rsid w:val="001D54C6"/>
    <w:rsid w:val="00224ADD"/>
    <w:rsid w:val="00271D8F"/>
    <w:rsid w:val="002A3473"/>
    <w:rsid w:val="002D096B"/>
    <w:rsid w:val="002E0638"/>
    <w:rsid w:val="004F495A"/>
    <w:rsid w:val="004F7BDF"/>
    <w:rsid w:val="0055377F"/>
    <w:rsid w:val="005732DA"/>
    <w:rsid w:val="005B27BB"/>
    <w:rsid w:val="00711301"/>
    <w:rsid w:val="00713476"/>
    <w:rsid w:val="00735452"/>
    <w:rsid w:val="00745EC0"/>
    <w:rsid w:val="00780B09"/>
    <w:rsid w:val="007E45D5"/>
    <w:rsid w:val="007E4B47"/>
    <w:rsid w:val="008C4BA4"/>
    <w:rsid w:val="008F78DD"/>
    <w:rsid w:val="00907D00"/>
    <w:rsid w:val="00924449"/>
    <w:rsid w:val="009B2B9C"/>
    <w:rsid w:val="009F27B7"/>
    <w:rsid w:val="00A07185"/>
    <w:rsid w:val="00A92FDC"/>
    <w:rsid w:val="00B046C1"/>
    <w:rsid w:val="00B4009E"/>
    <w:rsid w:val="00B715CA"/>
    <w:rsid w:val="00BB75E0"/>
    <w:rsid w:val="00BD0863"/>
    <w:rsid w:val="00C175E9"/>
    <w:rsid w:val="00C83FDF"/>
    <w:rsid w:val="00CE4A6C"/>
    <w:rsid w:val="00D17793"/>
    <w:rsid w:val="00D22BB3"/>
    <w:rsid w:val="00D6353F"/>
    <w:rsid w:val="00D8555C"/>
    <w:rsid w:val="00DB605B"/>
    <w:rsid w:val="00E0392E"/>
    <w:rsid w:val="00E60070"/>
    <w:rsid w:val="00E93FC0"/>
    <w:rsid w:val="00EC3201"/>
    <w:rsid w:val="00EE0508"/>
    <w:rsid w:val="00EE1880"/>
    <w:rsid w:val="00F23D39"/>
    <w:rsid w:val="00F33CED"/>
    <w:rsid w:val="00F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D1E85"/>
  <w15:docId w15:val="{231F8CF1-6933-4D03-82F2-7B462016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DF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F7BDF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F7BDF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4F7BDF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F7BDF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4F7BDF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4F7BDF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F7BDF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F7BDF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4F7BDF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4F7BDF"/>
    <w:rPr>
      <w:vertAlign w:val="superscript"/>
    </w:rPr>
  </w:style>
  <w:style w:type="character" w:styleId="FootnoteReference">
    <w:name w:val="footnote reference"/>
    <w:semiHidden/>
    <w:rsid w:val="004F7BDF"/>
    <w:rPr>
      <w:vertAlign w:val="superscript"/>
    </w:rPr>
  </w:style>
  <w:style w:type="character" w:styleId="PageNumber">
    <w:name w:val="page number"/>
    <w:rsid w:val="004F7BDF"/>
    <w:rPr>
      <w:rFonts w:ascii="Arial" w:hAnsi="Arial"/>
      <w:b/>
      <w:sz w:val="24"/>
    </w:rPr>
  </w:style>
  <w:style w:type="paragraph" w:styleId="Footer">
    <w:name w:val="footer"/>
    <w:basedOn w:val="Normal"/>
    <w:rsid w:val="004F7BD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F7BDF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F7BDF"/>
    <w:rPr>
      <w:sz w:val="20"/>
    </w:rPr>
  </w:style>
  <w:style w:type="paragraph" w:customStyle="1" w:styleId="SubTitle">
    <w:name w:val="Sub Title"/>
    <w:basedOn w:val="Title"/>
    <w:rsid w:val="004F7BDF"/>
    <w:rPr>
      <w:u w:val="single"/>
    </w:rPr>
  </w:style>
  <w:style w:type="paragraph" w:styleId="Title">
    <w:name w:val="Title"/>
    <w:basedOn w:val="Normal"/>
    <w:next w:val="Header"/>
    <w:qFormat/>
    <w:rsid w:val="004F7BDF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F7BDF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F7BDF"/>
    <w:pPr>
      <w:spacing w:after="160"/>
      <w:ind w:left="1440"/>
    </w:pPr>
  </w:style>
  <w:style w:type="paragraph" w:styleId="BodyText">
    <w:name w:val="Body Text"/>
    <w:basedOn w:val="Normal"/>
    <w:rsid w:val="004F7BDF"/>
    <w:pPr>
      <w:spacing w:after="120"/>
    </w:pPr>
  </w:style>
  <w:style w:type="paragraph" w:styleId="ListBullet">
    <w:name w:val="List Bullet"/>
    <w:basedOn w:val="Normal"/>
    <w:rsid w:val="004F7BDF"/>
    <w:pPr>
      <w:spacing w:after="120"/>
      <w:ind w:left="360" w:hanging="360"/>
    </w:pPr>
  </w:style>
  <w:style w:type="paragraph" w:styleId="ListBullet2">
    <w:name w:val="List Bullet 2"/>
    <w:basedOn w:val="Normal"/>
    <w:rsid w:val="004F7BDF"/>
    <w:pPr>
      <w:ind w:left="720" w:hanging="360"/>
    </w:pPr>
  </w:style>
  <w:style w:type="paragraph" w:styleId="ListBullet3">
    <w:name w:val="List Bullet 3"/>
    <w:basedOn w:val="Normal"/>
    <w:rsid w:val="004F7BDF"/>
    <w:pPr>
      <w:ind w:left="1080" w:hanging="360"/>
    </w:pPr>
  </w:style>
  <w:style w:type="paragraph" w:styleId="ListNumber">
    <w:name w:val="List Number"/>
    <w:basedOn w:val="Normal"/>
    <w:rsid w:val="004F7BDF"/>
    <w:pPr>
      <w:ind w:left="360" w:hanging="360"/>
    </w:pPr>
  </w:style>
  <w:style w:type="paragraph" w:styleId="ListNumber2">
    <w:name w:val="List Number 2"/>
    <w:basedOn w:val="Normal"/>
    <w:rsid w:val="004F7BDF"/>
    <w:pPr>
      <w:ind w:left="720" w:hanging="360"/>
    </w:pPr>
  </w:style>
  <w:style w:type="paragraph" w:styleId="ListNumber3">
    <w:name w:val="List Number 3"/>
    <w:basedOn w:val="Normal"/>
    <w:rsid w:val="004F7BDF"/>
    <w:pPr>
      <w:ind w:left="1080" w:hanging="360"/>
    </w:pPr>
  </w:style>
  <w:style w:type="paragraph" w:styleId="DocumentMap">
    <w:name w:val="Document Map"/>
    <w:basedOn w:val="Normal"/>
    <w:semiHidden/>
    <w:rsid w:val="004F7BDF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F7BDF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rsid w:val="00F33C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CED"/>
    <w:rPr>
      <w:sz w:val="20"/>
    </w:rPr>
  </w:style>
  <w:style w:type="character" w:customStyle="1" w:styleId="CommentTextChar">
    <w:name w:val="Comment Text Char"/>
    <w:link w:val="CommentText"/>
    <w:rsid w:val="00F33CE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33CED"/>
    <w:rPr>
      <w:b/>
      <w:bCs/>
    </w:rPr>
  </w:style>
  <w:style w:type="character" w:customStyle="1" w:styleId="CommentSubjectChar">
    <w:name w:val="Comment Subject Char"/>
    <w:link w:val="CommentSubject"/>
    <w:rsid w:val="00F33CE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F33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3C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D22BB3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50697186-2DCF-4005-A0B0-7A4DE4877D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97BD7-3E5C-439E-8A40-A03CDA585164}"/>
</file>

<file path=customXml/itemProps3.xml><?xml version="1.0" encoding="utf-8"?>
<ds:datastoreItem xmlns:ds="http://schemas.openxmlformats.org/officeDocument/2006/customXml" ds:itemID="{9ED059BF-9A32-4C90-B972-B2CE3AEED3BD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42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AP2.3  OWNERSHIP CODES</vt:lpstr>
    </vt:vector>
  </TitlesOfParts>
  <Company>DLA Logistics Management Standards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AP2.3  OWNERSHIP CODES</dc:title>
  <dc:subject>OWNERSHIP CODES</dc:subject>
  <dc:creator>Mary Jane Johnson</dc:creator>
  <cp:keywords/>
  <cp:lastModifiedBy>Nguyen, Bao X CTR DLA INFO OPERATIONS (USA)</cp:lastModifiedBy>
  <cp:revision>17</cp:revision>
  <cp:lastPrinted>2001-07-23T18:01:00Z</cp:lastPrinted>
  <dcterms:created xsi:type="dcterms:W3CDTF">2009-12-16T16:47:00Z</dcterms:created>
  <dcterms:modified xsi:type="dcterms:W3CDTF">2019-11-26T19:22:00Z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2321600</vt:r8>
  </property>
</Properties>
</file>