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57D8" w14:textId="77777777" w:rsidR="00A45D9D" w:rsidRPr="00B853B7" w:rsidRDefault="00A45D9D" w:rsidP="00413B72">
      <w:pPr>
        <w:spacing w:after="240"/>
        <w:ind w:left="72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B853B7">
        <w:rPr>
          <w:rFonts w:ascii="Arial" w:hAnsi="Arial" w:cs="Arial"/>
          <w:b/>
          <w:bCs/>
          <w:sz w:val="44"/>
          <w:szCs w:val="44"/>
          <w:u w:val="single"/>
        </w:rPr>
        <w:t>AP 2.9</w:t>
      </w:r>
      <w:r w:rsidR="00DF6604" w:rsidRPr="00B853B7">
        <w:rPr>
          <w:rFonts w:ascii="Arial" w:hAnsi="Arial" w:cs="Arial"/>
          <w:b/>
          <w:bCs/>
          <w:sz w:val="44"/>
          <w:szCs w:val="44"/>
          <w:u w:val="single"/>
        </w:rPr>
        <w:t>.</w:t>
      </w:r>
      <w:r w:rsidRPr="00B853B7">
        <w:rPr>
          <w:rFonts w:ascii="Arial" w:hAnsi="Arial" w:cs="Arial"/>
          <w:b/>
          <w:bCs/>
          <w:sz w:val="44"/>
          <w:szCs w:val="44"/>
          <w:u w:val="single"/>
        </w:rPr>
        <w:t xml:space="preserve"> APPENDIX 2.9</w:t>
      </w:r>
    </w:p>
    <w:p w14:paraId="38A157D9" w14:textId="77777777" w:rsidR="00A45D9D" w:rsidRDefault="00A45D9D" w:rsidP="00B853B7">
      <w:pPr>
        <w:spacing w:after="360"/>
        <w:ind w:firstLine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45D9D">
        <w:rPr>
          <w:rFonts w:ascii="Arial" w:hAnsi="Arial" w:cs="Arial"/>
          <w:b/>
          <w:bCs/>
          <w:sz w:val="36"/>
          <w:szCs w:val="36"/>
          <w:u w:val="single"/>
        </w:rPr>
        <w:t>ASSET STATUS REPORTING CODES</w:t>
      </w:r>
    </w:p>
    <w:tbl>
      <w:tblPr>
        <w:tblW w:w="104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92"/>
        <w:gridCol w:w="5032"/>
      </w:tblGrid>
      <w:tr w:rsidR="00B02B1D" w:rsidRPr="00B02B1D" w14:paraId="2A87606C" w14:textId="77777777" w:rsidTr="00AA1CA0">
        <w:trPr>
          <w:tblHeader/>
          <w:jc w:val="center"/>
        </w:trPr>
        <w:tc>
          <w:tcPr>
            <w:tcW w:w="5392" w:type="dxa"/>
            <w:shd w:val="clear" w:color="auto" w:fill="auto"/>
          </w:tcPr>
          <w:p w14:paraId="2D350062" w14:textId="77777777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>NUMBER OF CHARACTERS:</w:t>
            </w:r>
          </w:p>
        </w:tc>
        <w:tc>
          <w:tcPr>
            <w:tcW w:w="5032" w:type="dxa"/>
            <w:shd w:val="clear" w:color="auto" w:fill="auto"/>
          </w:tcPr>
          <w:p w14:paraId="655C8C83" w14:textId="77777777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>One</w:t>
            </w:r>
          </w:p>
        </w:tc>
      </w:tr>
      <w:tr w:rsidR="00B02B1D" w:rsidRPr="00B02B1D" w14:paraId="2A8F7915" w14:textId="77777777" w:rsidTr="00AA1CA0">
        <w:trPr>
          <w:jc w:val="center"/>
        </w:trPr>
        <w:tc>
          <w:tcPr>
            <w:tcW w:w="5392" w:type="dxa"/>
            <w:shd w:val="clear" w:color="auto" w:fill="auto"/>
          </w:tcPr>
          <w:p w14:paraId="268AD91E" w14:textId="77777777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>TYPE OF CODE:</w:t>
            </w:r>
          </w:p>
        </w:tc>
        <w:tc>
          <w:tcPr>
            <w:tcW w:w="5032" w:type="dxa"/>
            <w:shd w:val="clear" w:color="auto" w:fill="auto"/>
          </w:tcPr>
          <w:p w14:paraId="37B80B1F" w14:textId="77777777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>Alpha/Numeric</w:t>
            </w:r>
          </w:p>
        </w:tc>
      </w:tr>
      <w:tr w:rsidR="00B02B1D" w:rsidRPr="00B02B1D" w14:paraId="01BA2838" w14:textId="77777777" w:rsidTr="00AA1CA0">
        <w:trPr>
          <w:jc w:val="center"/>
        </w:trPr>
        <w:tc>
          <w:tcPr>
            <w:tcW w:w="5392" w:type="dxa"/>
            <w:shd w:val="clear" w:color="auto" w:fill="auto"/>
          </w:tcPr>
          <w:p w14:paraId="5D24E5C8" w14:textId="77777777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>EXPLANATION:</w:t>
            </w:r>
          </w:p>
        </w:tc>
        <w:tc>
          <w:tcPr>
            <w:tcW w:w="5032" w:type="dxa"/>
            <w:shd w:val="clear" w:color="auto" w:fill="auto"/>
          </w:tcPr>
          <w:p w14:paraId="6B900A9C" w14:textId="77777777" w:rsidR="00B02B1D" w:rsidRPr="00443BCB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 xml:space="preserve">Identifies in the </w:t>
            </w:r>
            <w:r w:rsidRPr="00A437CC">
              <w:rPr>
                <w:rFonts w:ascii="Arial" w:hAnsi="Arial" w:cs="Arial"/>
                <w:bCs/>
                <w:iCs/>
                <w:sz w:val="24"/>
                <w:szCs w:val="24"/>
              </w:rPr>
              <w:t>Asset Status Reporting</w:t>
            </w:r>
            <w:r w:rsidRPr="00A437C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437CC">
              <w:rPr>
                <w:rFonts w:ascii="Arial" w:hAnsi="Arial" w:cs="Arial"/>
                <w:sz w:val="24"/>
                <w:szCs w:val="24"/>
              </w:rPr>
              <w:t>Request, the type of reporting required and indicates whether a request is for commencement, change, or termination of reporting.  Each new code will update the reporting requirement.  Identifies the type of reporting being furnished in asset status reports.</w:t>
            </w:r>
            <w:r w:rsidRPr="00443BCB">
              <w:rPr>
                <w:rFonts w:ascii="Arial" w:hAnsi="Arial" w:cs="Arial"/>
                <w:sz w:val="24"/>
                <w:szCs w:val="24"/>
              </w:rPr>
              <w:t xml:space="preserve">  The asset status reporting codes are applicable to:</w:t>
            </w:r>
          </w:p>
          <w:p w14:paraId="0FF40487" w14:textId="77777777" w:rsidR="00B02B1D" w:rsidRPr="00443BCB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ab/>
              <w:t>Asset Status Reporting Request transaction (DLMS 846I with BIA02 Report Type Code TI).</w:t>
            </w:r>
          </w:p>
          <w:p w14:paraId="1F5E5A47" w14:textId="77777777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ab/>
              <w:t>Asset Status Reporting (Base, Post, Camp, and Station Level Use) transaction (DLMS 846I with BIA02 Report Type Code TJ) (referred to as asset status reporting in the code explanations)</w:t>
            </w:r>
          </w:p>
        </w:tc>
        <w:bookmarkStart w:id="0" w:name="_GoBack"/>
        <w:bookmarkEnd w:id="0"/>
      </w:tr>
      <w:tr w:rsidR="00B02B1D" w:rsidRPr="00B02B1D" w14:paraId="505D2E06" w14:textId="77777777" w:rsidTr="00AA1CA0">
        <w:trPr>
          <w:jc w:val="center"/>
        </w:trPr>
        <w:tc>
          <w:tcPr>
            <w:tcW w:w="5392" w:type="dxa"/>
            <w:shd w:val="clear" w:color="auto" w:fill="auto"/>
          </w:tcPr>
          <w:p w14:paraId="5AFE8EB8" w14:textId="77777777" w:rsidR="00B02B1D" w:rsidRPr="00C15BBD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3BCB">
              <w:rPr>
                <w:rFonts w:ascii="Arial" w:hAnsi="Arial" w:cs="Arial"/>
                <w:sz w:val="24"/>
                <w:szCs w:val="24"/>
                <w:lang w:val="fr-FR"/>
              </w:rPr>
              <w:t>LEGACY MILSTRAP DOCUMENT IDENTIFIER CODE (DIC):</w:t>
            </w:r>
          </w:p>
        </w:tc>
        <w:tc>
          <w:tcPr>
            <w:tcW w:w="5032" w:type="dxa"/>
            <w:shd w:val="clear" w:color="auto" w:fill="auto"/>
          </w:tcPr>
          <w:p w14:paraId="72B622AD" w14:textId="77777777" w:rsidR="00B02B1D" w:rsidRPr="00443BCB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>DZE, DZF</w:t>
            </w:r>
          </w:p>
        </w:tc>
      </w:tr>
      <w:tr w:rsidR="00B02B1D" w:rsidRPr="00B02B1D" w14:paraId="13EE8D06" w14:textId="77777777" w:rsidTr="00AA1CA0">
        <w:trPr>
          <w:jc w:val="center"/>
        </w:trPr>
        <w:tc>
          <w:tcPr>
            <w:tcW w:w="5392" w:type="dxa"/>
            <w:shd w:val="clear" w:color="auto" w:fill="auto"/>
          </w:tcPr>
          <w:p w14:paraId="21BB7AAB" w14:textId="77777777" w:rsidR="00B02B1D" w:rsidRPr="00C15BBD" w:rsidRDefault="00B02B1D" w:rsidP="00A437CC">
            <w:pPr>
              <w:spacing w:before="60" w:after="6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 xml:space="preserve">LEGACY RECORD POSITION (rp):  </w:t>
            </w:r>
          </w:p>
        </w:tc>
        <w:tc>
          <w:tcPr>
            <w:tcW w:w="5032" w:type="dxa"/>
            <w:shd w:val="clear" w:color="auto" w:fill="auto"/>
          </w:tcPr>
          <w:p w14:paraId="305DA779" w14:textId="77777777" w:rsidR="00B02B1D" w:rsidRPr="00443BCB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02B1D" w:rsidRPr="00B02B1D" w14:paraId="47BE17D5" w14:textId="77777777" w:rsidTr="00AA1CA0">
        <w:trPr>
          <w:jc w:val="center"/>
        </w:trPr>
        <w:tc>
          <w:tcPr>
            <w:tcW w:w="5392" w:type="dxa"/>
            <w:shd w:val="clear" w:color="auto" w:fill="auto"/>
          </w:tcPr>
          <w:p w14:paraId="41A4DE45" w14:textId="77777777" w:rsidR="00B02B1D" w:rsidRPr="00C15BBD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>DLMS IMPLEMENTATION CONVENTION (IC):</w:t>
            </w:r>
          </w:p>
        </w:tc>
        <w:tc>
          <w:tcPr>
            <w:tcW w:w="5032" w:type="dxa"/>
            <w:shd w:val="clear" w:color="auto" w:fill="auto"/>
          </w:tcPr>
          <w:p w14:paraId="6CEFD4A8" w14:textId="77777777" w:rsidR="00B02B1D" w:rsidRPr="00443BCB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43BCB">
              <w:rPr>
                <w:rFonts w:ascii="Arial" w:hAnsi="Arial" w:cs="Arial"/>
                <w:sz w:val="24"/>
                <w:szCs w:val="24"/>
              </w:rPr>
              <w:t xml:space="preserve">846I </w:t>
            </w:r>
          </w:p>
        </w:tc>
      </w:tr>
      <w:tr w:rsidR="00B02B1D" w:rsidRPr="00B02B1D" w14:paraId="59C0DD08" w14:textId="77777777" w:rsidTr="00AA1CA0">
        <w:trPr>
          <w:jc w:val="center"/>
        </w:trPr>
        <w:tc>
          <w:tcPr>
            <w:tcW w:w="5392" w:type="dxa"/>
            <w:shd w:val="clear" w:color="auto" w:fill="auto"/>
          </w:tcPr>
          <w:p w14:paraId="62A5284F" w14:textId="77777777" w:rsidR="00B02B1D" w:rsidRPr="00A437CC" w:rsidRDefault="00B02B1D" w:rsidP="00A437CC">
            <w:pPr>
              <w:spacing w:before="60" w:after="6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>DLMS SEGMENT/QUALIFIER:</w:t>
            </w:r>
          </w:p>
        </w:tc>
        <w:tc>
          <w:tcPr>
            <w:tcW w:w="5032" w:type="dxa"/>
            <w:shd w:val="clear" w:color="auto" w:fill="auto"/>
          </w:tcPr>
          <w:p w14:paraId="7508480C" w14:textId="051438A8" w:rsidR="00B02B1D" w:rsidRPr="00A437CC" w:rsidRDefault="00B02B1D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37CC">
              <w:rPr>
                <w:rFonts w:ascii="Arial" w:hAnsi="Arial" w:cs="Arial"/>
                <w:sz w:val="24"/>
                <w:szCs w:val="24"/>
              </w:rPr>
              <w:t xml:space="preserve">LQ Segment, </w:t>
            </w:r>
            <w:r w:rsidRPr="00443BCB">
              <w:rPr>
                <w:rFonts w:ascii="Arial" w:hAnsi="Arial" w:cs="Arial"/>
                <w:sz w:val="24"/>
                <w:szCs w:val="24"/>
              </w:rPr>
              <w:t>2/</w:t>
            </w:r>
            <w:r w:rsidRPr="00A437CC">
              <w:rPr>
                <w:rFonts w:ascii="Arial" w:hAnsi="Arial" w:cs="Arial"/>
                <w:sz w:val="24"/>
                <w:szCs w:val="24"/>
              </w:rPr>
              <w:t>LQ01</w:t>
            </w:r>
            <w:r w:rsidRPr="00443BCB">
              <w:rPr>
                <w:rFonts w:ascii="Arial" w:hAnsi="Arial" w:cs="Arial"/>
                <w:sz w:val="24"/>
                <w:szCs w:val="24"/>
              </w:rPr>
              <w:t>/270</w:t>
            </w:r>
            <w:r w:rsidRPr="00A437CC">
              <w:rPr>
                <w:rFonts w:ascii="Arial" w:hAnsi="Arial" w:cs="Arial"/>
                <w:sz w:val="24"/>
                <w:szCs w:val="24"/>
              </w:rPr>
              <w:t xml:space="preserve"> Qualifier “EA – Asset Status or Transaction Reporting Code”</w:t>
            </w:r>
          </w:p>
        </w:tc>
      </w:tr>
    </w:tbl>
    <w:p w14:paraId="7F0A3063" w14:textId="77777777" w:rsidR="00A437CC" w:rsidRPr="00A437CC" w:rsidRDefault="00A437CC" w:rsidP="00A437CC">
      <w:pPr>
        <w:rPr>
          <w:vanish/>
        </w:rPr>
      </w:pPr>
    </w:p>
    <w:tbl>
      <w:tblPr>
        <w:tblW w:w="9720" w:type="dxa"/>
        <w:jc w:val="center"/>
        <w:tblLook w:val="0000" w:firstRow="0" w:lastRow="0" w:firstColumn="0" w:lastColumn="0" w:noHBand="0" w:noVBand="0"/>
      </w:tblPr>
      <w:tblGrid>
        <w:gridCol w:w="2160"/>
        <w:gridCol w:w="7560"/>
      </w:tblGrid>
      <w:tr w:rsidR="00A45D9D" w:rsidRPr="00E31C4B" w14:paraId="38A157E5" w14:textId="77777777" w:rsidTr="00A437CC">
        <w:trPr>
          <w:cantSplit/>
          <w:tblHeader/>
          <w:jc w:val="center"/>
        </w:trPr>
        <w:tc>
          <w:tcPr>
            <w:tcW w:w="2160" w:type="dxa"/>
          </w:tcPr>
          <w:p w14:paraId="38A157E3" w14:textId="77777777" w:rsidR="00A45D9D" w:rsidRPr="00E31C4B" w:rsidRDefault="00A45D9D" w:rsidP="00E31C4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31C4B">
              <w:rPr>
                <w:rFonts w:ascii="Arial" w:hAnsi="Arial" w:cs="Arial"/>
                <w:bCs/>
                <w:sz w:val="24"/>
                <w:szCs w:val="24"/>
                <w:u w:val="single"/>
              </w:rPr>
              <w:t>CODE</w:t>
            </w:r>
          </w:p>
        </w:tc>
        <w:tc>
          <w:tcPr>
            <w:tcW w:w="7560" w:type="dxa"/>
          </w:tcPr>
          <w:p w14:paraId="38A157E4" w14:textId="77777777" w:rsidR="00A45D9D" w:rsidRPr="00E31C4B" w:rsidRDefault="00A45D9D" w:rsidP="00E31C4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31C4B">
              <w:rPr>
                <w:rFonts w:ascii="Arial" w:hAnsi="Arial" w:cs="Arial"/>
                <w:bCs/>
                <w:sz w:val="24"/>
                <w:szCs w:val="24"/>
                <w:u w:val="single"/>
              </w:rPr>
              <w:t>EXPLANATION</w:t>
            </w:r>
          </w:p>
        </w:tc>
      </w:tr>
      <w:tr w:rsidR="00A45D9D" w:rsidRPr="008E49AB" w14:paraId="38A157E8" w14:textId="77777777" w:rsidTr="00A437CC">
        <w:trPr>
          <w:cantSplit/>
          <w:jc w:val="center"/>
        </w:trPr>
        <w:tc>
          <w:tcPr>
            <w:tcW w:w="2160" w:type="dxa"/>
          </w:tcPr>
          <w:p w14:paraId="38A157E6" w14:textId="77777777" w:rsidR="00A45D9D" w:rsidRPr="008E49AB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9AB">
              <w:rPr>
                <w:rFonts w:ascii="Arial" w:hAnsi="Arial" w:cs="Arial"/>
                <w:bCs/>
                <w:sz w:val="24"/>
                <w:szCs w:val="24"/>
              </w:rPr>
              <w:t>A  and  B</w:t>
            </w:r>
          </w:p>
        </w:tc>
        <w:tc>
          <w:tcPr>
            <w:tcW w:w="7560" w:type="dxa"/>
          </w:tcPr>
          <w:p w14:paraId="38A157E7" w14:textId="77777777" w:rsidR="00A45D9D" w:rsidRPr="008E49AB" w:rsidRDefault="00A45D9D" w:rsidP="00A45D9D">
            <w:pPr>
              <w:spacing w:before="60" w:after="60"/>
              <w:rPr>
                <w:rFonts w:ascii="Arial" w:hAnsi="Arial" w:cs="Arial"/>
                <w:iCs/>
                <w:sz w:val="24"/>
                <w:szCs w:val="24"/>
              </w:rPr>
            </w:pPr>
            <w:r w:rsidRPr="008E49AB">
              <w:rPr>
                <w:rFonts w:ascii="Arial" w:hAnsi="Arial" w:cs="Arial"/>
                <w:bCs/>
                <w:iCs/>
                <w:sz w:val="24"/>
                <w:szCs w:val="24"/>
              </w:rPr>
              <w:t>Reserved for future assignment by DoD.</w:t>
            </w:r>
          </w:p>
        </w:tc>
      </w:tr>
      <w:tr w:rsidR="00A45D9D" w:rsidRPr="00A45D9D" w14:paraId="38A157EB" w14:textId="77777777" w:rsidTr="00A437CC">
        <w:trPr>
          <w:cantSplit/>
          <w:jc w:val="center"/>
        </w:trPr>
        <w:tc>
          <w:tcPr>
            <w:tcW w:w="2160" w:type="dxa"/>
          </w:tcPr>
          <w:p w14:paraId="38A157E9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560" w:type="dxa"/>
          </w:tcPr>
          <w:p w14:paraId="38A157EA" w14:textId="4EF930EE" w:rsidR="00A45D9D" w:rsidRPr="00A45D9D" w:rsidRDefault="00792351" w:rsidP="0079235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2351">
              <w:rPr>
                <w:rFonts w:ascii="Arial" w:hAnsi="Arial" w:cs="Arial"/>
                <w:sz w:val="24"/>
                <w:szCs w:val="24"/>
              </w:rPr>
              <w:t xml:space="preserve">Commence daily asset status reporting on the date indicated in </w:t>
            </w:r>
            <w:r w:rsidRPr="00443BCB">
              <w:rPr>
                <w:rFonts w:ascii="Arial" w:hAnsi="Arial" w:cs="Arial"/>
                <w:sz w:val="24"/>
                <w:szCs w:val="24"/>
              </w:rPr>
              <w:t>the asset status reporting request</w:t>
            </w:r>
            <w:r w:rsidRPr="00792351">
              <w:rPr>
                <w:rFonts w:ascii="Arial" w:hAnsi="Arial" w:cs="Arial"/>
                <w:sz w:val="24"/>
                <w:szCs w:val="24"/>
              </w:rPr>
              <w:t>.</w:t>
            </w:r>
            <w:r w:rsidRPr="00443BCB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A45D9D" w:rsidRPr="00A45D9D" w14:paraId="38A157EE" w14:textId="77777777" w:rsidTr="00A437CC">
        <w:trPr>
          <w:cantSplit/>
          <w:jc w:val="center"/>
        </w:trPr>
        <w:tc>
          <w:tcPr>
            <w:tcW w:w="2160" w:type="dxa"/>
          </w:tcPr>
          <w:p w14:paraId="38A157EC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560" w:type="dxa"/>
          </w:tcPr>
          <w:p w14:paraId="38A157ED" w14:textId="20F690F5" w:rsidR="00A45D9D" w:rsidRPr="00A45D9D" w:rsidRDefault="00D66480" w:rsidP="00A437C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66480">
              <w:rPr>
                <w:rFonts w:ascii="Arial" w:hAnsi="Arial" w:cs="Arial"/>
                <w:sz w:val="24"/>
                <w:szCs w:val="24"/>
              </w:rPr>
              <w:t>Commence monthly asset status reporting on the date indicated in</w:t>
            </w:r>
            <w:r w:rsidRPr="00443BCB">
              <w:rPr>
                <w:rFonts w:ascii="Arial" w:hAnsi="Arial" w:cs="Arial"/>
                <w:sz w:val="24"/>
                <w:szCs w:val="24"/>
              </w:rPr>
              <w:t xml:space="preserve"> the asset status reporting request</w:t>
            </w:r>
            <w:r w:rsidRPr="00D664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5D9D" w:rsidRPr="00A45D9D" w14:paraId="38A157F1" w14:textId="77777777" w:rsidTr="00A437CC">
        <w:trPr>
          <w:cantSplit/>
          <w:jc w:val="center"/>
        </w:trPr>
        <w:tc>
          <w:tcPr>
            <w:tcW w:w="2160" w:type="dxa"/>
          </w:tcPr>
          <w:p w14:paraId="38A157EF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560" w:type="dxa"/>
          </w:tcPr>
          <w:p w14:paraId="38A157F0" w14:textId="303FB1C4" w:rsidR="00A45D9D" w:rsidRPr="00A45D9D" w:rsidRDefault="009228BA" w:rsidP="009228B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228BA">
              <w:rPr>
                <w:rFonts w:ascii="Arial" w:hAnsi="Arial" w:cs="Arial"/>
                <w:sz w:val="24"/>
                <w:szCs w:val="24"/>
              </w:rPr>
              <w:t xml:space="preserve">Terminate reporting on the date indicated in </w:t>
            </w:r>
            <w:r w:rsidRPr="00443BCB">
              <w:rPr>
                <w:rFonts w:ascii="Arial" w:hAnsi="Arial" w:cs="Arial"/>
                <w:sz w:val="24"/>
                <w:szCs w:val="24"/>
              </w:rPr>
              <w:t>the asset status reporting request</w:t>
            </w:r>
            <w:r w:rsidRPr="009228BA">
              <w:rPr>
                <w:rFonts w:ascii="Arial" w:hAnsi="Arial" w:cs="Arial"/>
                <w:sz w:val="24"/>
                <w:szCs w:val="24"/>
              </w:rPr>
              <w:t>.</w:t>
            </w:r>
            <w:r w:rsidR="0005312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45D9D" w:rsidRPr="00A45D9D" w14:paraId="38A157F4" w14:textId="77777777" w:rsidTr="00A437CC">
        <w:trPr>
          <w:cantSplit/>
          <w:jc w:val="center"/>
        </w:trPr>
        <w:tc>
          <w:tcPr>
            <w:tcW w:w="2160" w:type="dxa"/>
          </w:tcPr>
          <w:p w14:paraId="38A157F2" w14:textId="77777777" w:rsidR="00A45D9D" w:rsidRPr="00CE170D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E170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F and G</w:t>
            </w:r>
          </w:p>
        </w:tc>
        <w:tc>
          <w:tcPr>
            <w:tcW w:w="7560" w:type="dxa"/>
          </w:tcPr>
          <w:p w14:paraId="38A157F3" w14:textId="77777777" w:rsidR="00A45D9D" w:rsidRPr="00CE170D" w:rsidRDefault="00A45D9D" w:rsidP="00A45D9D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E170D">
              <w:rPr>
                <w:rFonts w:ascii="Arial" w:hAnsi="Arial" w:cs="Arial"/>
                <w:bCs/>
                <w:iCs/>
                <w:sz w:val="24"/>
                <w:szCs w:val="24"/>
              </w:rPr>
              <w:t>Reserved for future assignment by DoD</w:t>
            </w:r>
            <w:r w:rsidR="00B476A9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A45D9D" w:rsidRPr="00A45D9D" w14:paraId="38A157F7" w14:textId="77777777" w:rsidTr="00A437CC">
        <w:trPr>
          <w:cantSplit/>
          <w:jc w:val="center"/>
        </w:trPr>
        <w:tc>
          <w:tcPr>
            <w:tcW w:w="2160" w:type="dxa"/>
          </w:tcPr>
          <w:p w14:paraId="38A157F5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7560" w:type="dxa"/>
          </w:tcPr>
          <w:p w14:paraId="38A157F6" w14:textId="595B61C1" w:rsidR="00A45D9D" w:rsidRPr="00A45D9D" w:rsidRDefault="009228BA" w:rsidP="00A45D9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228BA">
              <w:rPr>
                <w:rFonts w:ascii="Arial" w:hAnsi="Arial" w:cs="Arial"/>
                <w:sz w:val="24"/>
                <w:szCs w:val="24"/>
              </w:rPr>
              <w:t xml:space="preserve">Change type of reporting to daily asset status reporting (Code C above) on the date indicated in </w:t>
            </w:r>
            <w:r w:rsidRPr="00443BCB">
              <w:rPr>
                <w:rFonts w:ascii="Arial" w:hAnsi="Arial" w:cs="Arial"/>
                <w:sz w:val="24"/>
                <w:szCs w:val="24"/>
              </w:rPr>
              <w:t>the asset status reporting request</w:t>
            </w:r>
            <w:r w:rsidR="00A45D9D" w:rsidRPr="00A45D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5D9D" w:rsidRPr="00A45D9D" w14:paraId="38A157FA" w14:textId="77777777" w:rsidTr="00A437CC">
        <w:trPr>
          <w:cantSplit/>
          <w:jc w:val="center"/>
        </w:trPr>
        <w:tc>
          <w:tcPr>
            <w:tcW w:w="2160" w:type="dxa"/>
          </w:tcPr>
          <w:p w14:paraId="38A157F8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7560" w:type="dxa"/>
          </w:tcPr>
          <w:p w14:paraId="38A157F9" w14:textId="0CAC0F77" w:rsidR="00A45D9D" w:rsidRPr="00A45D9D" w:rsidRDefault="009228BA" w:rsidP="00A45D9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228BA">
              <w:rPr>
                <w:rFonts w:ascii="Arial" w:hAnsi="Arial" w:cs="Arial"/>
                <w:sz w:val="24"/>
                <w:szCs w:val="24"/>
              </w:rPr>
              <w:t xml:space="preserve">Change type of reporting to monthly asset status reporting (Code D, above) on the date indicated in </w:t>
            </w:r>
            <w:r w:rsidRPr="00443BCB">
              <w:rPr>
                <w:rFonts w:ascii="Arial" w:hAnsi="Arial" w:cs="Arial"/>
                <w:sz w:val="24"/>
                <w:szCs w:val="24"/>
              </w:rPr>
              <w:t>the asset status reporting request</w:t>
            </w:r>
            <w:r w:rsidR="00A45D9D" w:rsidRPr="00A45D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5D9D" w:rsidRPr="00A45D9D" w14:paraId="38A157FD" w14:textId="77777777" w:rsidTr="00A437CC">
        <w:trPr>
          <w:cantSplit/>
          <w:jc w:val="center"/>
        </w:trPr>
        <w:tc>
          <w:tcPr>
            <w:tcW w:w="2160" w:type="dxa"/>
          </w:tcPr>
          <w:p w14:paraId="38A157FB" w14:textId="77777777" w:rsidR="00A45D9D" w:rsidRPr="00CE170D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E170D">
              <w:rPr>
                <w:rFonts w:ascii="Arial" w:hAnsi="Arial" w:cs="Arial"/>
                <w:bCs/>
                <w:iCs/>
                <w:sz w:val="24"/>
                <w:szCs w:val="24"/>
              </w:rPr>
              <w:t>K and L</w:t>
            </w:r>
          </w:p>
        </w:tc>
        <w:tc>
          <w:tcPr>
            <w:tcW w:w="7560" w:type="dxa"/>
          </w:tcPr>
          <w:p w14:paraId="38A157FC" w14:textId="77777777" w:rsidR="00A45D9D" w:rsidRPr="00CE170D" w:rsidRDefault="00A45D9D" w:rsidP="00A45D9D">
            <w:pPr>
              <w:spacing w:before="60" w:after="60"/>
              <w:rPr>
                <w:rFonts w:ascii="Arial" w:hAnsi="Arial" w:cs="Arial"/>
                <w:iCs/>
                <w:sz w:val="24"/>
                <w:szCs w:val="24"/>
              </w:rPr>
            </w:pPr>
            <w:r w:rsidRPr="00CE170D">
              <w:rPr>
                <w:rFonts w:ascii="Arial" w:hAnsi="Arial" w:cs="Arial"/>
                <w:bCs/>
                <w:iCs/>
                <w:sz w:val="24"/>
                <w:szCs w:val="24"/>
              </w:rPr>
              <w:t>Reserved for future assignment by DoD.</w:t>
            </w:r>
          </w:p>
        </w:tc>
      </w:tr>
      <w:tr w:rsidR="00A45D9D" w:rsidRPr="00A45D9D" w14:paraId="38A15800" w14:textId="77777777" w:rsidTr="00A437CC">
        <w:trPr>
          <w:cantSplit/>
          <w:jc w:val="center"/>
        </w:trPr>
        <w:tc>
          <w:tcPr>
            <w:tcW w:w="2160" w:type="dxa"/>
          </w:tcPr>
          <w:p w14:paraId="38A157FE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560" w:type="dxa"/>
          </w:tcPr>
          <w:p w14:paraId="38A157FF" w14:textId="0DB947F6" w:rsidR="00A45D9D" w:rsidRPr="00A45D9D" w:rsidRDefault="00A45D9D" w:rsidP="00720F3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Commence daily asset status reporting as soon as possible.</w:t>
            </w:r>
          </w:p>
        </w:tc>
      </w:tr>
      <w:tr w:rsidR="00A45D9D" w:rsidRPr="00A45D9D" w14:paraId="38A15803" w14:textId="77777777" w:rsidTr="00A437CC">
        <w:trPr>
          <w:cantSplit/>
          <w:jc w:val="center"/>
        </w:trPr>
        <w:tc>
          <w:tcPr>
            <w:tcW w:w="2160" w:type="dxa"/>
          </w:tcPr>
          <w:p w14:paraId="38A15801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N</w:t>
            </w:r>
            <w:r w:rsidRPr="00A45D9D">
              <w:rPr>
                <w:rStyle w:val="FootnoteReference"/>
                <w:rFonts w:ascii="Arial" w:hAnsi="Arial" w:cs="Arial"/>
                <w:b/>
                <w:bCs/>
                <w:iCs/>
              </w:rPr>
              <w:footnoteReference w:id="2"/>
            </w:r>
          </w:p>
        </w:tc>
        <w:tc>
          <w:tcPr>
            <w:tcW w:w="7560" w:type="dxa"/>
          </w:tcPr>
          <w:p w14:paraId="38A15802" w14:textId="45C8C586" w:rsidR="00A45D9D" w:rsidRPr="00A45D9D" w:rsidRDefault="00720F3B" w:rsidP="00720F3B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0F3B">
              <w:rPr>
                <w:rFonts w:ascii="Arial" w:hAnsi="Arial" w:cs="Arial"/>
                <w:bCs/>
                <w:iCs/>
                <w:sz w:val="24"/>
                <w:szCs w:val="24"/>
              </w:rPr>
              <w:t>Submit a one-time asset status report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720F3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(DIC DZF) for the asset visibility/redistribution program.  Submit the report by the date 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indicated</w:t>
            </w:r>
            <w:r w:rsidRPr="00720F3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in 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the asset status reporting request</w:t>
            </w:r>
            <w:r w:rsidR="00A45D9D"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A45D9D" w:rsidRPr="00A45D9D" w14:paraId="38A15806" w14:textId="77777777" w:rsidTr="00A437CC">
        <w:trPr>
          <w:cantSplit/>
          <w:jc w:val="center"/>
        </w:trPr>
        <w:tc>
          <w:tcPr>
            <w:tcW w:w="2160" w:type="dxa"/>
          </w:tcPr>
          <w:p w14:paraId="38A15804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7560" w:type="dxa"/>
          </w:tcPr>
          <w:p w14:paraId="38A15805" w14:textId="77777777" w:rsidR="00A45D9D" w:rsidRPr="00A45D9D" w:rsidRDefault="00A45D9D" w:rsidP="00A45D9D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Reserved for future assignment by DoD.</w:t>
            </w:r>
          </w:p>
        </w:tc>
      </w:tr>
      <w:tr w:rsidR="00A45D9D" w:rsidRPr="00A45D9D" w14:paraId="38A15809" w14:textId="77777777" w:rsidTr="00A437CC">
        <w:trPr>
          <w:cantSplit/>
          <w:jc w:val="center"/>
        </w:trPr>
        <w:tc>
          <w:tcPr>
            <w:tcW w:w="2160" w:type="dxa"/>
          </w:tcPr>
          <w:p w14:paraId="38A15807" w14:textId="0C552904" w:rsidR="00A45D9D" w:rsidRPr="00A45D9D" w:rsidRDefault="00A45D9D" w:rsidP="00EA2247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P</w:t>
            </w:r>
            <w:r w:rsidR="00EA2247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60" w:type="dxa"/>
          </w:tcPr>
          <w:p w14:paraId="38A15808" w14:textId="7E922787" w:rsidR="00A45D9D" w:rsidRPr="00A45D9D" w:rsidRDefault="00EA2247" w:rsidP="00A45D9D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224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Report assets above the activity’s requisitioning objective using 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the customer asset report materiel returns program</w:t>
            </w:r>
            <w:r w:rsidRPr="00443BCB" w:rsidDel="00BD29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transaction</w:t>
            </w:r>
            <w:r w:rsidRPr="00EA224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DLMS 180M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  <w:vertAlign w:val="superscript"/>
              </w:rPr>
              <w:footnoteReference w:id="3"/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)</w:t>
            </w:r>
            <w:r w:rsidRPr="00EA224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A45D9D" w:rsidRPr="00A45D9D" w14:paraId="38A1580C" w14:textId="77777777" w:rsidTr="00A437CC">
        <w:trPr>
          <w:cantSplit/>
          <w:jc w:val="center"/>
        </w:trPr>
        <w:tc>
          <w:tcPr>
            <w:tcW w:w="2160" w:type="dxa"/>
          </w:tcPr>
          <w:p w14:paraId="38A1580A" w14:textId="77777777" w:rsidR="00A45D9D" w:rsidRPr="00443BCB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Q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A45D9D">
              <w:rPr>
                <w:rFonts w:ascii="Arial" w:hAnsi="Arial" w:cs="Arial"/>
                <w:sz w:val="24"/>
                <w:szCs w:val="24"/>
              </w:rPr>
              <w:t>thru Y</w:t>
            </w:r>
          </w:p>
        </w:tc>
        <w:tc>
          <w:tcPr>
            <w:tcW w:w="7560" w:type="dxa"/>
          </w:tcPr>
          <w:p w14:paraId="38A1580B" w14:textId="77777777" w:rsidR="00A45D9D" w:rsidRPr="00443BCB" w:rsidRDefault="00A45D9D" w:rsidP="00A45D9D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Reserved for future assignment by DoD.</w:t>
            </w:r>
          </w:p>
        </w:tc>
      </w:tr>
      <w:tr w:rsidR="00A45D9D" w:rsidRPr="00A45D9D" w14:paraId="38A1580F" w14:textId="77777777" w:rsidTr="00A437CC">
        <w:trPr>
          <w:cantSplit/>
          <w:jc w:val="center"/>
        </w:trPr>
        <w:tc>
          <w:tcPr>
            <w:tcW w:w="2160" w:type="dxa"/>
          </w:tcPr>
          <w:p w14:paraId="38A1580D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D9D">
              <w:rPr>
                <w:rFonts w:ascii="Arial" w:hAnsi="Arial" w:cs="Arial"/>
                <w:bCs/>
                <w:iCs/>
                <w:sz w:val="24"/>
                <w:szCs w:val="24"/>
              </w:rPr>
              <w:t>Z</w:t>
            </w:r>
          </w:p>
        </w:tc>
        <w:tc>
          <w:tcPr>
            <w:tcW w:w="7560" w:type="dxa"/>
          </w:tcPr>
          <w:p w14:paraId="38A1580E" w14:textId="74537EE8" w:rsidR="00A45D9D" w:rsidRPr="00443BCB" w:rsidRDefault="00A87AB7" w:rsidP="00A87AB7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7AB7">
              <w:rPr>
                <w:rFonts w:ascii="Arial" w:hAnsi="Arial" w:cs="Arial"/>
                <w:sz w:val="24"/>
                <w:szCs w:val="24"/>
              </w:rPr>
              <w:t xml:space="preserve">One-time asset status report is requested/furnished on an expedited basis.  The date </w:t>
            </w:r>
            <w:r w:rsidRPr="00443BCB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Pr="00A87AB7">
              <w:rPr>
                <w:rFonts w:ascii="Arial" w:hAnsi="Arial" w:cs="Arial"/>
                <w:sz w:val="24"/>
                <w:szCs w:val="24"/>
              </w:rPr>
              <w:t xml:space="preserve">the report </w:t>
            </w:r>
            <w:r w:rsidRPr="00443BCB">
              <w:rPr>
                <w:rFonts w:ascii="Arial" w:hAnsi="Arial" w:cs="Arial"/>
                <w:sz w:val="24"/>
                <w:szCs w:val="24"/>
              </w:rPr>
              <w:t xml:space="preserve">by the date </w:t>
            </w:r>
            <w:r w:rsidRPr="00A87AB7">
              <w:rPr>
                <w:rFonts w:ascii="Arial" w:hAnsi="Arial" w:cs="Arial"/>
                <w:sz w:val="24"/>
                <w:szCs w:val="24"/>
              </w:rPr>
              <w:t xml:space="preserve">is required is entered </w:t>
            </w:r>
            <w:r w:rsidRPr="00443BCB">
              <w:rPr>
                <w:rFonts w:ascii="Arial" w:hAnsi="Arial" w:cs="Arial"/>
                <w:sz w:val="24"/>
                <w:szCs w:val="24"/>
              </w:rPr>
              <w:t>indicated</w:t>
            </w:r>
            <w:r w:rsidRPr="00A87AB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443BCB">
              <w:rPr>
                <w:rFonts w:ascii="Arial" w:hAnsi="Arial" w:cs="Arial"/>
                <w:bCs/>
                <w:iCs/>
                <w:sz w:val="24"/>
                <w:szCs w:val="24"/>
              </w:rPr>
              <w:t>the asset status reporting request</w:t>
            </w:r>
            <w:r w:rsidR="00A45D9D" w:rsidRPr="00A45D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5D9D" w:rsidRPr="00A45D9D" w14:paraId="38A15812" w14:textId="77777777" w:rsidTr="00A437CC">
        <w:trPr>
          <w:cantSplit/>
          <w:jc w:val="center"/>
        </w:trPr>
        <w:tc>
          <w:tcPr>
            <w:tcW w:w="2160" w:type="dxa"/>
          </w:tcPr>
          <w:p w14:paraId="38A15810" w14:textId="77777777" w:rsidR="00A45D9D" w:rsidRPr="00A45D9D" w:rsidRDefault="00A45D9D" w:rsidP="00A45D9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0 thru 9</w:t>
            </w:r>
          </w:p>
        </w:tc>
        <w:tc>
          <w:tcPr>
            <w:tcW w:w="7560" w:type="dxa"/>
          </w:tcPr>
          <w:p w14:paraId="38A15811" w14:textId="77777777" w:rsidR="00A45D9D" w:rsidRPr="00A45D9D" w:rsidRDefault="00A45D9D" w:rsidP="00A45D9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5D9D">
              <w:rPr>
                <w:rFonts w:ascii="Arial" w:hAnsi="Arial" w:cs="Arial"/>
                <w:sz w:val="24"/>
                <w:szCs w:val="24"/>
              </w:rPr>
              <w:t>Reserved for intra-Component use.</w:t>
            </w:r>
          </w:p>
        </w:tc>
      </w:tr>
    </w:tbl>
    <w:p w14:paraId="38A15813" w14:textId="77777777" w:rsidR="00A45D9D" w:rsidRPr="00A45D9D" w:rsidRDefault="00A45D9D">
      <w:pPr>
        <w:rPr>
          <w:rFonts w:ascii="Arial" w:hAnsi="Arial" w:cs="Arial"/>
          <w:sz w:val="24"/>
          <w:szCs w:val="24"/>
        </w:rPr>
      </w:pPr>
    </w:p>
    <w:sectPr w:rsidR="00A45D9D" w:rsidRPr="00A45D9D" w:rsidSect="00413B7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5816" w14:textId="77777777" w:rsidR="00B40300" w:rsidRDefault="00B40300">
      <w:r>
        <w:separator/>
      </w:r>
    </w:p>
  </w:endnote>
  <w:endnote w:type="continuationSeparator" w:id="0">
    <w:p w14:paraId="38A15817" w14:textId="77777777" w:rsidR="00B40300" w:rsidRDefault="00B4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581B" w14:textId="77777777" w:rsidR="00B40300" w:rsidRDefault="00B40300" w:rsidP="00446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1581C" w14:textId="77777777" w:rsidR="00B40300" w:rsidRPr="00A45D9D" w:rsidRDefault="00B40300" w:rsidP="00A45D9D">
    <w:pPr>
      <w:pStyle w:val="Footer"/>
      <w:jc w:val="center"/>
      <w:rPr>
        <w:rFonts w:ascii="Arial" w:hAnsi="Arial" w:cs="Arial"/>
        <w:b/>
        <w:sz w:val="24"/>
        <w:szCs w:val="24"/>
      </w:rPr>
    </w:pPr>
    <w:r w:rsidRPr="00A45D9D">
      <w:rPr>
        <w:rFonts w:ascii="Arial" w:hAnsi="Arial" w:cs="Arial"/>
        <w:b/>
        <w:sz w:val="24"/>
        <w:szCs w:val="24"/>
      </w:rPr>
      <w:t>AP2.9-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581D" w14:textId="69AC113B" w:rsidR="00B40300" w:rsidRPr="008E49AB" w:rsidRDefault="00B40300" w:rsidP="004466E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AP2.9-</w:t>
    </w:r>
    <w:r w:rsidRPr="008E49AB">
      <w:rPr>
        <w:rStyle w:val="PageNumber"/>
        <w:rFonts w:ascii="Arial" w:hAnsi="Arial" w:cs="Arial"/>
        <w:sz w:val="24"/>
        <w:szCs w:val="24"/>
      </w:rPr>
      <w:fldChar w:fldCharType="begin"/>
    </w:r>
    <w:r w:rsidRPr="008E49AB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8E49AB">
      <w:rPr>
        <w:rStyle w:val="PageNumber"/>
        <w:rFonts w:ascii="Arial" w:hAnsi="Arial" w:cs="Arial"/>
        <w:sz w:val="24"/>
        <w:szCs w:val="24"/>
      </w:rPr>
      <w:fldChar w:fldCharType="separate"/>
    </w:r>
    <w:r w:rsidR="0002295E">
      <w:rPr>
        <w:rStyle w:val="PageNumber"/>
        <w:rFonts w:ascii="Arial" w:hAnsi="Arial" w:cs="Arial"/>
        <w:noProof/>
        <w:sz w:val="24"/>
        <w:szCs w:val="24"/>
      </w:rPr>
      <w:t>1</w:t>
    </w:r>
    <w:r w:rsidRPr="008E49AB">
      <w:rPr>
        <w:rStyle w:val="PageNumber"/>
        <w:rFonts w:ascii="Arial" w:hAnsi="Arial" w:cs="Arial"/>
        <w:sz w:val="24"/>
        <w:szCs w:val="24"/>
      </w:rPr>
      <w:fldChar w:fldCharType="end"/>
    </w:r>
  </w:p>
  <w:p w14:paraId="38A1581E" w14:textId="77777777" w:rsidR="00B40300" w:rsidRPr="008E49AB" w:rsidRDefault="00B40300" w:rsidP="008E49AB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24"/>
        <w:szCs w:val="24"/>
      </w:rPr>
    </w:pPr>
    <w:r w:rsidRPr="008E49AB">
      <w:rPr>
        <w:rFonts w:ascii="Arial" w:hAnsi="Arial" w:cs="Arial"/>
        <w:sz w:val="24"/>
        <w:szCs w:val="24"/>
      </w:rPr>
      <w:t>APPENDIX 2.9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15814" w14:textId="77777777" w:rsidR="00B40300" w:rsidRDefault="00B40300">
      <w:r>
        <w:separator/>
      </w:r>
    </w:p>
  </w:footnote>
  <w:footnote w:type="continuationSeparator" w:id="0">
    <w:p w14:paraId="38A15815" w14:textId="77777777" w:rsidR="00B40300" w:rsidRDefault="00B40300">
      <w:r>
        <w:continuationSeparator/>
      </w:r>
    </w:p>
  </w:footnote>
  <w:footnote w:id="1">
    <w:p w14:paraId="48D706A8" w14:textId="1016AF23" w:rsidR="00B40300" w:rsidRDefault="00B40300">
      <w:pPr>
        <w:pStyle w:val="FootnoteText"/>
      </w:pPr>
      <w:r w:rsidRPr="00443BCB">
        <w:rPr>
          <w:rStyle w:val="FootnoteReference"/>
          <w:rFonts w:ascii="Arial" w:hAnsi="Arial" w:cs="Arial"/>
        </w:rPr>
        <w:footnoteRef/>
      </w:r>
      <w:r w:rsidRPr="00443BCB">
        <w:rPr>
          <w:rFonts w:ascii="Arial" w:hAnsi="Arial" w:cs="Arial"/>
        </w:rPr>
        <w:t xml:space="preserve"> Throughout this document, the “date indicated” refers to segment 2/DTM/100 of the DLMS 846I.</w:t>
      </w:r>
    </w:p>
  </w:footnote>
  <w:footnote w:id="2">
    <w:p w14:paraId="38A15821" w14:textId="7ABFBC78" w:rsidR="00B40300" w:rsidRPr="00AA1CA0" w:rsidRDefault="00B40300" w:rsidP="00A45D9D">
      <w:pPr>
        <w:pStyle w:val="FootnoteText"/>
        <w:rPr>
          <w:rFonts w:ascii="Arial" w:hAnsi="Arial" w:cs="Arial"/>
        </w:rPr>
      </w:pPr>
      <w:r w:rsidRPr="00AA1CA0">
        <w:rPr>
          <w:rStyle w:val="FootnoteReference"/>
          <w:rFonts w:ascii="Arial" w:hAnsi="Arial" w:cs="Arial"/>
        </w:rPr>
        <w:footnoteRef/>
      </w:r>
      <w:r w:rsidRPr="00AA1CA0">
        <w:rPr>
          <w:rFonts w:ascii="Arial" w:hAnsi="Arial" w:cs="Arial"/>
        </w:rPr>
        <w:t xml:space="preserve"> Restricted for use based upon agreement of the DoD Components involved.  </w:t>
      </w:r>
    </w:p>
  </w:footnote>
  <w:footnote w:id="3">
    <w:p w14:paraId="44C9BB54" w14:textId="77777777" w:rsidR="00B40300" w:rsidRPr="00443BCB" w:rsidRDefault="00B40300" w:rsidP="00EA2247">
      <w:pPr>
        <w:pStyle w:val="FootnoteText"/>
        <w:rPr>
          <w:rFonts w:ascii="Arial" w:hAnsi="Arial" w:cs="Arial"/>
        </w:rPr>
      </w:pPr>
      <w:r w:rsidRPr="00443BCB">
        <w:rPr>
          <w:rStyle w:val="FootnoteReference"/>
          <w:rFonts w:ascii="Arial" w:hAnsi="Arial" w:cs="Arial"/>
        </w:rPr>
        <w:footnoteRef/>
      </w:r>
      <w:r w:rsidRPr="00443BCB">
        <w:rPr>
          <w:rFonts w:ascii="Arial" w:hAnsi="Arial" w:cs="Arial"/>
        </w:rPr>
        <w:t xml:space="preserve"> Legacy DIC FTE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5818" w14:textId="77777777" w:rsidR="00B40300" w:rsidRPr="00A45D9D" w:rsidRDefault="00B40300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CH 2</w:t>
    </w:r>
  </w:p>
  <w:p w14:paraId="38A15819" w14:textId="77777777" w:rsidR="00B40300" w:rsidRPr="00A45D9D" w:rsidRDefault="00B40300">
    <w:pPr>
      <w:pStyle w:val="Header"/>
      <w:rPr>
        <w:rFonts w:ascii="Arial" w:hAnsi="Arial" w:cs="Arial"/>
        <w:b/>
        <w:sz w:val="24"/>
        <w:szCs w:val="24"/>
      </w:rPr>
    </w:pPr>
    <w:r w:rsidRPr="00A45D9D">
      <w:rPr>
        <w:rFonts w:ascii="Arial" w:hAnsi="Arial" w:cs="Arial"/>
        <w:b/>
        <w:sz w:val="24"/>
        <w:szCs w:val="24"/>
      </w:rPr>
      <w:t>DoD 4000.25-2-M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7A2D" w14:textId="3EA9599B" w:rsidR="00641B9A" w:rsidRPr="00641B9A" w:rsidRDefault="00641B9A" w:rsidP="00641B9A">
    <w:pPr>
      <w:tabs>
        <w:tab w:val="left" w:pos="720"/>
        <w:tab w:val="center" w:pos="4320"/>
        <w:tab w:val="right" w:pos="8640"/>
      </w:tabs>
      <w:jc w:val="right"/>
      <w:rPr>
        <w:rFonts w:ascii="Arial" w:hAnsi="Arial" w:cs="Arial"/>
        <w:i/>
        <w:sz w:val="24"/>
        <w:szCs w:val="24"/>
      </w:rPr>
    </w:pPr>
    <w:r w:rsidRPr="00641B9A">
      <w:rPr>
        <w:rFonts w:ascii="Arial" w:hAnsi="Arial" w:cs="Arial"/>
        <w:i/>
        <w:sz w:val="24"/>
        <w:szCs w:val="24"/>
      </w:rPr>
      <w:t xml:space="preserve">DLM 4000.25, Volume 2, </w:t>
    </w:r>
    <w:r w:rsidR="0002295E" w:rsidRPr="0002295E">
      <w:rPr>
        <w:rFonts w:ascii="Arial" w:hAnsi="Arial" w:cs="Arial"/>
        <w:i/>
        <w:sz w:val="24"/>
        <w:szCs w:val="24"/>
      </w:rPr>
      <w:t>November 26</w:t>
    </w:r>
    <w:r w:rsidRPr="00641B9A">
      <w:rPr>
        <w:rFonts w:ascii="Arial" w:hAnsi="Arial" w:cs="Arial"/>
        <w:i/>
        <w:sz w:val="24"/>
        <w:szCs w:val="24"/>
      </w:rPr>
      <w:t>, 2019</w:t>
    </w:r>
  </w:p>
  <w:p w14:paraId="78DCC398" w14:textId="77777777" w:rsidR="00641B9A" w:rsidRPr="00641B9A" w:rsidRDefault="00641B9A" w:rsidP="00641B9A">
    <w:pPr>
      <w:tabs>
        <w:tab w:val="left" w:pos="720"/>
        <w:tab w:val="center" w:pos="4320"/>
        <w:tab w:val="right" w:pos="8640"/>
      </w:tabs>
      <w:jc w:val="right"/>
      <w:rPr>
        <w:rFonts w:ascii="Arial" w:hAnsi="Arial"/>
        <w:i/>
        <w:sz w:val="24"/>
      </w:rPr>
    </w:pPr>
    <w:r w:rsidRPr="00641B9A">
      <w:rPr>
        <w:rFonts w:ascii="Arial" w:hAnsi="Arial" w:cs="Arial"/>
        <w:i/>
        <w:sz w:val="24"/>
        <w:szCs w:val="24"/>
      </w:rPr>
      <w:t>Change 13</w:t>
    </w:r>
  </w:p>
  <w:p w14:paraId="63978DD9" w14:textId="1AE866FE" w:rsidR="00B40300" w:rsidRPr="005F763F" w:rsidRDefault="00B40300" w:rsidP="00A45D9D">
    <w:pPr>
      <w:pStyle w:val="Header"/>
      <w:jc w:val="right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D9D"/>
    <w:rsid w:val="00013ED1"/>
    <w:rsid w:val="0002295E"/>
    <w:rsid w:val="0005312B"/>
    <w:rsid w:val="000C1A31"/>
    <w:rsid w:val="000D5819"/>
    <w:rsid w:val="00303DE1"/>
    <w:rsid w:val="00322F32"/>
    <w:rsid w:val="003427F0"/>
    <w:rsid w:val="0035644C"/>
    <w:rsid w:val="003765A7"/>
    <w:rsid w:val="00380262"/>
    <w:rsid w:val="00413B72"/>
    <w:rsid w:val="00443BCB"/>
    <w:rsid w:val="004466E6"/>
    <w:rsid w:val="0046688A"/>
    <w:rsid w:val="00480199"/>
    <w:rsid w:val="004F0318"/>
    <w:rsid w:val="0053640A"/>
    <w:rsid w:val="005E48BB"/>
    <w:rsid w:val="005F763F"/>
    <w:rsid w:val="00641B9A"/>
    <w:rsid w:val="006A745F"/>
    <w:rsid w:val="00720F3B"/>
    <w:rsid w:val="007240B2"/>
    <w:rsid w:val="00792351"/>
    <w:rsid w:val="007C68E3"/>
    <w:rsid w:val="008357FD"/>
    <w:rsid w:val="008936D3"/>
    <w:rsid w:val="008E49AB"/>
    <w:rsid w:val="009228BA"/>
    <w:rsid w:val="00932F05"/>
    <w:rsid w:val="009A7EC7"/>
    <w:rsid w:val="009E73AE"/>
    <w:rsid w:val="00A230AA"/>
    <w:rsid w:val="00A437CC"/>
    <w:rsid w:val="00A45D9D"/>
    <w:rsid w:val="00A87AB7"/>
    <w:rsid w:val="00AA1CA0"/>
    <w:rsid w:val="00AA3575"/>
    <w:rsid w:val="00B02B1D"/>
    <w:rsid w:val="00B25575"/>
    <w:rsid w:val="00B40300"/>
    <w:rsid w:val="00B41453"/>
    <w:rsid w:val="00B476A9"/>
    <w:rsid w:val="00B708A3"/>
    <w:rsid w:val="00B83BB6"/>
    <w:rsid w:val="00B853B7"/>
    <w:rsid w:val="00BB0515"/>
    <w:rsid w:val="00BD2BF2"/>
    <w:rsid w:val="00C15BBD"/>
    <w:rsid w:val="00CC47E8"/>
    <w:rsid w:val="00CE170D"/>
    <w:rsid w:val="00D53DB0"/>
    <w:rsid w:val="00D600BF"/>
    <w:rsid w:val="00D66480"/>
    <w:rsid w:val="00DB7BC9"/>
    <w:rsid w:val="00DF6604"/>
    <w:rsid w:val="00E31C4B"/>
    <w:rsid w:val="00EA2247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157D8"/>
  <w15:docId w15:val="{1EAFBB62-F20C-4F4C-8331-AD3CAE0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9D"/>
    <w:rPr>
      <w:rFonts w:ascii="Clarendon Condensed" w:hAnsi="Clarendon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5D9D"/>
    <w:rPr>
      <w:position w:val="6"/>
      <w:sz w:val="16"/>
      <w:szCs w:val="16"/>
    </w:rPr>
  </w:style>
  <w:style w:type="paragraph" w:styleId="FootnoteText">
    <w:name w:val="footnote text"/>
    <w:basedOn w:val="Normal"/>
    <w:semiHidden/>
    <w:rsid w:val="00A45D9D"/>
  </w:style>
  <w:style w:type="character" w:styleId="Hyperlink">
    <w:name w:val="Hyperlink"/>
    <w:rsid w:val="00A45D9D"/>
    <w:rPr>
      <w:color w:val="0000FF"/>
      <w:u w:val="single"/>
    </w:rPr>
  </w:style>
  <w:style w:type="paragraph" w:styleId="Header">
    <w:name w:val="header"/>
    <w:basedOn w:val="Normal"/>
    <w:rsid w:val="00A45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D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9D"/>
  </w:style>
  <w:style w:type="paragraph" w:styleId="BalloonText">
    <w:name w:val="Balloon Text"/>
    <w:basedOn w:val="Normal"/>
    <w:semiHidden/>
    <w:rsid w:val="00342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B72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B02B1D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1A2C-A828-44C8-A4EF-6281252CB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C683F-6AFA-4F8A-8E70-0196F1942D53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FFF65D-2729-45DD-8621-FC17D5725618}"/>
</file>

<file path=customXml/itemProps4.xml><?xml version="1.0" encoding="utf-8"?>
<ds:datastoreItem xmlns:ds="http://schemas.openxmlformats.org/officeDocument/2006/customXml" ds:itemID="{E3F11102-020E-4EC8-9115-A5A389E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101CD315.dotm</Template>
  <TotalTime>102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AP2.9 ASSET STATUS REPORTING CODES</vt:lpstr>
    </vt:vector>
  </TitlesOfParts>
  <Company>DLA Logistics Management Standards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AP2.9 ASSET STATUS REPORTING CODES</dc:title>
  <dc:subject>ASSET STATUS REPORTING CODES</dc:subject>
  <dc:creator>Mary Jane Johnson</dc:creator>
  <cp:keywords/>
  <dc:description/>
  <cp:lastModifiedBy>Nguyen, Bao X CTR DLA INFO OPERATIONS (USA)</cp:lastModifiedBy>
  <cp:revision>35</cp:revision>
  <cp:lastPrinted>2012-05-03T16:19:00Z</cp:lastPrinted>
  <dcterms:created xsi:type="dcterms:W3CDTF">2009-12-16T17:19:00Z</dcterms:created>
  <dcterms:modified xsi:type="dcterms:W3CDTF">2019-11-26T19:26:00Z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2322200</vt:r8>
  </property>
</Properties>
</file>