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71D1" w14:textId="7B27F366" w:rsidR="005A3E95" w:rsidRPr="005A3E95" w:rsidRDefault="005A3E95" w:rsidP="00A606E4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A3E95">
        <w:rPr>
          <w:rFonts w:ascii="Arial" w:hAnsi="Arial" w:cs="Arial"/>
          <w:b/>
          <w:sz w:val="44"/>
          <w:szCs w:val="44"/>
          <w:u w:val="single"/>
        </w:rPr>
        <w:t>AP2.10. APPENDIX 2.10</w:t>
      </w:r>
    </w:p>
    <w:p w14:paraId="79E371D2" w14:textId="77777777" w:rsidR="00A45D9D" w:rsidRPr="005A3E95" w:rsidRDefault="005A3E95" w:rsidP="00A606E4">
      <w:pPr>
        <w:spacing w:after="360"/>
        <w:ind w:firstLine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A3E95">
        <w:rPr>
          <w:rFonts w:ascii="Arial" w:hAnsi="Arial" w:cs="Arial"/>
          <w:b/>
          <w:sz w:val="36"/>
          <w:szCs w:val="36"/>
          <w:u w:val="single"/>
        </w:rPr>
        <w:t>ASSET TRANSFER STATUS CODE</w:t>
      </w:r>
    </w:p>
    <w:p w14:paraId="79E371D3" w14:textId="77777777" w:rsidR="005A3E95" w:rsidRPr="00B20616" w:rsidRDefault="005A3E95" w:rsidP="00EC5C3A">
      <w:pPr>
        <w:tabs>
          <w:tab w:val="left" w:pos="3564"/>
        </w:tabs>
        <w:spacing w:after="240"/>
        <w:rPr>
          <w:rFonts w:ascii="Arial" w:hAnsi="Arial" w:cs="Arial"/>
          <w:sz w:val="24"/>
          <w:szCs w:val="24"/>
        </w:rPr>
      </w:pPr>
      <w:r w:rsidRPr="00B20616">
        <w:rPr>
          <w:rFonts w:ascii="Arial" w:hAnsi="Arial" w:cs="Arial"/>
          <w:bCs/>
          <w:sz w:val="24"/>
          <w:szCs w:val="24"/>
        </w:rPr>
        <w:t>NUMBER OF CHARACTERS:</w:t>
      </w:r>
      <w:r w:rsidRPr="00B20616">
        <w:rPr>
          <w:rFonts w:ascii="Arial" w:hAnsi="Arial" w:cs="Arial"/>
          <w:bCs/>
          <w:sz w:val="24"/>
          <w:szCs w:val="24"/>
        </w:rPr>
        <w:tab/>
      </w:r>
      <w:r w:rsidRPr="00B20616">
        <w:rPr>
          <w:rFonts w:ascii="Arial" w:hAnsi="Arial" w:cs="Arial"/>
          <w:sz w:val="24"/>
          <w:szCs w:val="24"/>
        </w:rPr>
        <w:t>Two</w:t>
      </w:r>
    </w:p>
    <w:p w14:paraId="79E371D5" w14:textId="77777777" w:rsidR="005A3E95" w:rsidRPr="00B20616" w:rsidRDefault="005A3E95" w:rsidP="00EC5C3A">
      <w:pPr>
        <w:tabs>
          <w:tab w:val="left" w:pos="3564"/>
        </w:tabs>
        <w:spacing w:after="240"/>
        <w:rPr>
          <w:rFonts w:ascii="Arial" w:hAnsi="Arial" w:cs="Arial"/>
          <w:sz w:val="24"/>
          <w:szCs w:val="24"/>
        </w:rPr>
      </w:pPr>
      <w:r w:rsidRPr="00B20616">
        <w:rPr>
          <w:rFonts w:ascii="Arial" w:hAnsi="Arial" w:cs="Arial"/>
          <w:bCs/>
          <w:sz w:val="24"/>
          <w:szCs w:val="24"/>
        </w:rPr>
        <w:t>TYPE OF CODE:</w:t>
      </w:r>
      <w:r w:rsidRPr="00B20616">
        <w:rPr>
          <w:rFonts w:ascii="Arial" w:hAnsi="Arial" w:cs="Arial"/>
          <w:bCs/>
          <w:sz w:val="24"/>
          <w:szCs w:val="24"/>
        </w:rPr>
        <w:tab/>
      </w:r>
      <w:r w:rsidRPr="00B20616">
        <w:rPr>
          <w:rFonts w:ascii="Arial" w:hAnsi="Arial" w:cs="Arial"/>
          <w:sz w:val="24"/>
          <w:szCs w:val="24"/>
        </w:rPr>
        <w:t xml:space="preserve">Alphabetic </w:t>
      </w:r>
    </w:p>
    <w:p w14:paraId="79E371D8" w14:textId="0C20ADAB" w:rsidR="005A3E95" w:rsidRPr="00B20616" w:rsidRDefault="005A3E95" w:rsidP="00EC5C3A">
      <w:pPr>
        <w:tabs>
          <w:tab w:val="left" w:pos="3564"/>
        </w:tabs>
        <w:spacing w:after="240"/>
        <w:ind w:left="3564" w:hanging="3564"/>
        <w:rPr>
          <w:rFonts w:ascii="Arial" w:hAnsi="Arial" w:cs="Arial"/>
          <w:sz w:val="24"/>
          <w:szCs w:val="24"/>
        </w:rPr>
      </w:pPr>
      <w:r w:rsidRPr="00B20616">
        <w:rPr>
          <w:rFonts w:ascii="Arial" w:hAnsi="Arial" w:cs="Arial"/>
          <w:bCs/>
          <w:sz w:val="24"/>
          <w:szCs w:val="24"/>
        </w:rPr>
        <w:t>EXPLANATION:</w:t>
      </w:r>
      <w:r w:rsidRPr="00B20616">
        <w:rPr>
          <w:rFonts w:ascii="Arial" w:hAnsi="Arial" w:cs="Arial"/>
          <w:sz w:val="24"/>
          <w:szCs w:val="24"/>
        </w:rPr>
        <w:t xml:space="preserve"> </w:t>
      </w:r>
      <w:r w:rsidRPr="00B20616">
        <w:rPr>
          <w:rFonts w:ascii="Arial" w:hAnsi="Arial" w:cs="Arial"/>
          <w:sz w:val="24"/>
          <w:szCs w:val="24"/>
        </w:rPr>
        <w:tab/>
        <w:t>For response to the</w:t>
      </w:r>
      <w:r w:rsidR="003A4BAF" w:rsidRPr="00B20616">
        <w:rPr>
          <w:rFonts w:ascii="Arial" w:hAnsi="Arial" w:cs="Arial"/>
          <w:sz w:val="24"/>
          <w:szCs w:val="24"/>
        </w:rPr>
        <w:t xml:space="preserve"> gaining i</w:t>
      </w:r>
      <w:r w:rsidR="00852694" w:rsidRPr="00B20616">
        <w:rPr>
          <w:rFonts w:ascii="Arial" w:hAnsi="Arial" w:cs="Arial"/>
          <w:sz w:val="24"/>
          <w:szCs w:val="24"/>
        </w:rPr>
        <w:t xml:space="preserve">nventory </w:t>
      </w:r>
      <w:r w:rsidR="003A4BAF" w:rsidRPr="00B20616">
        <w:rPr>
          <w:rFonts w:ascii="Arial" w:hAnsi="Arial" w:cs="Arial"/>
          <w:sz w:val="24"/>
          <w:szCs w:val="24"/>
        </w:rPr>
        <w:t>manager</w:t>
      </w:r>
      <w:r w:rsidRPr="00B20616">
        <w:rPr>
          <w:rFonts w:ascii="Arial" w:hAnsi="Arial" w:cs="Arial"/>
          <w:sz w:val="24"/>
          <w:szCs w:val="24"/>
        </w:rPr>
        <w:t xml:space="preserve"> </w:t>
      </w:r>
      <w:r w:rsidR="003A4BAF" w:rsidRPr="00B20616">
        <w:rPr>
          <w:rFonts w:ascii="Arial" w:hAnsi="Arial" w:cs="Arial"/>
          <w:sz w:val="24"/>
          <w:szCs w:val="24"/>
        </w:rPr>
        <w:t>(</w:t>
      </w:r>
      <w:r w:rsidRPr="00B20616">
        <w:rPr>
          <w:rFonts w:ascii="Arial" w:hAnsi="Arial" w:cs="Arial"/>
          <w:sz w:val="24"/>
          <w:szCs w:val="24"/>
        </w:rPr>
        <w:t>GIM</w:t>
      </w:r>
      <w:r w:rsidR="003A4BAF" w:rsidRPr="00B20616">
        <w:rPr>
          <w:rFonts w:ascii="Arial" w:hAnsi="Arial" w:cs="Arial"/>
          <w:sz w:val="24"/>
          <w:szCs w:val="24"/>
        </w:rPr>
        <w:t xml:space="preserve">) </w:t>
      </w:r>
      <w:bookmarkStart w:id="0" w:name="_GoBack"/>
      <w:bookmarkEnd w:id="0"/>
      <w:r w:rsidRPr="00B20616">
        <w:rPr>
          <w:rFonts w:ascii="Arial" w:hAnsi="Arial" w:cs="Arial"/>
          <w:sz w:val="24"/>
          <w:szCs w:val="24"/>
        </w:rPr>
        <w:t xml:space="preserve">follow-up request for </w:t>
      </w:r>
      <w:r w:rsidR="003A4BAF" w:rsidRPr="00B20616">
        <w:rPr>
          <w:rFonts w:ascii="Arial" w:hAnsi="Arial" w:cs="Arial"/>
          <w:sz w:val="24"/>
          <w:szCs w:val="24"/>
        </w:rPr>
        <w:t>asset data.  Also used for follow-up and reconciliation requests for due-in information pertaining to logistically reassigned items</w:t>
      </w:r>
      <w:r w:rsidR="00852694" w:rsidRPr="00B20616">
        <w:rPr>
          <w:rFonts w:ascii="Arial" w:hAnsi="Arial" w:cs="Arial"/>
          <w:sz w:val="24"/>
          <w:szCs w:val="24"/>
        </w:rPr>
        <w:t xml:space="preserve">. </w:t>
      </w:r>
    </w:p>
    <w:p w14:paraId="79E371DA" w14:textId="77777777" w:rsidR="005A3E95" w:rsidRPr="00B20616" w:rsidRDefault="005A3E95" w:rsidP="00EC5C3A">
      <w:pPr>
        <w:tabs>
          <w:tab w:val="left" w:pos="3564"/>
        </w:tabs>
        <w:spacing w:after="240"/>
        <w:rPr>
          <w:rFonts w:ascii="Arial" w:hAnsi="Arial" w:cs="Arial"/>
          <w:sz w:val="24"/>
          <w:szCs w:val="24"/>
        </w:rPr>
      </w:pPr>
      <w:r w:rsidRPr="00B20616">
        <w:rPr>
          <w:rFonts w:ascii="Arial" w:hAnsi="Arial" w:cs="Arial"/>
          <w:bCs/>
          <w:sz w:val="24"/>
          <w:szCs w:val="24"/>
        </w:rPr>
        <w:t>RECORD POSITION:</w:t>
      </w:r>
      <w:r w:rsidRPr="00B20616">
        <w:rPr>
          <w:rFonts w:ascii="Arial" w:hAnsi="Arial" w:cs="Arial"/>
          <w:sz w:val="24"/>
          <w:szCs w:val="24"/>
        </w:rPr>
        <w:t xml:space="preserve">  </w:t>
      </w:r>
      <w:r w:rsidRPr="00B20616">
        <w:rPr>
          <w:rFonts w:ascii="Arial" w:hAnsi="Arial" w:cs="Arial"/>
          <w:sz w:val="24"/>
          <w:szCs w:val="24"/>
        </w:rPr>
        <w:tab/>
        <w:t>65-66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852694" w:rsidRPr="00B20616" w14:paraId="2AFEED90" w14:textId="77777777" w:rsidTr="00171F81">
        <w:tc>
          <w:tcPr>
            <w:tcW w:w="3618" w:type="dxa"/>
            <w:shd w:val="clear" w:color="auto" w:fill="auto"/>
          </w:tcPr>
          <w:p w14:paraId="5C50D085" w14:textId="77777777" w:rsidR="00852694" w:rsidRPr="00171F81" w:rsidRDefault="00852694" w:rsidP="00171F81">
            <w:pPr>
              <w:tabs>
                <w:tab w:val="left" w:pos="360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1F81">
              <w:rPr>
                <w:rFonts w:ascii="Arial" w:hAnsi="Arial" w:cs="Arial"/>
                <w:sz w:val="24"/>
                <w:szCs w:val="24"/>
              </w:rPr>
              <w:t>DLMS SEGMENT/QUALIFIER:</w:t>
            </w:r>
          </w:p>
        </w:tc>
        <w:tc>
          <w:tcPr>
            <w:tcW w:w="5958" w:type="dxa"/>
            <w:shd w:val="clear" w:color="auto" w:fill="auto"/>
          </w:tcPr>
          <w:p w14:paraId="235C6798" w14:textId="15834FC3" w:rsidR="00852694" w:rsidRPr="00171F81" w:rsidRDefault="00852694" w:rsidP="00171F81">
            <w:pPr>
              <w:tabs>
                <w:tab w:val="left" w:pos="360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1F81">
              <w:rPr>
                <w:rFonts w:ascii="Arial" w:hAnsi="Arial" w:cs="Arial"/>
                <w:sz w:val="24"/>
                <w:szCs w:val="24"/>
              </w:rPr>
              <w:t>LQ Segment, LQ01 Data Element ID 1270 Qualifier    “</w:t>
            </w:r>
            <w:r w:rsidR="00EC5C3A" w:rsidRPr="00171F81">
              <w:rPr>
                <w:rFonts w:ascii="Arial" w:hAnsi="Arial" w:cs="Arial"/>
                <w:sz w:val="24"/>
                <w:szCs w:val="24"/>
              </w:rPr>
              <w:t>EB – Asset Transfer Status Code</w:t>
            </w:r>
            <w:r w:rsidR="007A289F" w:rsidRPr="00171F81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76047AAC" w14:textId="77777777" w:rsidR="00171F81" w:rsidRPr="00171F81" w:rsidRDefault="00171F81" w:rsidP="00171F81">
      <w:pPr>
        <w:rPr>
          <w:vanish/>
        </w:rPr>
      </w:pP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5A3E95" w:rsidRPr="00B20616" w14:paraId="79E371DF" w14:textId="77777777" w:rsidTr="000A38F2">
        <w:trPr>
          <w:cantSplit/>
          <w:trHeight w:val="403"/>
          <w:tblHeader/>
        </w:trPr>
        <w:tc>
          <w:tcPr>
            <w:tcW w:w="1260" w:type="dxa"/>
          </w:tcPr>
          <w:p w14:paraId="79E371DD" w14:textId="77777777" w:rsidR="005A3E95" w:rsidRPr="00B20616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20616">
              <w:rPr>
                <w:rFonts w:ascii="Arial" w:hAnsi="Arial" w:cs="Arial"/>
                <w:bCs/>
                <w:sz w:val="24"/>
                <w:szCs w:val="24"/>
                <w:u w:val="single"/>
              </w:rPr>
              <w:t>CODE</w:t>
            </w:r>
          </w:p>
        </w:tc>
        <w:tc>
          <w:tcPr>
            <w:tcW w:w="8280" w:type="dxa"/>
          </w:tcPr>
          <w:p w14:paraId="79E371DE" w14:textId="77777777" w:rsidR="005A3E95" w:rsidRPr="00B20616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20616">
              <w:rPr>
                <w:rFonts w:ascii="Arial" w:hAnsi="Arial" w:cs="Arial"/>
                <w:bCs/>
                <w:sz w:val="24"/>
                <w:szCs w:val="24"/>
                <w:u w:val="single"/>
              </w:rPr>
              <w:t>EXPLANATION</w:t>
            </w:r>
          </w:p>
        </w:tc>
      </w:tr>
      <w:tr w:rsidR="005A3E95" w:rsidRPr="003A4BAF" w14:paraId="79E371E2" w14:textId="77777777" w:rsidTr="000A38F2">
        <w:trPr>
          <w:cantSplit/>
          <w:trHeight w:val="403"/>
        </w:trPr>
        <w:tc>
          <w:tcPr>
            <w:tcW w:w="1260" w:type="dxa"/>
          </w:tcPr>
          <w:p w14:paraId="79E371E0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8280" w:type="dxa"/>
          </w:tcPr>
          <w:p w14:paraId="79E371E1" w14:textId="3A25AF3A" w:rsidR="005A3E95" w:rsidRPr="003A4BAF" w:rsidRDefault="005A3E95" w:rsidP="003A4BA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No assets are available for transfer.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Document Identif</w:t>
            </w:r>
            <w:r w:rsidR="003A4BAF">
              <w:rPr>
                <w:rFonts w:ascii="Arial" w:hAnsi="Arial" w:cs="Arial"/>
                <w:sz w:val="24"/>
                <w:szCs w:val="24"/>
              </w:rPr>
              <w:t>i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er Code (DIC)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DLB.)  No record of due-in; cancel memorandum due-in record.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>s DLD and DLF.)</w:t>
            </w:r>
          </w:p>
        </w:tc>
      </w:tr>
      <w:tr w:rsidR="005A3E95" w:rsidRPr="003A4BAF" w14:paraId="79E371E5" w14:textId="77777777" w:rsidTr="000A38F2">
        <w:trPr>
          <w:cantSplit/>
          <w:trHeight w:val="403"/>
        </w:trPr>
        <w:tc>
          <w:tcPr>
            <w:tcW w:w="1260" w:type="dxa"/>
          </w:tcPr>
          <w:p w14:paraId="79E371E3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8280" w:type="dxa"/>
          </w:tcPr>
          <w:p w14:paraId="79E371E4" w14:textId="5787CA5E" w:rsidR="005A3E95" w:rsidRPr="003A4BAF" w:rsidRDefault="003A4BAF" w:rsidP="00EC5C3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DEE/DEF Logistic Transfer/ Decapitalization transactions and </w:t>
            </w: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DD_/DF_ due-in transactions (provided due-in existed) submitted previously.  </w:t>
            </w:r>
            <w:r w:rsidR="00EC5C3A">
              <w:rPr>
                <w:rFonts w:ascii="Arial" w:hAnsi="Arial" w:cs="Arial"/>
                <w:sz w:val="24"/>
                <w:szCs w:val="24"/>
              </w:rPr>
              <w:t xml:space="preserve">Losing inventory manager (LIM) 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will submit duplicate transactions.  (Applies to </w:t>
            </w: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DLB.)  Due-in (full or partial quantity) has been received.  LIM will provide duplicate </w:t>
            </w: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DEE/DEF logistics transfer/decapitalization transactions and </w:t>
            </w: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D4X/D6X memorandum receipt transactions.  (Applies to </w:t>
            </w: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s DLD and DLF.) </w:t>
            </w:r>
          </w:p>
        </w:tc>
      </w:tr>
      <w:tr w:rsidR="005A3E95" w:rsidRPr="003A4BAF" w14:paraId="79E371E8" w14:textId="77777777" w:rsidTr="000A38F2">
        <w:trPr>
          <w:cantSplit/>
          <w:trHeight w:val="403"/>
        </w:trPr>
        <w:tc>
          <w:tcPr>
            <w:tcW w:w="1260" w:type="dxa"/>
          </w:tcPr>
          <w:p w14:paraId="79E371E6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AC</w:t>
            </w:r>
          </w:p>
        </w:tc>
        <w:tc>
          <w:tcPr>
            <w:tcW w:w="8280" w:type="dxa"/>
          </w:tcPr>
          <w:p w14:paraId="79E371E7" w14:textId="22F8CB4D" w:rsidR="005A3E95" w:rsidRPr="003A4BAF" w:rsidRDefault="003A4BAF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DEE/DEF Logistics Transfer/Decapitalization transaction will be submitted.  (Applies to </w:t>
            </w:r>
            <w:r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="005A3E95" w:rsidRPr="003A4BAF">
              <w:rPr>
                <w:rFonts w:ascii="Arial" w:hAnsi="Arial" w:cs="Arial"/>
                <w:sz w:val="24"/>
                <w:szCs w:val="24"/>
              </w:rPr>
              <w:t xml:space="preserve"> DLB.)</w:t>
            </w:r>
          </w:p>
        </w:tc>
      </w:tr>
      <w:tr w:rsidR="005A3E95" w:rsidRPr="003A4BAF" w14:paraId="79E371EB" w14:textId="77777777" w:rsidTr="000A38F2">
        <w:trPr>
          <w:cantSplit/>
          <w:trHeight w:val="403"/>
        </w:trPr>
        <w:tc>
          <w:tcPr>
            <w:tcW w:w="1260" w:type="dxa"/>
          </w:tcPr>
          <w:p w14:paraId="79E371E9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AD</w:t>
            </w:r>
          </w:p>
        </w:tc>
        <w:tc>
          <w:tcPr>
            <w:tcW w:w="8280" w:type="dxa"/>
          </w:tcPr>
          <w:p w14:paraId="79E371EA" w14:textId="2597E949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No assets are available for transfer but due-ins exist.  Due-in transactions will be submitted.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DLB.)  Delinquent due-in exists.  Routine follow-up action being taken by the LIM.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s DLD and DLF.) </w:t>
            </w:r>
          </w:p>
        </w:tc>
      </w:tr>
      <w:tr w:rsidR="005A3E95" w:rsidRPr="003A4BAF" w14:paraId="79E371EE" w14:textId="77777777" w:rsidTr="000A38F2">
        <w:trPr>
          <w:cantSplit/>
          <w:trHeight w:val="403"/>
        </w:trPr>
        <w:tc>
          <w:tcPr>
            <w:tcW w:w="1260" w:type="dxa"/>
          </w:tcPr>
          <w:p w14:paraId="79E371EC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AE</w:t>
            </w:r>
          </w:p>
        </w:tc>
        <w:tc>
          <w:tcPr>
            <w:tcW w:w="8280" w:type="dxa"/>
          </w:tcPr>
          <w:p w14:paraId="79E371ED" w14:textId="7A7F2B30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Additional due-in available for transfer.  LIM will provide memorandum due-in.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DLF when additional due-in is available for transfer or when no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DLE was received.)  </w:t>
            </w:r>
          </w:p>
        </w:tc>
      </w:tr>
      <w:tr w:rsidR="005A3E95" w:rsidRPr="003A4BAF" w14:paraId="79E371F1" w14:textId="77777777" w:rsidTr="000A38F2">
        <w:trPr>
          <w:cantSplit/>
          <w:trHeight w:val="403"/>
        </w:trPr>
        <w:tc>
          <w:tcPr>
            <w:tcW w:w="1260" w:type="dxa"/>
          </w:tcPr>
          <w:p w14:paraId="79E371EF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AF</w:t>
            </w:r>
          </w:p>
        </w:tc>
        <w:tc>
          <w:tcPr>
            <w:tcW w:w="8280" w:type="dxa"/>
          </w:tcPr>
          <w:p w14:paraId="79E371F0" w14:textId="7BA8D6B5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Change to estimated delivery date.  Revised delivery date is provided.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>s DLD and DLF.)</w:t>
            </w:r>
          </w:p>
        </w:tc>
      </w:tr>
      <w:tr w:rsidR="005A3E95" w:rsidRPr="003A4BAF" w14:paraId="79E371F4" w14:textId="77777777" w:rsidTr="000A38F2">
        <w:trPr>
          <w:cantSplit/>
          <w:trHeight w:val="403"/>
        </w:trPr>
        <w:tc>
          <w:tcPr>
            <w:tcW w:w="1260" w:type="dxa"/>
          </w:tcPr>
          <w:p w14:paraId="79E371F2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AG</w:t>
            </w:r>
          </w:p>
        </w:tc>
        <w:tc>
          <w:tcPr>
            <w:tcW w:w="8280" w:type="dxa"/>
          </w:tcPr>
          <w:p w14:paraId="79E371F3" w14:textId="1741CAC7" w:rsidR="005A3E95" w:rsidRPr="003A4BAF" w:rsidRDefault="005A3E95" w:rsidP="003A4BA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Original due-in transaction has been reversed (i.e., cancelled).  Cancel delinquent due-in.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s DLD and DLF.) </w:t>
            </w:r>
          </w:p>
        </w:tc>
      </w:tr>
      <w:tr w:rsidR="005A3E95" w:rsidRPr="003A4BAF" w14:paraId="79E371F7" w14:textId="77777777" w:rsidTr="000A38F2">
        <w:trPr>
          <w:cantSplit/>
          <w:trHeight w:val="403"/>
        </w:trPr>
        <w:tc>
          <w:tcPr>
            <w:tcW w:w="1260" w:type="dxa"/>
          </w:tcPr>
          <w:p w14:paraId="79E371F5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lastRenderedPageBreak/>
              <w:t>AH</w:t>
            </w:r>
          </w:p>
        </w:tc>
        <w:tc>
          <w:tcPr>
            <w:tcW w:w="8280" w:type="dxa"/>
          </w:tcPr>
          <w:p w14:paraId="79E371F6" w14:textId="1790F444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Original pre</w:t>
            </w:r>
            <w:r w:rsidR="00171F81">
              <w:rPr>
                <w:rFonts w:ascii="Arial" w:hAnsi="Arial" w:cs="Arial"/>
                <w:sz w:val="24"/>
                <w:szCs w:val="24"/>
              </w:rPr>
              <w:t>-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award procurement due-in has been awarded on a contract.  LIM will submit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DDX reversal for the pre</w:t>
            </w:r>
            <w:r w:rsidR="00171F81">
              <w:rPr>
                <w:rFonts w:ascii="Arial" w:hAnsi="Arial" w:cs="Arial"/>
                <w:sz w:val="24"/>
                <w:szCs w:val="24"/>
              </w:rPr>
              <w:t>-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award due-in and a new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DDX with contract number, quantity, EDD, etc.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>s DLD and DLF.)</w:t>
            </w:r>
          </w:p>
        </w:tc>
      </w:tr>
      <w:tr w:rsidR="005A3E95" w:rsidRPr="003A4BAF" w14:paraId="79E371FA" w14:textId="77777777" w:rsidTr="000A38F2">
        <w:trPr>
          <w:cantSplit/>
          <w:trHeight w:val="403"/>
        </w:trPr>
        <w:tc>
          <w:tcPr>
            <w:tcW w:w="1260" w:type="dxa"/>
          </w:tcPr>
          <w:p w14:paraId="79E371F8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A1</w:t>
            </w:r>
          </w:p>
        </w:tc>
        <w:tc>
          <w:tcPr>
            <w:tcW w:w="8280" w:type="dxa"/>
          </w:tcPr>
          <w:p w14:paraId="79E371F9" w14:textId="763A4C23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Contract delivery action is complete.  LIM will submit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 xml:space="preserve"> DDX reversal for the portion of the due-in quantity not received.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>s DLD and DLF.)</w:t>
            </w:r>
          </w:p>
        </w:tc>
      </w:tr>
      <w:tr w:rsidR="005A3E95" w:rsidRPr="003A4BAF" w14:paraId="79E371FD" w14:textId="77777777" w:rsidTr="000A38F2">
        <w:trPr>
          <w:cantSplit/>
          <w:trHeight w:val="403"/>
        </w:trPr>
        <w:tc>
          <w:tcPr>
            <w:tcW w:w="1260" w:type="dxa"/>
          </w:tcPr>
          <w:p w14:paraId="79E371FB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AJ</w:t>
            </w:r>
          </w:p>
        </w:tc>
        <w:tc>
          <w:tcPr>
            <w:tcW w:w="8280" w:type="dxa"/>
          </w:tcPr>
          <w:p w14:paraId="79E371FC" w14:textId="3587E08A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Materiel pending litigation or returned to contractor.  GIM will retain due-in pending resolution by ACO.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>s DLD and DLF.)</w:t>
            </w:r>
          </w:p>
        </w:tc>
      </w:tr>
      <w:tr w:rsidR="005A3E95" w:rsidRPr="005A3E95" w14:paraId="79E37200" w14:textId="77777777" w:rsidTr="000A38F2">
        <w:trPr>
          <w:cantSplit/>
          <w:trHeight w:val="403"/>
        </w:trPr>
        <w:tc>
          <w:tcPr>
            <w:tcW w:w="1260" w:type="dxa"/>
          </w:tcPr>
          <w:p w14:paraId="79E371FE" w14:textId="77777777" w:rsidR="005A3E95" w:rsidRPr="003A4BAF" w:rsidRDefault="005A3E95" w:rsidP="008526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>AK</w:t>
            </w:r>
          </w:p>
        </w:tc>
        <w:tc>
          <w:tcPr>
            <w:tcW w:w="8280" w:type="dxa"/>
          </w:tcPr>
          <w:p w14:paraId="79E371FF" w14:textId="38BDD158" w:rsidR="005A3E95" w:rsidRPr="003A4BAF" w:rsidRDefault="005A3E95" w:rsidP="003A4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A4BAF">
              <w:rPr>
                <w:rFonts w:ascii="Arial" w:hAnsi="Arial" w:cs="Arial"/>
                <w:sz w:val="24"/>
                <w:szCs w:val="24"/>
              </w:rPr>
              <w:t xml:space="preserve">Invalid due-in.  Original due-in transaction will be reversed (i.e., cancelled).  (Applies to </w:t>
            </w:r>
            <w:r w:rsidR="003A4BAF" w:rsidRPr="003A4BAF">
              <w:rPr>
                <w:rFonts w:ascii="Arial" w:hAnsi="Arial" w:cs="Arial"/>
                <w:sz w:val="24"/>
                <w:szCs w:val="24"/>
              </w:rPr>
              <w:t>DIC</w:t>
            </w:r>
            <w:r w:rsidRPr="003A4BAF">
              <w:rPr>
                <w:rFonts w:ascii="Arial" w:hAnsi="Arial" w:cs="Arial"/>
                <w:sz w:val="24"/>
                <w:szCs w:val="24"/>
              </w:rPr>
              <w:t>s DLD and DLF.)</w:t>
            </w:r>
          </w:p>
        </w:tc>
      </w:tr>
    </w:tbl>
    <w:p w14:paraId="79E37201" w14:textId="77777777" w:rsidR="00A45D9D" w:rsidRPr="005A3E95" w:rsidRDefault="00A45D9D" w:rsidP="00A45D9D">
      <w:pPr>
        <w:rPr>
          <w:rFonts w:ascii="Arial" w:hAnsi="Arial" w:cs="Arial"/>
          <w:b/>
          <w:bCs/>
          <w:sz w:val="24"/>
          <w:szCs w:val="24"/>
        </w:rPr>
      </w:pPr>
    </w:p>
    <w:sectPr w:rsidR="00A45D9D" w:rsidRPr="005A3E95" w:rsidSect="00B853B7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7204" w14:textId="77777777" w:rsidR="00852694" w:rsidRDefault="00852694">
      <w:r>
        <w:separator/>
      </w:r>
    </w:p>
  </w:endnote>
  <w:endnote w:type="continuationSeparator" w:id="0">
    <w:p w14:paraId="79E37205" w14:textId="77777777" w:rsidR="00852694" w:rsidRDefault="0085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7209" w14:textId="77777777" w:rsidR="00852694" w:rsidRDefault="00852694" w:rsidP="00446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E3720A" w14:textId="77777777" w:rsidR="00852694" w:rsidRPr="00A45D9D" w:rsidRDefault="00852694" w:rsidP="00A45D9D">
    <w:pPr>
      <w:pStyle w:val="Footer"/>
      <w:jc w:val="center"/>
      <w:rPr>
        <w:rFonts w:ascii="Arial" w:hAnsi="Arial" w:cs="Arial"/>
        <w:b/>
        <w:sz w:val="24"/>
        <w:szCs w:val="24"/>
      </w:rPr>
    </w:pPr>
    <w:r w:rsidRPr="00A45D9D">
      <w:rPr>
        <w:rFonts w:ascii="Arial" w:hAnsi="Arial" w:cs="Arial"/>
        <w:b/>
        <w:sz w:val="24"/>
        <w:szCs w:val="24"/>
      </w:rPr>
      <w:t>AP2.9-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720B" w14:textId="0618F443" w:rsidR="00852694" w:rsidRPr="008E49AB" w:rsidRDefault="00852694" w:rsidP="004466E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AP2.10-</w:t>
    </w:r>
    <w:r w:rsidRPr="008E49AB">
      <w:rPr>
        <w:rStyle w:val="PageNumber"/>
        <w:rFonts w:ascii="Arial" w:hAnsi="Arial" w:cs="Arial"/>
        <w:sz w:val="24"/>
        <w:szCs w:val="24"/>
      </w:rPr>
      <w:fldChar w:fldCharType="begin"/>
    </w:r>
    <w:r w:rsidRPr="008E49AB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8E49AB">
      <w:rPr>
        <w:rStyle w:val="PageNumber"/>
        <w:rFonts w:ascii="Arial" w:hAnsi="Arial" w:cs="Arial"/>
        <w:sz w:val="24"/>
        <w:szCs w:val="24"/>
      </w:rPr>
      <w:fldChar w:fldCharType="separate"/>
    </w:r>
    <w:r w:rsidR="009B5B0C">
      <w:rPr>
        <w:rStyle w:val="PageNumber"/>
        <w:rFonts w:ascii="Arial" w:hAnsi="Arial" w:cs="Arial"/>
        <w:noProof/>
        <w:sz w:val="24"/>
        <w:szCs w:val="24"/>
      </w:rPr>
      <w:t>1</w:t>
    </w:r>
    <w:r w:rsidRPr="008E49AB">
      <w:rPr>
        <w:rStyle w:val="PageNumber"/>
        <w:rFonts w:ascii="Arial" w:hAnsi="Arial" w:cs="Arial"/>
        <w:sz w:val="24"/>
        <w:szCs w:val="24"/>
      </w:rPr>
      <w:fldChar w:fldCharType="end"/>
    </w:r>
  </w:p>
  <w:p w14:paraId="79E3720C" w14:textId="77777777" w:rsidR="00852694" w:rsidRPr="008E49AB" w:rsidRDefault="00852694" w:rsidP="008E49AB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24"/>
        <w:szCs w:val="24"/>
      </w:rPr>
    </w:pPr>
    <w:r w:rsidRPr="008E49AB">
      <w:rPr>
        <w:rFonts w:ascii="Arial" w:hAnsi="Arial" w:cs="Arial"/>
        <w:sz w:val="24"/>
        <w:szCs w:val="24"/>
      </w:rPr>
      <w:t>APPENDIX 2.</w:t>
    </w:r>
    <w:r>
      <w:rPr>
        <w:rFonts w:ascii="Arial" w:hAnsi="Arial" w:cs="Arial"/>
        <w:sz w:val="24"/>
        <w:szCs w:val="2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7202" w14:textId="77777777" w:rsidR="00852694" w:rsidRDefault="00852694">
      <w:r>
        <w:separator/>
      </w:r>
    </w:p>
  </w:footnote>
  <w:footnote w:type="continuationSeparator" w:id="0">
    <w:p w14:paraId="79E37203" w14:textId="77777777" w:rsidR="00852694" w:rsidRDefault="0085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7206" w14:textId="77777777" w:rsidR="00852694" w:rsidRPr="00A45D9D" w:rsidRDefault="0085269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CH 2</w:t>
    </w:r>
  </w:p>
  <w:p w14:paraId="79E37207" w14:textId="77777777" w:rsidR="00852694" w:rsidRPr="00A45D9D" w:rsidRDefault="00852694">
    <w:pPr>
      <w:pStyle w:val="Header"/>
      <w:rPr>
        <w:rFonts w:ascii="Arial" w:hAnsi="Arial" w:cs="Arial"/>
        <w:b/>
        <w:sz w:val="24"/>
        <w:szCs w:val="24"/>
      </w:rPr>
    </w:pPr>
    <w:r w:rsidRPr="00A45D9D">
      <w:rPr>
        <w:rFonts w:ascii="Arial" w:hAnsi="Arial" w:cs="Arial"/>
        <w:b/>
        <w:sz w:val="24"/>
        <w:szCs w:val="24"/>
      </w:rPr>
      <w:t>DoD 4000.25-2-M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1E65" w14:textId="1E993C72" w:rsidR="00152A08" w:rsidRPr="00152A08" w:rsidRDefault="00152A08" w:rsidP="00152A08">
    <w:pPr>
      <w:tabs>
        <w:tab w:val="left" w:pos="720"/>
        <w:tab w:val="center" w:pos="4320"/>
        <w:tab w:val="right" w:pos="8640"/>
      </w:tabs>
      <w:jc w:val="right"/>
      <w:rPr>
        <w:rFonts w:ascii="Arial" w:hAnsi="Arial" w:cs="Arial"/>
        <w:i/>
        <w:sz w:val="24"/>
        <w:szCs w:val="24"/>
      </w:rPr>
    </w:pPr>
    <w:r w:rsidRPr="00152A08">
      <w:rPr>
        <w:rFonts w:ascii="Arial" w:hAnsi="Arial" w:cs="Arial"/>
        <w:i/>
        <w:sz w:val="24"/>
        <w:szCs w:val="24"/>
      </w:rPr>
      <w:t xml:space="preserve">DLM 4000.25, Volume 2, </w:t>
    </w:r>
    <w:r w:rsidR="009B5B0C" w:rsidRPr="009B5B0C">
      <w:rPr>
        <w:rFonts w:ascii="Arial" w:hAnsi="Arial" w:cs="Arial"/>
        <w:i/>
        <w:sz w:val="24"/>
        <w:szCs w:val="24"/>
      </w:rPr>
      <w:t>November 26</w:t>
    </w:r>
    <w:r w:rsidRPr="00152A08">
      <w:rPr>
        <w:rFonts w:ascii="Arial" w:hAnsi="Arial" w:cs="Arial"/>
        <w:i/>
        <w:sz w:val="24"/>
        <w:szCs w:val="24"/>
      </w:rPr>
      <w:t>, 2019</w:t>
    </w:r>
  </w:p>
  <w:p w14:paraId="3001B9D9" w14:textId="77777777" w:rsidR="00152A08" w:rsidRPr="00152A08" w:rsidRDefault="00152A08" w:rsidP="00152A08">
    <w:pPr>
      <w:tabs>
        <w:tab w:val="left" w:pos="720"/>
        <w:tab w:val="center" w:pos="4320"/>
        <w:tab w:val="right" w:pos="8640"/>
      </w:tabs>
      <w:jc w:val="right"/>
      <w:rPr>
        <w:rFonts w:ascii="Arial" w:hAnsi="Arial"/>
        <w:i/>
        <w:sz w:val="24"/>
      </w:rPr>
    </w:pPr>
    <w:r w:rsidRPr="00152A08">
      <w:rPr>
        <w:rFonts w:ascii="Arial" w:hAnsi="Arial" w:cs="Arial"/>
        <w:i/>
        <w:sz w:val="24"/>
        <w:szCs w:val="24"/>
      </w:rPr>
      <w:t>Change 13</w:t>
    </w:r>
  </w:p>
  <w:p w14:paraId="79E37208" w14:textId="0161BCC2" w:rsidR="00852694" w:rsidRPr="00152A08" w:rsidRDefault="00852694" w:rsidP="00152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D9D"/>
    <w:rsid w:val="0000033E"/>
    <w:rsid w:val="000A38F2"/>
    <w:rsid w:val="000C1A31"/>
    <w:rsid w:val="00152A08"/>
    <w:rsid w:val="00171F81"/>
    <w:rsid w:val="003427F0"/>
    <w:rsid w:val="0035644C"/>
    <w:rsid w:val="003A4BAF"/>
    <w:rsid w:val="003F2A25"/>
    <w:rsid w:val="004466E6"/>
    <w:rsid w:val="00460156"/>
    <w:rsid w:val="0046688A"/>
    <w:rsid w:val="004C3B60"/>
    <w:rsid w:val="0053640A"/>
    <w:rsid w:val="005A3E95"/>
    <w:rsid w:val="005E48BB"/>
    <w:rsid w:val="006A745F"/>
    <w:rsid w:val="007A289F"/>
    <w:rsid w:val="007C68E3"/>
    <w:rsid w:val="008120AA"/>
    <w:rsid w:val="00852694"/>
    <w:rsid w:val="008936D3"/>
    <w:rsid w:val="008E49AB"/>
    <w:rsid w:val="00932F05"/>
    <w:rsid w:val="009451D0"/>
    <w:rsid w:val="009A7EC7"/>
    <w:rsid w:val="009B5B0C"/>
    <w:rsid w:val="009E73AE"/>
    <w:rsid w:val="00A230AA"/>
    <w:rsid w:val="00A45D9D"/>
    <w:rsid w:val="00A606E4"/>
    <w:rsid w:val="00A77A3C"/>
    <w:rsid w:val="00AA3575"/>
    <w:rsid w:val="00B20616"/>
    <w:rsid w:val="00B25575"/>
    <w:rsid w:val="00B476A9"/>
    <w:rsid w:val="00B853B7"/>
    <w:rsid w:val="00BB0515"/>
    <w:rsid w:val="00CC47E8"/>
    <w:rsid w:val="00CE170D"/>
    <w:rsid w:val="00CF250E"/>
    <w:rsid w:val="00D032CD"/>
    <w:rsid w:val="00DF6604"/>
    <w:rsid w:val="00EC5C3A"/>
    <w:rsid w:val="00F47DF6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371D1"/>
  <w15:docId w15:val="{EB840BCD-5E54-4006-9802-4644B453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9D"/>
    <w:rPr>
      <w:rFonts w:ascii="Clarendon Condensed" w:hAnsi="Clarendon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5D9D"/>
    <w:rPr>
      <w:position w:val="6"/>
      <w:sz w:val="16"/>
      <w:szCs w:val="16"/>
    </w:rPr>
  </w:style>
  <w:style w:type="paragraph" w:styleId="FootnoteText">
    <w:name w:val="footnote text"/>
    <w:basedOn w:val="Normal"/>
    <w:semiHidden/>
    <w:rsid w:val="00A45D9D"/>
  </w:style>
  <w:style w:type="character" w:styleId="Hyperlink">
    <w:name w:val="Hyperlink"/>
    <w:rsid w:val="00A45D9D"/>
    <w:rPr>
      <w:color w:val="0000FF"/>
      <w:u w:val="single"/>
    </w:rPr>
  </w:style>
  <w:style w:type="paragraph" w:styleId="Header">
    <w:name w:val="header"/>
    <w:basedOn w:val="Normal"/>
    <w:rsid w:val="00A45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D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9D"/>
  </w:style>
  <w:style w:type="paragraph" w:styleId="BalloonText">
    <w:name w:val="Balloon Text"/>
    <w:basedOn w:val="Normal"/>
    <w:semiHidden/>
    <w:rsid w:val="00342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2694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E4DF5-94E3-4A57-99B4-518499BA28E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04CFE6-CABD-4FB9-AD8F-3E1D64116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E79F1-C1A8-4D93-A745-2B3054C75B24}"/>
</file>

<file path=docProps/app.xml><?xml version="1.0" encoding="utf-8"?>
<Properties xmlns="http://schemas.openxmlformats.org/officeDocument/2006/extended-properties" xmlns:vt="http://schemas.openxmlformats.org/officeDocument/2006/docPropsVTypes">
  <Template>101CD315.dotm</Template>
  <TotalTime>52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2.10 ASSET TRANSFER STATUS CODE</vt:lpstr>
    </vt:vector>
  </TitlesOfParts>
  <Company>DLA Logistics Management Standards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2.10 ASSET TRANSFER STATUS CODE</dc:title>
  <dc:subject>ASSET TRANSFER STATUS CODE</dc:subject>
  <dc:creator>Mary Jane Johnson</dc:creator>
  <cp:keywords/>
  <dc:description/>
  <cp:lastModifiedBy>Nguyen, Bao X CTR DLA INFO OPERATIONS (USA)</cp:lastModifiedBy>
  <cp:revision>15</cp:revision>
  <cp:lastPrinted>2012-05-03T16:20:00Z</cp:lastPrinted>
  <dcterms:created xsi:type="dcterms:W3CDTF">2009-12-16T17:31:00Z</dcterms:created>
  <dcterms:modified xsi:type="dcterms:W3CDTF">2019-11-26T19:27:00Z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2322300</vt:r8>
  </property>
</Properties>
</file>