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81009" w14:textId="77777777" w:rsidR="000F645F" w:rsidRPr="00000AFB" w:rsidRDefault="000F645F" w:rsidP="00675D18">
      <w:pPr>
        <w:spacing w:after="240"/>
        <w:ind w:right="634"/>
        <w:jc w:val="center"/>
        <w:rPr>
          <w:sz w:val="44"/>
          <w:szCs w:val="44"/>
          <w:u w:val="single"/>
        </w:rPr>
      </w:pPr>
      <w:r w:rsidRPr="00000AFB">
        <w:rPr>
          <w:b/>
          <w:bCs/>
          <w:sz w:val="44"/>
          <w:szCs w:val="44"/>
          <w:u w:val="single"/>
        </w:rPr>
        <w:t>AP3</w:t>
      </w:r>
      <w:r w:rsidR="000350D9" w:rsidRPr="00000AFB">
        <w:rPr>
          <w:b/>
          <w:bCs/>
          <w:sz w:val="44"/>
          <w:szCs w:val="44"/>
          <w:u w:val="single"/>
        </w:rPr>
        <w:t>.</w:t>
      </w:r>
      <w:r w:rsidRPr="00000AFB">
        <w:rPr>
          <w:b/>
          <w:bCs/>
          <w:sz w:val="44"/>
          <w:szCs w:val="44"/>
          <w:u w:val="single"/>
        </w:rPr>
        <w:t xml:space="preserve"> APPENDIX 3</w:t>
      </w:r>
    </w:p>
    <w:p w14:paraId="1158100A" w14:textId="77777777" w:rsidR="000F645F" w:rsidRPr="000F645F" w:rsidRDefault="000F645F" w:rsidP="000F645F">
      <w:pPr>
        <w:spacing w:after="360"/>
        <w:ind w:right="634"/>
        <w:jc w:val="center"/>
        <w:rPr>
          <w:b/>
          <w:bCs/>
          <w:sz w:val="36"/>
          <w:szCs w:val="36"/>
          <w:u w:val="single"/>
        </w:rPr>
      </w:pPr>
      <w:r w:rsidRPr="000F645F">
        <w:rPr>
          <w:b/>
          <w:bCs/>
          <w:sz w:val="36"/>
          <w:szCs w:val="36"/>
          <w:u w:val="single"/>
        </w:rPr>
        <w:t>FORMATS INTRODUCTION</w:t>
      </w:r>
    </w:p>
    <w:p w14:paraId="1158100B" w14:textId="77777777" w:rsidR="000F645F" w:rsidRDefault="000F645F" w:rsidP="00675D18">
      <w:pPr>
        <w:spacing w:after="240"/>
        <w:ind w:right="360"/>
        <w:rPr>
          <w:sz w:val="24"/>
          <w:szCs w:val="24"/>
        </w:rPr>
      </w:pPr>
      <w:r>
        <w:rPr>
          <w:sz w:val="24"/>
          <w:szCs w:val="24"/>
        </w:rPr>
        <w:t xml:space="preserve">AP3.1.  </w:t>
      </w:r>
      <w:r w:rsidRPr="00B74183">
        <w:rPr>
          <w:sz w:val="24"/>
          <w:szCs w:val="24"/>
          <w:u w:val="single"/>
        </w:rPr>
        <w:t>General</w:t>
      </w:r>
      <w:r>
        <w:rPr>
          <w:sz w:val="24"/>
          <w:szCs w:val="24"/>
        </w:rPr>
        <w:t>.  The AP3 series appendices prescribe the alignment and data entries for the MILSTRAP formats.</w:t>
      </w:r>
    </w:p>
    <w:p w14:paraId="1158100C" w14:textId="37DDC2F4" w:rsidR="000F645F" w:rsidRDefault="000F645F" w:rsidP="00675D18">
      <w:pPr>
        <w:spacing w:after="240"/>
        <w:rPr>
          <w:sz w:val="24"/>
          <w:szCs w:val="24"/>
        </w:rPr>
      </w:pPr>
      <w:r>
        <w:rPr>
          <w:sz w:val="24"/>
          <w:szCs w:val="24"/>
        </w:rPr>
        <w:t xml:space="preserve">AP3.2.  </w:t>
      </w:r>
      <w:r w:rsidRPr="00B74183">
        <w:rPr>
          <w:sz w:val="24"/>
          <w:szCs w:val="24"/>
          <w:u w:val="single"/>
        </w:rPr>
        <w:t>Formats</w:t>
      </w:r>
      <w:r>
        <w:rPr>
          <w:sz w:val="24"/>
          <w:szCs w:val="24"/>
        </w:rPr>
        <w:t xml:space="preserve">.  MILSTRAP formats are described in </w:t>
      </w:r>
      <w:r w:rsidR="00F94F4F">
        <w:rPr>
          <w:sz w:val="24"/>
          <w:szCs w:val="24"/>
        </w:rPr>
        <w:t xml:space="preserve">Appendices </w:t>
      </w:r>
      <w:r>
        <w:rPr>
          <w:sz w:val="24"/>
          <w:szCs w:val="24"/>
        </w:rPr>
        <w:t>AP3.1 through AP3.</w:t>
      </w:r>
      <w:r w:rsidR="00F94F4F">
        <w:rPr>
          <w:sz w:val="24"/>
          <w:szCs w:val="24"/>
        </w:rPr>
        <w:t>64</w:t>
      </w:r>
      <w:r>
        <w:rPr>
          <w:sz w:val="24"/>
          <w:szCs w:val="24"/>
        </w:rPr>
        <w:t>.</w:t>
      </w:r>
    </w:p>
    <w:p w14:paraId="1158100D" w14:textId="7CAEC99A" w:rsidR="000F645F" w:rsidRDefault="000F645F" w:rsidP="00675D18">
      <w:pPr>
        <w:spacing w:after="240"/>
        <w:ind w:right="360"/>
        <w:rPr>
          <w:sz w:val="24"/>
          <w:szCs w:val="24"/>
        </w:rPr>
      </w:pPr>
      <w:r>
        <w:rPr>
          <w:sz w:val="24"/>
          <w:szCs w:val="24"/>
        </w:rPr>
        <w:t xml:space="preserve">AP3.3.  </w:t>
      </w:r>
      <w:r w:rsidRPr="00B74183">
        <w:rPr>
          <w:sz w:val="24"/>
          <w:szCs w:val="24"/>
          <w:u w:val="single"/>
        </w:rPr>
        <w:t>Special Explanation/Instruction</w:t>
      </w:r>
      <w:r>
        <w:rPr>
          <w:sz w:val="24"/>
          <w:szCs w:val="24"/>
        </w:rPr>
        <w:t>.  To prevent repeating lengthy and repetitious footnotes, explanations, and instructions, the following are provided f</w:t>
      </w:r>
      <w:r w:rsidR="00D6229A">
        <w:rPr>
          <w:sz w:val="24"/>
          <w:szCs w:val="24"/>
        </w:rPr>
        <w:t xml:space="preserve">or </w:t>
      </w:r>
      <w:r>
        <w:rPr>
          <w:sz w:val="24"/>
          <w:szCs w:val="24"/>
        </w:rPr>
        <w:t xml:space="preserve">reference purposes and </w:t>
      </w:r>
      <w:r w:rsidR="003F59BE" w:rsidRPr="00211340">
        <w:rPr>
          <w:sz w:val="24"/>
          <w:szCs w:val="24"/>
        </w:rPr>
        <w:t xml:space="preserve">shall </w:t>
      </w:r>
      <w:r w:rsidRPr="00211340">
        <w:rPr>
          <w:sz w:val="24"/>
          <w:szCs w:val="24"/>
        </w:rPr>
        <w:t>b</w:t>
      </w:r>
      <w:r>
        <w:rPr>
          <w:sz w:val="24"/>
          <w:szCs w:val="24"/>
        </w:rPr>
        <w:t>e referred to in the applicable formats:</w:t>
      </w:r>
    </w:p>
    <w:p w14:paraId="1158100E" w14:textId="36985843" w:rsidR="000F645F" w:rsidRDefault="000F645F" w:rsidP="00675D18">
      <w:pPr>
        <w:tabs>
          <w:tab w:val="left" w:pos="540"/>
        </w:tabs>
        <w:spacing w:after="240"/>
        <w:ind w:right="360"/>
        <w:rPr>
          <w:sz w:val="24"/>
          <w:szCs w:val="24"/>
        </w:rPr>
      </w:pPr>
      <w:r>
        <w:rPr>
          <w:sz w:val="24"/>
          <w:szCs w:val="24"/>
        </w:rPr>
        <w:tab/>
        <w:t xml:space="preserve">AP3.3.1.  For </w:t>
      </w:r>
      <w:r w:rsidRPr="003F59BE">
        <w:rPr>
          <w:sz w:val="24"/>
          <w:szCs w:val="24"/>
        </w:rPr>
        <w:t>ammunition</w:t>
      </w:r>
      <w:r w:rsidR="003F59BE" w:rsidRPr="003F59BE">
        <w:rPr>
          <w:b/>
          <w:bCs/>
          <w:i/>
          <w:color w:val="FF0000"/>
        </w:rPr>
        <w:t xml:space="preserve"> </w:t>
      </w:r>
      <w:r w:rsidR="003F59BE" w:rsidRPr="00211340">
        <w:rPr>
          <w:sz w:val="24"/>
          <w:szCs w:val="24"/>
        </w:rPr>
        <w:t>and ammunition related</w:t>
      </w:r>
      <w:r w:rsidRPr="00211340">
        <w:rPr>
          <w:sz w:val="24"/>
          <w:szCs w:val="24"/>
        </w:rPr>
        <w:t xml:space="preserve"> items in Federal </w:t>
      </w:r>
      <w:r w:rsidR="00F94F4F" w:rsidRPr="00211340">
        <w:rPr>
          <w:sz w:val="24"/>
          <w:szCs w:val="24"/>
        </w:rPr>
        <w:t xml:space="preserve">supply group </w:t>
      </w:r>
      <w:r w:rsidRPr="00211340">
        <w:rPr>
          <w:sz w:val="24"/>
          <w:szCs w:val="24"/>
        </w:rPr>
        <w:t xml:space="preserve">13, </w:t>
      </w:r>
      <w:r w:rsidR="003F59BE" w:rsidRPr="00211340">
        <w:rPr>
          <w:sz w:val="24"/>
          <w:szCs w:val="24"/>
        </w:rPr>
        <w:t xml:space="preserve">and Federal </w:t>
      </w:r>
      <w:r w:rsidR="00F94F4F" w:rsidRPr="00211340">
        <w:rPr>
          <w:sz w:val="24"/>
          <w:szCs w:val="24"/>
        </w:rPr>
        <w:t>s</w:t>
      </w:r>
      <w:r w:rsidR="003F59BE" w:rsidRPr="00211340">
        <w:rPr>
          <w:sz w:val="24"/>
          <w:szCs w:val="24"/>
        </w:rPr>
        <w:t xml:space="preserve">upply </w:t>
      </w:r>
      <w:r w:rsidR="00F94F4F" w:rsidRPr="00211340">
        <w:rPr>
          <w:sz w:val="24"/>
          <w:szCs w:val="24"/>
        </w:rPr>
        <w:t>c</w:t>
      </w:r>
      <w:r w:rsidR="003F59BE" w:rsidRPr="00211340">
        <w:rPr>
          <w:sz w:val="24"/>
          <w:szCs w:val="24"/>
        </w:rPr>
        <w:t xml:space="preserve">lasses 1410, 1420, 1427, 1440, 5330, 5865, 6810 or 8140, </w:t>
      </w:r>
      <w:r w:rsidRPr="00211340">
        <w:rPr>
          <w:sz w:val="24"/>
          <w:szCs w:val="24"/>
        </w:rPr>
        <w:t>q</w:t>
      </w:r>
      <w:r>
        <w:rPr>
          <w:sz w:val="24"/>
          <w:szCs w:val="24"/>
        </w:rPr>
        <w:t xml:space="preserve">uantities exceeding 99,999 may be expressed in thousands by placing an M in record position 29.  </w:t>
      </w:r>
      <w:r w:rsidR="00F94F4F">
        <w:rPr>
          <w:sz w:val="24"/>
          <w:szCs w:val="24"/>
        </w:rPr>
        <w:t>For e</w:t>
      </w:r>
      <w:r>
        <w:rPr>
          <w:sz w:val="24"/>
          <w:szCs w:val="24"/>
        </w:rPr>
        <w:t xml:space="preserve">xample:  A quantity of 1,950,000 would be expressed as 1950M (1950 in record positions 25-28 and an M in record position 29).  Quantities not </w:t>
      </w:r>
      <w:r w:rsidRPr="00211340">
        <w:rPr>
          <w:sz w:val="24"/>
          <w:szCs w:val="24"/>
        </w:rPr>
        <w:t xml:space="preserve">evenly divisible by thousands </w:t>
      </w:r>
      <w:r w:rsidR="003F59BE" w:rsidRPr="00211340">
        <w:rPr>
          <w:sz w:val="24"/>
          <w:szCs w:val="24"/>
        </w:rPr>
        <w:t xml:space="preserve">shall </w:t>
      </w:r>
      <w:r w:rsidRPr="00211340">
        <w:rPr>
          <w:sz w:val="24"/>
          <w:szCs w:val="24"/>
        </w:rPr>
        <w:t xml:space="preserve">require two transactions.  The first transaction </w:t>
      </w:r>
      <w:r w:rsidR="003F59BE" w:rsidRPr="00211340">
        <w:rPr>
          <w:sz w:val="24"/>
          <w:szCs w:val="24"/>
        </w:rPr>
        <w:t xml:space="preserve">shall </w:t>
      </w:r>
      <w:r w:rsidRPr="00211340">
        <w:rPr>
          <w:sz w:val="24"/>
          <w:szCs w:val="24"/>
        </w:rPr>
        <w:t xml:space="preserve">reflect the rounded thousands using the M modifier and the second transaction </w:t>
      </w:r>
      <w:r w:rsidR="003F59BE" w:rsidRPr="00211340">
        <w:rPr>
          <w:sz w:val="24"/>
          <w:szCs w:val="24"/>
        </w:rPr>
        <w:t>shall</w:t>
      </w:r>
      <w:r w:rsidRPr="00211340">
        <w:rPr>
          <w:sz w:val="24"/>
          <w:szCs w:val="24"/>
        </w:rPr>
        <w:t xml:space="preserve"> reflect the residual quantity:  </w:t>
      </w:r>
      <w:r w:rsidR="00F94F4F" w:rsidRPr="00211340">
        <w:rPr>
          <w:sz w:val="24"/>
          <w:szCs w:val="24"/>
        </w:rPr>
        <w:t>For example: A</w:t>
      </w:r>
      <w:r w:rsidRPr="00211340">
        <w:rPr>
          <w:sz w:val="24"/>
          <w:szCs w:val="24"/>
        </w:rPr>
        <w:t xml:space="preserve"> quantity of 100,001, the first document </w:t>
      </w:r>
      <w:r w:rsidR="003F59BE" w:rsidRPr="00211340">
        <w:rPr>
          <w:sz w:val="24"/>
          <w:szCs w:val="24"/>
        </w:rPr>
        <w:t xml:space="preserve">shall </w:t>
      </w:r>
      <w:r w:rsidRPr="00211340">
        <w:rPr>
          <w:sz w:val="24"/>
          <w:szCs w:val="24"/>
        </w:rPr>
        <w:t xml:space="preserve">reflect a quantity of 0100M and the second document </w:t>
      </w:r>
      <w:r w:rsidR="003F59BE" w:rsidRPr="00211340">
        <w:rPr>
          <w:sz w:val="24"/>
          <w:szCs w:val="24"/>
        </w:rPr>
        <w:t xml:space="preserve">shall </w:t>
      </w:r>
      <w:r w:rsidRPr="00211340">
        <w:rPr>
          <w:sz w:val="24"/>
          <w:szCs w:val="24"/>
        </w:rPr>
        <w:t xml:space="preserve">reflect a quantity of </w:t>
      </w:r>
      <w:r>
        <w:rPr>
          <w:sz w:val="24"/>
          <w:szCs w:val="24"/>
        </w:rPr>
        <w:t>00001.</w:t>
      </w:r>
    </w:p>
    <w:p w14:paraId="1158100F" w14:textId="77777777" w:rsidR="000F645F" w:rsidRPr="00211340" w:rsidRDefault="000F645F" w:rsidP="00675D18">
      <w:pPr>
        <w:tabs>
          <w:tab w:val="left" w:pos="540"/>
        </w:tabs>
        <w:spacing w:after="240"/>
        <w:ind w:right="360"/>
        <w:rPr>
          <w:sz w:val="24"/>
          <w:szCs w:val="24"/>
        </w:rPr>
      </w:pPr>
      <w:r>
        <w:rPr>
          <w:sz w:val="24"/>
          <w:szCs w:val="24"/>
        </w:rPr>
        <w:tab/>
        <w:t>AP3.3.2.  When reversal or cancellation of the original transaction is required, enter a reversal indicator in record position 25.</w:t>
      </w:r>
      <w:r w:rsidR="003F59BE">
        <w:rPr>
          <w:sz w:val="24"/>
          <w:szCs w:val="24"/>
        </w:rPr>
        <w:t xml:space="preserve">  </w:t>
      </w:r>
      <w:r w:rsidR="003F59BE" w:rsidRPr="00211340">
        <w:rPr>
          <w:sz w:val="24"/>
          <w:szCs w:val="24"/>
        </w:rPr>
        <w:t>Chapter 9 provides a list of the MILSTRAP transactions that are authorized for reversal.</w:t>
      </w:r>
    </w:p>
    <w:p w14:paraId="11581074" w14:textId="1CD69757" w:rsidR="003D5805" w:rsidRPr="00211340" w:rsidRDefault="00540D05" w:rsidP="00540D05">
      <w:pPr>
        <w:tabs>
          <w:tab w:val="left" w:pos="540"/>
          <w:tab w:val="left" w:pos="1080"/>
        </w:tabs>
        <w:spacing w:after="240"/>
        <w:ind w:right="360"/>
        <w:rPr>
          <w:sz w:val="24"/>
          <w:szCs w:val="24"/>
        </w:rPr>
      </w:pPr>
      <w:r>
        <w:rPr>
          <w:b/>
          <w:szCs w:val="24"/>
        </w:rPr>
        <w:tab/>
      </w:r>
      <w:r>
        <w:rPr>
          <w:b/>
          <w:szCs w:val="24"/>
        </w:rPr>
        <w:tab/>
      </w:r>
      <w:r w:rsidR="003D5805" w:rsidRPr="00211340">
        <w:rPr>
          <w:sz w:val="24"/>
          <w:szCs w:val="24"/>
        </w:rPr>
        <w:t>AP3.3.2.</w:t>
      </w:r>
      <w:r w:rsidR="003F59BE" w:rsidRPr="00211340">
        <w:rPr>
          <w:sz w:val="24"/>
          <w:szCs w:val="24"/>
        </w:rPr>
        <w:t>1</w:t>
      </w:r>
      <w:r w:rsidR="003D5805" w:rsidRPr="00211340">
        <w:rPr>
          <w:sz w:val="24"/>
          <w:szCs w:val="24"/>
        </w:rPr>
        <w:t xml:space="preserve">. </w:t>
      </w:r>
      <w:r w:rsidR="00D6229A" w:rsidRPr="00211340">
        <w:rPr>
          <w:sz w:val="24"/>
          <w:szCs w:val="24"/>
        </w:rPr>
        <w:t xml:space="preserve"> </w:t>
      </w:r>
      <w:r w:rsidR="003D5805" w:rsidRPr="00211340">
        <w:rPr>
          <w:sz w:val="24"/>
          <w:szCs w:val="24"/>
          <w:u w:val="single"/>
        </w:rPr>
        <w:t>Reversal Indicator</w:t>
      </w:r>
      <w:r w:rsidR="003D5805" w:rsidRPr="00211340">
        <w:rPr>
          <w:sz w:val="24"/>
          <w:szCs w:val="24"/>
        </w:rPr>
        <w:t xml:space="preserve">.  In punched-card transactions, the reversal indicator was an eleven-zone over punch of the quantity digit in record position 25 of the quantity to be reversed.  In </w:t>
      </w:r>
      <w:proofErr w:type="spellStart"/>
      <w:r w:rsidR="003D5805" w:rsidRPr="00211340">
        <w:rPr>
          <w:sz w:val="24"/>
          <w:szCs w:val="24"/>
        </w:rPr>
        <w:t>non punched</w:t>
      </w:r>
      <w:proofErr w:type="spellEnd"/>
      <w:r w:rsidR="003D5805" w:rsidRPr="00211340">
        <w:rPr>
          <w:sz w:val="24"/>
          <w:szCs w:val="24"/>
        </w:rPr>
        <w:t xml:space="preserve">-card MILSTRAP 80 record position transactions, the reversal indicator is the </w:t>
      </w:r>
      <w:r w:rsidR="003D5805" w:rsidRPr="00211340">
        <w:rPr>
          <w:bCs/>
          <w:sz w:val="24"/>
          <w:szCs w:val="24"/>
        </w:rPr>
        <w:t>Extended Binary Coded Decimal Interchange Code</w:t>
      </w:r>
      <w:r w:rsidR="003D5805" w:rsidRPr="00211340">
        <w:rPr>
          <w:sz w:val="24"/>
          <w:szCs w:val="24"/>
        </w:rPr>
        <w:t xml:space="preserve"> (</w:t>
      </w:r>
      <w:r w:rsidR="003D5805" w:rsidRPr="00211340">
        <w:rPr>
          <w:bCs/>
          <w:sz w:val="24"/>
          <w:szCs w:val="24"/>
        </w:rPr>
        <w:t>EBCDIC</w:t>
      </w:r>
      <w:r w:rsidR="003D5805" w:rsidRPr="00211340">
        <w:rPr>
          <w:sz w:val="24"/>
          <w:szCs w:val="24"/>
        </w:rPr>
        <w:t>) or American Standard Code for Information Interchange equivalent of the punched-card entry, which is also entered in record position 25 of the reversal quantity for the 80 record position MILSTRAP transactions</w:t>
      </w:r>
      <w:r w:rsidR="00F94F4F" w:rsidRPr="00211340">
        <w:rPr>
          <w:sz w:val="24"/>
          <w:szCs w:val="24"/>
        </w:rPr>
        <w:t xml:space="preserve">. </w:t>
      </w:r>
      <w:r w:rsidR="003D5805" w:rsidRPr="00211340">
        <w:rPr>
          <w:sz w:val="24"/>
          <w:szCs w:val="24"/>
        </w:rPr>
        <w:t xml:space="preserve">(NOTE:  </w:t>
      </w:r>
      <w:r w:rsidR="00F94F4F" w:rsidRPr="00211340">
        <w:rPr>
          <w:sz w:val="24"/>
          <w:szCs w:val="24"/>
        </w:rPr>
        <w:t>A t</w:t>
      </w:r>
      <w:r w:rsidR="003D5805" w:rsidRPr="00211340">
        <w:rPr>
          <w:sz w:val="24"/>
          <w:szCs w:val="24"/>
        </w:rPr>
        <w:t xml:space="preserve">ransaction reversal </w:t>
      </w:r>
      <w:r w:rsidR="00F32886" w:rsidRPr="00211340">
        <w:rPr>
          <w:sz w:val="24"/>
          <w:szCs w:val="24"/>
        </w:rPr>
        <w:t xml:space="preserve">for Defense Logistics Management </w:t>
      </w:r>
      <w:r w:rsidR="00B472ED">
        <w:rPr>
          <w:sz w:val="24"/>
          <w:szCs w:val="24"/>
        </w:rPr>
        <w:t>Standards</w:t>
      </w:r>
      <w:r w:rsidR="00F32886" w:rsidRPr="00211340">
        <w:rPr>
          <w:sz w:val="24"/>
          <w:szCs w:val="24"/>
        </w:rPr>
        <w:t xml:space="preserve"> (DLMS) transactions </w:t>
      </w:r>
      <w:r w:rsidR="003D5805" w:rsidRPr="00211340">
        <w:rPr>
          <w:sz w:val="24"/>
          <w:szCs w:val="24"/>
        </w:rPr>
        <w:t>is accomplished with a negative sign in front of the quantity</w:t>
      </w:r>
      <w:r w:rsidR="00F32886" w:rsidRPr="00211340">
        <w:rPr>
          <w:sz w:val="24"/>
          <w:szCs w:val="24"/>
        </w:rPr>
        <w:t xml:space="preserve">. Therefore, the </w:t>
      </w:r>
      <w:r w:rsidR="00211340" w:rsidRPr="00211340">
        <w:rPr>
          <w:sz w:val="24"/>
          <w:szCs w:val="24"/>
        </w:rPr>
        <w:t xml:space="preserve">MILSTRAP </w:t>
      </w:r>
      <w:r w:rsidR="00F32886" w:rsidRPr="00211340">
        <w:rPr>
          <w:sz w:val="24"/>
          <w:szCs w:val="24"/>
        </w:rPr>
        <w:t>legacy 80 record position tra</w:t>
      </w:r>
      <w:r w:rsidR="00211340">
        <w:rPr>
          <w:sz w:val="24"/>
          <w:szCs w:val="24"/>
        </w:rPr>
        <w:t>n</w:t>
      </w:r>
      <w:r w:rsidR="00F32886" w:rsidRPr="00211340">
        <w:rPr>
          <w:sz w:val="24"/>
          <w:szCs w:val="24"/>
        </w:rPr>
        <w:t xml:space="preserve">saction </w:t>
      </w:r>
      <w:r w:rsidR="003D5805" w:rsidRPr="00211340">
        <w:rPr>
          <w:sz w:val="24"/>
          <w:szCs w:val="24"/>
        </w:rPr>
        <w:t>reversal indicator as described below does not apply in DLMS</w:t>
      </w:r>
      <w:r w:rsidR="00F32886" w:rsidRPr="00211340">
        <w:rPr>
          <w:sz w:val="24"/>
          <w:szCs w:val="24"/>
        </w:rPr>
        <w:t xml:space="preserve"> transactions</w:t>
      </w:r>
      <w:r w:rsidR="003D5805" w:rsidRPr="00211340">
        <w:rPr>
          <w:sz w:val="24"/>
          <w:szCs w:val="24"/>
        </w:rPr>
        <w:t>.  The EBCDIC reversal indicators are a minus sign for a blank entry, a } (closing brace) for an entry of zero, or an alphabetic J through R for an entry of 1 through 9 respectively.  Since significant digits are to be preceded by zeros, the blank and minus sign indicators in record position 25 are actually invalid entries and are mentioned only to cover all possibilities.  The punched card and EBCDIC reversal indicators are as follows:</w:t>
      </w:r>
    </w:p>
    <w:tbl>
      <w:tblPr>
        <w:tblW w:w="0" w:type="auto"/>
        <w:jc w:val="center"/>
        <w:tblLayout w:type="fixed"/>
        <w:tblCellMar>
          <w:left w:w="100" w:type="dxa"/>
          <w:right w:w="100" w:type="dxa"/>
        </w:tblCellMar>
        <w:tblLook w:val="0000" w:firstRow="0" w:lastRow="0" w:firstColumn="0" w:lastColumn="0" w:noHBand="0" w:noVBand="0"/>
      </w:tblPr>
      <w:tblGrid>
        <w:gridCol w:w="1620"/>
        <w:gridCol w:w="2610"/>
        <w:gridCol w:w="2790"/>
        <w:gridCol w:w="2430"/>
      </w:tblGrid>
      <w:tr w:rsidR="003D5805" w:rsidRPr="00AA15A7" w14:paraId="1158107C" w14:textId="77777777" w:rsidTr="003D5805">
        <w:trPr>
          <w:cantSplit/>
          <w:trHeight w:val="403"/>
          <w:jc w:val="center"/>
        </w:trPr>
        <w:tc>
          <w:tcPr>
            <w:tcW w:w="1620" w:type="dxa"/>
            <w:tcBorders>
              <w:top w:val="single" w:sz="6" w:space="0" w:color="auto"/>
              <w:left w:val="single" w:sz="6" w:space="0" w:color="auto"/>
            </w:tcBorders>
          </w:tcPr>
          <w:p w14:paraId="11581076" w14:textId="77777777" w:rsidR="003D5805" w:rsidRPr="00211340" w:rsidRDefault="003D5805" w:rsidP="00F32886">
            <w:pPr>
              <w:spacing w:before="60" w:after="60"/>
              <w:jc w:val="center"/>
              <w:rPr>
                <w:sz w:val="22"/>
                <w:szCs w:val="22"/>
              </w:rPr>
            </w:pPr>
            <w:r w:rsidRPr="00211340">
              <w:rPr>
                <w:sz w:val="22"/>
                <w:szCs w:val="22"/>
              </w:rPr>
              <w:lastRenderedPageBreak/>
              <w:t xml:space="preserve">QUANTITY </w:t>
            </w:r>
          </w:p>
          <w:p w14:paraId="11581077" w14:textId="77777777" w:rsidR="003D5805" w:rsidRPr="00211340" w:rsidRDefault="003D5805" w:rsidP="00F32886">
            <w:pPr>
              <w:spacing w:before="60" w:after="60"/>
              <w:jc w:val="center"/>
              <w:rPr>
                <w:sz w:val="22"/>
                <w:szCs w:val="22"/>
              </w:rPr>
            </w:pPr>
            <w:r w:rsidRPr="00211340">
              <w:rPr>
                <w:sz w:val="22"/>
                <w:szCs w:val="22"/>
              </w:rPr>
              <w:t>ENTRY</w:t>
            </w:r>
          </w:p>
        </w:tc>
        <w:tc>
          <w:tcPr>
            <w:tcW w:w="2610" w:type="dxa"/>
            <w:tcBorders>
              <w:top w:val="single" w:sz="6" w:space="0" w:color="auto"/>
              <w:left w:val="single" w:sz="6" w:space="0" w:color="auto"/>
            </w:tcBorders>
          </w:tcPr>
          <w:p w14:paraId="11581078" w14:textId="77777777" w:rsidR="003D5805" w:rsidRPr="00211340" w:rsidRDefault="003D5805" w:rsidP="00F32886">
            <w:pPr>
              <w:spacing w:before="60" w:after="60"/>
              <w:jc w:val="center"/>
              <w:rPr>
                <w:sz w:val="22"/>
                <w:szCs w:val="22"/>
              </w:rPr>
            </w:pPr>
            <w:r w:rsidRPr="00211340">
              <w:rPr>
                <w:sz w:val="22"/>
                <w:szCs w:val="22"/>
              </w:rPr>
              <w:t>RECORD POSITION 25 PUNCHED-CARD</w:t>
            </w:r>
          </w:p>
          <w:p w14:paraId="11581079" w14:textId="77777777" w:rsidR="003D5805" w:rsidRPr="00211340" w:rsidRDefault="003D5805" w:rsidP="00F32886">
            <w:pPr>
              <w:spacing w:before="60" w:after="60"/>
              <w:jc w:val="center"/>
              <w:rPr>
                <w:sz w:val="22"/>
                <w:szCs w:val="22"/>
              </w:rPr>
            </w:pPr>
            <w:r w:rsidRPr="00211340">
              <w:rPr>
                <w:sz w:val="22"/>
                <w:szCs w:val="22"/>
              </w:rPr>
              <w:t>TRANSACTION ENTRY</w:t>
            </w:r>
          </w:p>
        </w:tc>
        <w:tc>
          <w:tcPr>
            <w:tcW w:w="2790" w:type="dxa"/>
            <w:tcBorders>
              <w:top w:val="single" w:sz="6" w:space="0" w:color="auto"/>
              <w:left w:val="single" w:sz="6" w:space="0" w:color="auto"/>
            </w:tcBorders>
          </w:tcPr>
          <w:p w14:paraId="1158107A" w14:textId="77777777" w:rsidR="003D5805" w:rsidRPr="00211340" w:rsidRDefault="003D5805" w:rsidP="00F32886">
            <w:pPr>
              <w:spacing w:before="60" w:after="60"/>
              <w:jc w:val="center"/>
              <w:rPr>
                <w:sz w:val="22"/>
                <w:szCs w:val="22"/>
              </w:rPr>
            </w:pPr>
            <w:r w:rsidRPr="00211340">
              <w:rPr>
                <w:sz w:val="22"/>
                <w:szCs w:val="22"/>
              </w:rPr>
              <w:t>RECORD POSITION 25 EBCDIC REVERSAL</w:t>
            </w:r>
          </w:p>
        </w:tc>
        <w:tc>
          <w:tcPr>
            <w:tcW w:w="2430" w:type="dxa"/>
            <w:tcBorders>
              <w:top w:val="single" w:sz="6" w:space="0" w:color="auto"/>
              <w:left w:val="single" w:sz="6" w:space="0" w:color="auto"/>
              <w:right w:val="single" w:sz="6" w:space="0" w:color="auto"/>
            </w:tcBorders>
          </w:tcPr>
          <w:p w14:paraId="1158107B" w14:textId="77777777" w:rsidR="003D5805" w:rsidRPr="00211340" w:rsidRDefault="003D5805" w:rsidP="00F32886">
            <w:pPr>
              <w:spacing w:before="60" w:after="60"/>
              <w:jc w:val="center"/>
              <w:rPr>
                <w:sz w:val="22"/>
                <w:szCs w:val="22"/>
              </w:rPr>
            </w:pPr>
            <w:r w:rsidRPr="00211340">
              <w:rPr>
                <w:sz w:val="22"/>
                <w:szCs w:val="22"/>
              </w:rPr>
              <w:t>EBCDIC REVERSAL QUANTITY ENTRY</w:t>
            </w:r>
          </w:p>
        </w:tc>
      </w:tr>
      <w:tr w:rsidR="003D5805" w:rsidRPr="00AA15A7" w14:paraId="11581081" w14:textId="77777777" w:rsidTr="003D5805">
        <w:trPr>
          <w:cantSplit/>
          <w:trHeight w:val="403"/>
          <w:jc w:val="center"/>
        </w:trPr>
        <w:tc>
          <w:tcPr>
            <w:tcW w:w="1620" w:type="dxa"/>
            <w:tcBorders>
              <w:top w:val="single" w:sz="6" w:space="0" w:color="auto"/>
              <w:left w:val="single" w:sz="6" w:space="0" w:color="auto"/>
            </w:tcBorders>
          </w:tcPr>
          <w:p w14:paraId="1158107D" w14:textId="77777777" w:rsidR="003D5805" w:rsidRPr="00211340" w:rsidRDefault="003D5805" w:rsidP="003D5805">
            <w:pPr>
              <w:rPr>
                <w:sz w:val="22"/>
                <w:szCs w:val="22"/>
              </w:rPr>
            </w:pPr>
            <w:r w:rsidRPr="00211340">
              <w:rPr>
                <w:sz w:val="22"/>
                <w:szCs w:val="22"/>
              </w:rPr>
              <w:t>1</w:t>
            </w:r>
          </w:p>
        </w:tc>
        <w:tc>
          <w:tcPr>
            <w:tcW w:w="2610" w:type="dxa"/>
            <w:tcBorders>
              <w:top w:val="single" w:sz="6" w:space="0" w:color="auto"/>
              <w:left w:val="single" w:sz="6" w:space="0" w:color="auto"/>
            </w:tcBorders>
          </w:tcPr>
          <w:p w14:paraId="1158107E" w14:textId="77777777" w:rsidR="003D5805" w:rsidRPr="00211340" w:rsidRDefault="003D5805" w:rsidP="003D5805">
            <w:pPr>
              <w:jc w:val="center"/>
              <w:rPr>
                <w:sz w:val="22"/>
                <w:szCs w:val="22"/>
              </w:rPr>
            </w:pPr>
            <w:r w:rsidRPr="00211340">
              <w:rPr>
                <w:sz w:val="22"/>
                <w:szCs w:val="22"/>
              </w:rPr>
              <w:t>11-zone and blank</w:t>
            </w:r>
          </w:p>
        </w:tc>
        <w:tc>
          <w:tcPr>
            <w:tcW w:w="2790" w:type="dxa"/>
            <w:tcBorders>
              <w:top w:val="single" w:sz="6" w:space="0" w:color="auto"/>
              <w:left w:val="single" w:sz="6" w:space="0" w:color="auto"/>
            </w:tcBorders>
          </w:tcPr>
          <w:p w14:paraId="1158107F" w14:textId="77777777" w:rsidR="003D5805" w:rsidRPr="00211340" w:rsidRDefault="003D5805" w:rsidP="003D5805">
            <w:pPr>
              <w:jc w:val="center"/>
              <w:rPr>
                <w:sz w:val="22"/>
                <w:szCs w:val="22"/>
              </w:rPr>
            </w:pPr>
            <w:r w:rsidRPr="00211340">
              <w:rPr>
                <w:sz w:val="22"/>
                <w:szCs w:val="22"/>
              </w:rPr>
              <w:t>- (MINUS)</w:t>
            </w:r>
          </w:p>
        </w:tc>
        <w:tc>
          <w:tcPr>
            <w:tcW w:w="2430" w:type="dxa"/>
            <w:tcBorders>
              <w:top w:val="single" w:sz="6" w:space="0" w:color="auto"/>
              <w:left w:val="single" w:sz="6" w:space="0" w:color="auto"/>
              <w:right w:val="single" w:sz="6" w:space="0" w:color="auto"/>
            </w:tcBorders>
          </w:tcPr>
          <w:p w14:paraId="11581080" w14:textId="77777777" w:rsidR="003D5805" w:rsidRPr="00211340" w:rsidRDefault="003D5805" w:rsidP="003D5805">
            <w:pPr>
              <w:jc w:val="center"/>
              <w:rPr>
                <w:sz w:val="22"/>
                <w:szCs w:val="22"/>
              </w:rPr>
            </w:pPr>
            <w:r w:rsidRPr="00211340">
              <w:rPr>
                <w:sz w:val="22"/>
                <w:szCs w:val="22"/>
              </w:rPr>
              <w:t>-   1</w:t>
            </w:r>
          </w:p>
        </w:tc>
      </w:tr>
      <w:tr w:rsidR="003D5805" w:rsidRPr="00AA15A7" w14:paraId="11581086" w14:textId="77777777" w:rsidTr="003D5805">
        <w:trPr>
          <w:cantSplit/>
          <w:trHeight w:val="403"/>
          <w:jc w:val="center"/>
        </w:trPr>
        <w:tc>
          <w:tcPr>
            <w:tcW w:w="1620" w:type="dxa"/>
            <w:tcBorders>
              <w:top w:val="single" w:sz="6" w:space="0" w:color="auto"/>
              <w:left w:val="single" w:sz="6" w:space="0" w:color="auto"/>
            </w:tcBorders>
          </w:tcPr>
          <w:p w14:paraId="11581082" w14:textId="77777777" w:rsidR="003D5805" w:rsidRPr="00211340" w:rsidRDefault="003D5805" w:rsidP="003D5805">
            <w:pPr>
              <w:rPr>
                <w:sz w:val="22"/>
                <w:szCs w:val="22"/>
              </w:rPr>
            </w:pPr>
            <w:r w:rsidRPr="00211340">
              <w:rPr>
                <w:sz w:val="22"/>
                <w:szCs w:val="22"/>
              </w:rPr>
              <w:t>00001</w:t>
            </w:r>
          </w:p>
        </w:tc>
        <w:tc>
          <w:tcPr>
            <w:tcW w:w="2610" w:type="dxa"/>
            <w:tcBorders>
              <w:top w:val="single" w:sz="6" w:space="0" w:color="auto"/>
              <w:left w:val="single" w:sz="6" w:space="0" w:color="auto"/>
            </w:tcBorders>
          </w:tcPr>
          <w:p w14:paraId="11581083" w14:textId="77777777" w:rsidR="003D5805" w:rsidRPr="00211340" w:rsidRDefault="003D5805" w:rsidP="003D5805">
            <w:pPr>
              <w:jc w:val="center"/>
              <w:rPr>
                <w:sz w:val="22"/>
                <w:szCs w:val="22"/>
              </w:rPr>
            </w:pPr>
            <w:r w:rsidRPr="00211340">
              <w:rPr>
                <w:sz w:val="22"/>
                <w:szCs w:val="22"/>
              </w:rPr>
              <w:t>11-zone and 0 (zero)</w:t>
            </w:r>
          </w:p>
        </w:tc>
        <w:tc>
          <w:tcPr>
            <w:tcW w:w="2790" w:type="dxa"/>
            <w:tcBorders>
              <w:top w:val="single" w:sz="6" w:space="0" w:color="auto"/>
              <w:left w:val="single" w:sz="6" w:space="0" w:color="auto"/>
            </w:tcBorders>
          </w:tcPr>
          <w:p w14:paraId="11581084" w14:textId="77777777" w:rsidR="003D5805" w:rsidRPr="00211340" w:rsidRDefault="003D5805" w:rsidP="003D5805">
            <w:pPr>
              <w:jc w:val="center"/>
              <w:rPr>
                <w:sz w:val="22"/>
                <w:szCs w:val="22"/>
              </w:rPr>
            </w:pPr>
            <w:r w:rsidRPr="00211340">
              <w:rPr>
                <w:sz w:val="22"/>
                <w:szCs w:val="22"/>
              </w:rPr>
              <w:t>}</w:t>
            </w:r>
          </w:p>
        </w:tc>
        <w:tc>
          <w:tcPr>
            <w:tcW w:w="2430" w:type="dxa"/>
            <w:tcBorders>
              <w:top w:val="single" w:sz="6" w:space="0" w:color="auto"/>
              <w:left w:val="single" w:sz="6" w:space="0" w:color="auto"/>
              <w:right w:val="single" w:sz="6" w:space="0" w:color="auto"/>
            </w:tcBorders>
          </w:tcPr>
          <w:p w14:paraId="11581085" w14:textId="77777777" w:rsidR="003D5805" w:rsidRPr="00211340" w:rsidRDefault="003D5805" w:rsidP="003D5805">
            <w:pPr>
              <w:jc w:val="center"/>
              <w:rPr>
                <w:sz w:val="22"/>
                <w:szCs w:val="22"/>
              </w:rPr>
            </w:pPr>
            <w:r w:rsidRPr="00211340">
              <w:rPr>
                <w:sz w:val="22"/>
                <w:szCs w:val="22"/>
              </w:rPr>
              <w:t>}0001</w:t>
            </w:r>
          </w:p>
        </w:tc>
      </w:tr>
      <w:tr w:rsidR="003D5805" w:rsidRPr="00AA15A7" w14:paraId="1158108B" w14:textId="77777777" w:rsidTr="003D5805">
        <w:trPr>
          <w:cantSplit/>
          <w:trHeight w:val="403"/>
          <w:jc w:val="center"/>
        </w:trPr>
        <w:tc>
          <w:tcPr>
            <w:tcW w:w="1620" w:type="dxa"/>
            <w:tcBorders>
              <w:top w:val="single" w:sz="6" w:space="0" w:color="auto"/>
              <w:left w:val="single" w:sz="6" w:space="0" w:color="auto"/>
            </w:tcBorders>
          </w:tcPr>
          <w:p w14:paraId="11581087" w14:textId="77777777" w:rsidR="003D5805" w:rsidRPr="00211340" w:rsidRDefault="003D5805" w:rsidP="003D5805">
            <w:pPr>
              <w:rPr>
                <w:sz w:val="22"/>
                <w:szCs w:val="22"/>
              </w:rPr>
            </w:pPr>
            <w:r w:rsidRPr="00211340">
              <w:rPr>
                <w:sz w:val="22"/>
                <w:szCs w:val="22"/>
              </w:rPr>
              <w:t>10001</w:t>
            </w:r>
          </w:p>
        </w:tc>
        <w:tc>
          <w:tcPr>
            <w:tcW w:w="2610" w:type="dxa"/>
            <w:tcBorders>
              <w:top w:val="single" w:sz="6" w:space="0" w:color="auto"/>
              <w:left w:val="single" w:sz="6" w:space="0" w:color="auto"/>
            </w:tcBorders>
          </w:tcPr>
          <w:p w14:paraId="11581088" w14:textId="77777777" w:rsidR="003D5805" w:rsidRPr="00211340" w:rsidRDefault="003D5805" w:rsidP="003D5805">
            <w:pPr>
              <w:jc w:val="center"/>
              <w:rPr>
                <w:sz w:val="22"/>
                <w:szCs w:val="22"/>
              </w:rPr>
            </w:pPr>
            <w:r w:rsidRPr="00211340">
              <w:rPr>
                <w:sz w:val="22"/>
                <w:szCs w:val="22"/>
              </w:rPr>
              <w:t>11-zone and 1</w:t>
            </w:r>
          </w:p>
        </w:tc>
        <w:tc>
          <w:tcPr>
            <w:tcW w:w="2790" w:type="dxa"/>
            <w:tcBorders>
              <w:top w:val="single" w:sz="6" w:space="0" w:color="auto"/>
              <w:left w:val="single" w:sz="6" w:space="0" w:color="auto"/>
            </w:tcBorders>
          </w:tcPr>
          <w:p w14:paraId="11581089" w14:textId="77777777" w:rsidR="003D5805" w:rsidRPr="00211340" w:rsidRDefault="003D5805" w:rsidP="003D5805">
            <w:pPr>
              <w:jc w:val="center"/>
              <w:rPr>
                <w:sz w:val="22"/>
                <w:szCs w:val="22"/>
              </w:rPr>
            </w:pPr>
            <w:r w:rsidRPr="00211340">
              <w:rPr>
                <w:sz w:val="22"/>
                <w:szCs w:val="22"/>
              </w:rPr>
              <w:t>J</w:t>
            </w:r>
          </w:p>
        </w:tc>
        <w:tc>
          <w:tcPr>
            <w:tcW w:w="2430" w:type="dxa"/>
            <w:tcBorders>
              <w:top w:val="single" w:sz="6" w:space="0" w:color="auto"/>
              <w:left w:val="single" w:sz="6" w:space="0" w:color="auto"/>
              <w:right w:val="single" w:sz="6" w:space="0" w:color="auto"/>
            </w:tcBorders>
          </w:tcPr>
          <w:p w14:paraId="1158108A" w14:textId="77777777" w:rsidR="003D5805" w:rsidRPr="00211340" w:rsidRDefault="003D5805" w:rsidP="003D5805">
            <w:pPr>
              <w:jc w:val="center"/>
              <w:rPr>
                <w:sz w:val="22"/>
                <w:szCs w:val="22"/>
              </w:rPr>
            </w:pPr>
            <w:r w:rsidRPr="00211340">
              <w:rPr>
                <w:sz w:val="22"/>
                <w:szCs w:val="22"/>
              </w:rPr>
              <w:t>J0001</w:t>
            </w:r>
          </w:p>
        </w:tc>
      </w:tr>
      <w:tr w:rsidR="003D5805" w:rsidRPr="00AA15A7" w14:paraId="11581090" w14:textId="77777777" w:rsidTr="003D5805">
        <w:trPr>
          <w:cantSplit/>
          <w:trHeight w:val="403"/>
          <w:jc w:val="center"/>
        </w:trPr>
        <w:tc>
          <w:tcPr>
            <w:tcW w:w="1620" w:type="dxa"/>
            <w:tcBorders>
              <w:top w:val="single" w:sz="6" w:space="0" w:color="auto"/>
              <w:left w:val="single" w:sz="6" w:space="0" w:color="auto"/>
            </w:tcBorders>
          </w:tcPr>
          <w:p w14:paraId="1158108C" w14:textId="77777777" w:rsidR="003D5805" w:rsidRPr="00211340" w:rsidRDefault="003D5805" w:rsidP="003D5805">
            <w:pPr>
              <w:rPr>
                <w:sz w:val="22"/>
                <w:szCs w:val="22"/>
              </w:rPr>
            </w:pPr>
            <w:r w:rsidRPr="00211340">
              <w:rPr>
                <w:sz w:val="22"/>
                <w:szCs w:val="22"/>
              </w:rPr>
              <w:t>20001</w:t>
            </w:r>
          </w:p>
        </w:tc>
        <w:tc>
          <w:tcPr>
            <w:tcW w:w="2610" w:type="dxa"/>
            <w:tcBorders>
              <w:top w:val="single" w:sz="6" w:space="0" w:color="auto"/>
              <w:left w:val="single" w:sz="6" w:space="0" w:color="auto"/>
            </w:tcBorders>
          </w:tcPr>
          <w:p w14:paraId="1158108D" w14:textId="77777777" w:rsidR="003D5805" w:rsidRPr="00211340" w:rsidRDefault="003D5805" w:rsidP="003D5805">
            <w:pPr>
              <w:jc w:val="center"/>
              <w:rPr>
                <w:sz w:val="22"/>
                <w:szCs w:val="22"/>
              </w:rPr>
            </w:pPr>
            <w:r w:rsidRPr="00211340">
              <w:rPr>
                <w:sz w:val="22"/>
                <w:szCs w:val="22"/>
              </w:rPr>
              <w:t>11-zone and 2</w:t>
            </w:r>
          </w:p>
        </w:tc>
        <w:tc>
          <w:tcPr>
            <w:tcW w:w="2790" w:type="dxa"/>
            <w:tcBorders>
              <w:top w:val="single" w:sz="6" w:space="0" w:color="auto"/>
              <w:left w:val="single" w:sz="6" w:space="0" w:color="auto"/>
            </w:tcBorders>
          </w:tcPr>
          <w:p w14:paraId="1158108E" w14:textId="77777777" w:rsidR="003D5805" w:rsidRPr="00211340" w:rsidRDefault="003D5805" w:rsidP="003D5805">
            <w:pPr>
              <w:jc w:val="center"/>
              <w:rPr>
                <w:sz w:val="22"/>
                <w:szCs w:val="22"/>
              </w:rPr>
            </w:pPr>
            <w:r w:rsidRPr="00211340">
              <w:rPr>
                <w:sz w:val="22"/>
                <w:szCs w:val="22"/>
              </w:rPr>
              <w:t>K</w:t>
            </w:r>
          </w:p>
        </w:tc>
        <w:tc>
          <w:tcPr>
            <w:tcW w:w="2430" w:type="dxa"/>
            <w:tcBorders>
              <w:top w:val="single" w:sz="6" w:space="0" w:color="auto"/>
              <w:left w:val="single" w:sz="6" w:space="0" w:color="auto"/>
              <w:right w:val="single" w:sz="6" w:space="0" w:color="auto"/>
            </w:tcBorders>
          </w:tcPr>
          <w:p w14:paraId="1158108F" w14:textId="77777777" w:rsidR="003D5805" w:rsidRPr="00211340" w:rsidRDefault="003D5805" w:rsidP="003D5805">
            <w:pPr>
              <w:jc w:val="center"/>
              <w:rPr>
                <w:sz w:val="22"/>
                <w:szCs w:val="22"/>
              </w:rPr>
            </w:pPr>
            <w:r w:rsidRPr="00211340">
              <w:rPr>
                <w:sz w:val="22"/>
                <w:szCs w:val="22"/>
              </w:rPr>
              <w:t>K0001</w:t>
            </w:r>
          </w:p>
        </w:tc>
      </w:tr>
      <w:tr w:rsidR="003D5805" w:rsidRPr="00AA15A7" w14:paraId="11581095" w14:textId="77777777" w:rsidTr="003D5805">
        <w:trPr>
          <w:cantSplit/>
          <w:trHeight w:val="403"/>
          <w:jc w:val="center"/>
        </w:trPr>
        <w:tc>
          <w:tcPr>
            <w:tcW w:w="1620" w:type="dxa"/>
            <w:tcBorders>
              <w:top w:val="single" w:sz="6" w:space="0" w:color="auto"/>
              <w:left w:val="single" w:sz="6" w:space="0" w:color="auto"/>
            </w:tcBorders>
          </w:tcPr>
          <w:p w14:paraId="11581091" w14:textId="77777777" w:rsidR="003D5805" w:rsidRPr="00211340" w:rsidRDefault="003D5805" w:rsidP="003D5805">
            <w:pPr>
              <w:rPr>
                <w:sz w:val="22"/>
                <w:szCs w:val="22"/>
              </w:rPr>
            </w:pPr>
            <w:r w:rsidRPr="00211340">
              <w:rPr>
                <w:sz w:val="22"/>
                <w:szCs w:val="22"/>
              </w:rPr>
              <w:t>39999</w:t>
            </w:r>
          </w:p>
        </w:tc>
        <w:tc>
          <w:tcPr>
            <w:tcW w:w="2610" w:type="dxa"/>
            <w:tcBorders>
              <w:top w:val="single" w:sz="6" w:space="0" w:color="auto"/>
              <w:left w:val="single" w:sz="6" w:space="0" w:color="auto"/>
            </w:tcBorders>
          </w:tcPr>
          <w:p w14:paraId="11581092" w14:textId="77777777" w:rsidR="003D5805" w:rsidRPr="00211340" w:rsidRDefault="003D5805" w:rsidP="003D5805">
            <w:pPr>
              <w:jc w:val="center"/>
              <w:rPr>
                <w:sz w:val="22"/>
                <w:szCs w:val="22"/>
              </w:rPr>
            </w:pPr>
            <w:r w:rsidRPr="00211340">
              <w:rPr>
                <w:sz w:val="22"/>
                <w:szCs w:val="22"/>
              </w:rPr>
              <w:t>11-zone and 3</w:t>
            </w:r>
          </w:p>
        </w:tc>
        <w:tc>
          <w:tcPr>
            <w:tcW w:w="2790" w:type="dxa"/>
            <w:tcBorders>
              <w:top w:val="single" w:sz="6" w:space="0" w:color="auto"/>
              <w:left w:val="single" w:sz="6" w:space="0" w:color="auto"/>
            </w:tcBorders>
          </w:tcPr>
          <w:p w14:paraId="11581093" w14:textId="77777777" w:rsidR="003D5805" w:rsidRPr="00211340" w:rsidRDefault="003D5805" w:rsidP="003D5805">
            <w:pPr>
              <w:jc w:val="center"/>
              <w:rPr>
                <w:sz w:val="22"/>
                <w:szCs w:val="22"/>
              </w:rPr>
            </w:pPr>
            <w:r w:rsidRPr="00211340">
              <w:rPr>
                <w:sz w:val="22"/>
                <w:szCs w:val="22"/>
              </w:rPr>
              <w:t>L</w:t>
            </w:r>
          </w:p>
        </w:tc>
        <w:tc>
          <w:tcPr>
            <w:tcW w:w="2430" w:type="dxa"/>
            <w:tcBorders>
              <w:top w:val="single" w:sz="6" w:space="0" w:color="auto"/>
              <w:left w:val="single" w:sz="6" w:space="0" w:color="auto"/>
              <w:right w:val="single" w:sz="6" w:space="0" w:color="auto"/>
            </w:tcBorders>
          </w:tcPr>
          <w:p w14:paraId="11581094" w14:textId="77777777" w:rsidR="003D5805" w:rsidRPr="00211340" w:rsidRDefault="003D5805" w:rsidP="003D5805">
            <w:pPr>
              <w:jc w:val="center"/>
              <w:rPr>
                <w:sz w:val="22"/>
                <w:szCs w:val="22"/>
              </w:rPr>
            </w:pPr>
            <w:r w:rsidRPr="00211340">
              <w:rPr>
                <w:sz w:val="22"/>
                <w:szCs w:val="22"/>
              </w:rPr>
              <w:t>L9999</w:t>
            </w:r>
          </w:p>
        </w:tc>
      </w:tr>
      <w:tr w:rsidR="003D5805" w:rsidRPr="00AA15A7" w14:paraId="1158109A" w14:textId="77777777" w:rsidTr="003D5805">
        <w:trPr>
          <w:cantSplit/>
          <w:trHeight w:val="403"/>
          <w:jc w:val="center"/>
        </w:trPr>
        <w:tc>
          <w:tcPr>
            <w:tcW w:w="1620" w:type="dxa"/>
            <w:tcBorders>
              <w:top w:val="single" w:sz="6" w:space="0" w:color="auto"/>
              <w:left w:val="single" w:sz="6" w:space="0" w:color="auto"/>
            </w:tcBorders>
          </w:tcPr>
          <w:p w14:paraId="11581096" w14:textId="77777777" w:rsidR="003D5805" w:rsidRPr="00211340" w:rsidRDefault="003D5805" w:rsidP="003D5805">
            <w:pPr>
              <w:rPr>
                <w:sz w:val="22"/>
                <w:szCs w:val="22"/>
              </w:rPr>
            </w:pPr>
            <w:r w:rsidRPr="00211340">
              <w:rPr>
                <w:sz w:val="22"/>
                <w:szCs w:val="22"/>
              </w:rPr>
              <w:t>42180</w:t>
            </w:r>
          </w:p>
        </w:tc>
        <w:tc>
          <w:tcPr>
            <w:tcW w:w="2610" w:type="dxa"/>
            <w:tcBorders>
              <w:top w:val="single" w:sz="6" w:space="0" w:color="auto"/>
              <w:left w:val="single" w:sz="6" w:space="0" w:color="auto"/>
            </w:tcBorders>
          </w:tcPr>
          <w:p w14:paraId="11581097" w14:textId="77777777" w:rsidR="003D5805" w:rsidRPr="00211340" w:rsidRDefault="003D5805" w:rsidP="003D5805">
            <w:pPr>
              <w:jc w:val="center"/>
              <w:rPr>
                <w:sz w:val="22"/>
                <w:szCs w:val="22"/>
              </w:rPr>
            </w:pPr>
            <w:r w:rsidRPr="00211340">
              <w:rPr>
                <w:sz w:val="22"/>
                <w:szCs w:val="22"/>
              </w:rPr>
              <w:t>11-zone and 4</w:t>
            </w:r>
          </w:p>
        </w:tc>
        <w:tc>
          <w:tcPr>
            <w:tcW w:w="2790" w:type="dxa"/>
            <w:tcBorders>
              <w:top w:val="single" w:sz="6" w:space="0" w:color="auto"/>
              <w:left w:val="single" w:sz="6" w:space="0" w:color="auto"/>
            </w:tcBorders>
          </w:tcPr>
          <w:p w14:paraId="11581098" w14:textId="77777777" w:rsidR="003D5805" w:rsidRPr="00211340" w:rsidRDefault="003D5805" w:rsidP="003D5805">
            <w:pPr>
              <w:jc w:val="center"/>
              <w:rPr>
                <w:sz w:val="22"/>
                <w:szCs w:val="22"/>
              </w:rPr>
            </w:pPr>
            <w:r w:rsidRPr="00211340">
              <w:rPr>
                <w:sz w:val="22"/>
                <w:szCs w:val="22"/>
              </w:rPr>
              <w:t>M</w:t>
            </w:r>
          </w:p>
        </w:tc>
        <w:tc>
          <w:tcPr>
            <w:tcW w:w="2430" w:type="dxa"/>
            <w:tcBorders>
              <w:top w:val="single" w:sz="6" w:space="0" w:color="auto"/>
              <w:left w:val="single" w:sz="6" w:space="0" w:color="auto"/>
              <w:right w:val="single" w:sz="6" w:space="0" w:color="auto"/>
            </w:tcBorders>
          </w:tcPr>
          <w:p w14:paraId="11581099" w14:textId="77777777" w:rsidR="003D5805" w:rsidRPr="00211340" w:rsidRDefault="003D5805" w:rsidP="003D5805">
            <w:pPr>
              <w:jc w:val="center"/>
              <w:rPr>
                <w:sz w:val="22"/>
                <w:szCs w:val="22"/>
              </w:rPr>
            </w:pPr>
            <w:r w:rsidRPr="00211340">
              <w:rPr>
                <w:sz w:val="22"/>
                <w:szCs w:val="22"/>
              </w:rPr>
              <w:t>M2180</w:t>
            </w:r>
          </w:p>
        </w:tc>
      </w:tr>
      <w:tr w:rsidR="003D5805" w:rsidRPr="00AA15A7" w14:paraId="1158109F" w14:textId="77777777" w:rsidTr="003D5805">
        <w:trPr>
          <w:cantSplit/>
          <w:trHeight w:val="403"/>
          <w:jc w:val="center"/>
        </w:trPr>
        <w:tc>
          <w:tcPr>
            <w:tcW w:w="1620" w:type="dxa"/>
            <w:tcBorders>
              <w:top w:val="single" w:sz="6" w:space="0" w:color="auto"/>
              <w:left w:val="single" w:sz="6" w:space="0" w:color="auto"/>
            </w:tcBorders>
          </w:tcPr>
          <w:p w14:paraId="1158109B" w14:textId="77777777" w:rsidR="003D5805" w:rsidRPr="00211340" w:rsidRDefault="003D5805" w:rsidP="003D5805">
            <w:pPr>
              <w:rPr>
                <w:sz w:val="22"/>
                <w:szCs w:val="22"/>
              </w:rPr>
            </w:pPr>
            <w:r w:rsidRPr="00211340">
              <w:rPr>
                <w:sz w:val="22"/>
                <w:szCs w:val="22"/>
              </w:rPr>
              <w:t>57832</w:t>
            </w:r>
          </w:p>
        </w:tc>
        <w:tc>
          <w:tcPr>
            <w:tcW w:w="2610" w:type="dxa"/>
            <w:tcBorders>
              <w:top w:val="single" w:sz="6" w:space="0" w:color="auto"/>
              <w:left w:val="single" w:sz="6" w:space="0" w:color="auto"/>
            </w:tcBorders>
          </w:tcPr>
          <w:p w14:paraId="1158109C" w14:textId="77777777" w:rsidR="003D5805" w:rsidRPr="00211340" w:rsidRDefault="003D5805" w:rsidP="003D5805">
            <w:pPr>
              <w:jc w:val="center"/>
              <w:rPr>
                <w:sz w:val="22"/>
                <w:szCs w:val="22"/>
              </w:rPr>
            </w:pPr>
            <w:r w:rsidRPr="00211340">
              <w:rPr>
                <w:sz w:val="22"/>
                <w:szCs w:val="22"/>
              </w:rPr>
              <w:t>11-zone and 5</w:t>
            </w:r>
          </w:p>
        </w:tc>
        <w:tc>
          <w:tcPr>
            <w:tcW w:w="2790" w:type="dxa"/>
            <w:tcBorders>
              <w:top w:val="single" w:sz="6" w:space="0" w:color="auto"/>
              <w:left w:val="single" w:sz="6" w:space="0" w:color="auto"/>
            </w:tcBorders>
          </w:tcPr>
          <w:p w14:paraId="1158109D" w14:textId="77777777" w:rsidR="003D5805" w:rsidRPr="00211340" w:rsidRDefault="003D5805" w:rsidP="003D5805">
            <w:pPr>
              <w:jc w:val="center"/>
              <w:rPr>
                <w:sz w:val="22"/>
                <w:szCs w:val="22"/>
              </w:rPr>
            </w:pPr>
            <w:r w:rsidRPr="00211340">
              <w:rPr>
                <w:sz w:val="22"/>
                <w:szCs w:val="22"/>
              </w:rPr>
              <w:t>N</w:t>
            </w:r>
          </w:p>
        </w:tc>
        <w:tc>
          <w:tcPr>
            <w:tcW w:w="2430" w:type="dxa"/>
            <w:tcBorders>
              <w:top w:val="single" w:sz="6" w:space="0" w:color="auto"/>
              <w:left w:val="single" w:sz="6" w:space="0" w:color="auto"/>
              <w:right w:val="single" w:sz="6" w:space="0" w:color="auto"/>
            </w:tcBorders>
          </w:tcPr>
          <w:p w14:paraId="1158109E" w14:textId="77777777" w:rsidR="003D5805" w:rsidRPr="00211340" w:rsidRDefault="003D5805" w:rsidP="003D5805">
            <w:pPr>
              <w:jc w:val="center"/>
              <w:rPr>
                <w:sz w:val="22"/>
                <w:szCs w:val="22"/>
              </w:rPr>
            </w:pPr>
            <w:r w:rsidRPr="00211340">
              <w:rPr>
                <w:sz w:val="22"/>
                <w:szCs w:val="22"/>
              </w:rPr>
              <w:t>N7832</w:t>
            </w:r>
          </w:p>
        </w:tc>
      </w:tr>
      <w:tr w:rsidR="003D5805" w:rsidRPr="00AA15A7" w14:paraId="115810A4" w14:textId="77777777" w:rsidTr="003D5805">
        <w:trPr>
          <w:cantSplit/>
          <w:trHeight w:val="403"/>
          <w:jc w:val="center"/>
        </w:trPr>
        <w:tc>
          <w:tcPr>
            <w:tcW w:w="1620" w:type="dxa"/>
            <w:tcBorders>
              <w:top w:val="single" w:sz="6" w:space="0" w:color="auto"/>
              <w:left w:val="single" w:sz="6" w:space="0" w:color="auto"/>
            </w:tcBorders>
          </w:tcPr>
          <w:p w14:paraId="115810A0" w14:textId="77777777" w:rsidR="003D5805" w:rsidRPr="00211340" w:rsidRDefault="003D5805" w:rsidP="003D5805">
            <w:pPr>
              <w:rPr>
                <w:sz w:val="22"/>
                <w:szCs w:val="22"/>
              </w:rPr>
            </w:pPr>
            <w:r w:rsidRPr="00211340">
              <w:rPr>
                <w:sz w:val="22"/>
                <w:szCs w:val="22"/>
              </w:rPr>
              <w:t>60000</w:t>
            </w:r>
          </w:p>
        </w:tc>
        <w:tc>
          <w:tcPr>
            <w:tcW w:w="2610" w:type="dxa"/>
            <w:tcBorders>
              <w:top w:val="single" w:sz="6" w:space="0" w:color="auto"/>
              <w:left w:val="single" w:sz="6" w:space="0" w:color="auto"/>
            </w:tcBorders>
          </w:tcPr>
          <w:p w14:paraId="115810A1" w14:textId="77777777" w:rsidR="003D5805" w:rsidRPr="00211340" w:rsidRDefault="003D5805" w:rsidP="003D5805">
            <w:pPr>
              <w:jc w:val="center"/>
              <w:rPr>
                <w:sz w:val="22"/>
                <w:szCs w:val="22"/>
              </w:rPr>
            </w:pPr>
            <w:r w:rsidRPr="00211340">
              <w:rPr>
                <w:sz w:val="22"/>
                <w:szCs w:val="22"/>
              </w:rPr>
              <w:t>11-zone and 6</w:t>
            </w:r>
          </w:p>
        </w:tc>
        <w:tc>
          <w:tcPr>
            <w:tcW w:w="2790" w:type="dxa"/>
            <w:tcBorders>
              <w:top w:val="single" w:sz="6" w:space="0" w:color="auto"/>
              <w:left w:val="single" w:sz="6" w:space="0" w:color="auto"/>
            </w:tcBorders>
          </w:tcPr>
          <w:p w14:paraId="115810A2" w14:textId="77777777" w:rsidR="003D5805" w:rsidRPr="00211340" w:rsidRDefault="003D5805" w:rsidP="003D5805">
            <w:pPr>
              <w:jc w:val="center"/>
              <w:rPr>
                <w:sz w:val="22"/>
                <w:szCs w:val="22"/>
              </w:rPr>
            </w:pPr>
            <w:r w:rsidRPr="00211340">
              <w:rPr>
                <w:sz w:val="22"/>
                <w:szCs w:val="22"/>
              </w:rPr>
              <w:t>O</w:t>
            </w:r>
          </w:p>
        </w:tc>
        <w:tc>
          <w:tcPr>
            <w:tcW w:w="2430" w:type="dxa"/>
            <w:tcBorders>
              <w:top w:val="single" w:sz="6" w:space="0" w:color="auto"/>
              <w:left w:val="single" w:sz="6" w:space="0" w:color="auto"/>
              <w:right w:val="single" w:sz="6" w:space="0" w:color="auto"/>
            </w:tcBorders>
          </w:tcPr>
          <w:p w14:paraId="115810A3" w14:textId="77777777" w:rsidR="003D5805" w:rsidRPr="00211340" w:rsidRDefault="003D5805" w:rsidP="003D5805">
            <w:pPr>
              <w:jc w:val="center"/>
              <w:rPr>
                <w:sz w:val="22"/>
                <w:szCs w:val="22"/>
              </w:rPr>
            </w:pPr>
            <w:r w:rsidRPr="00211340">
              <w:rPr>
                <w:sz w:val="22"/>
                <w:szCs w:val="22"/>
              </w:rPr>
              <w:t>O0000</w:t>
            </w:r>
          </w:p>
        </w:tc>
      </w:tr>
      <w:tr w:rsidR="003D5805" w:rsidRPr="00AA15A7" w14:paraId="115810A9" w14:textId="77777777" w:rsidTr="003D5805">
        <w:trPr>
          <w:cantSplit/>
          <w:trHeight w:val="403"/>
          <w:jc w:val="center"/>
        </w:trPr>
        <w:tc>
          <w:tcPr>
            <w:tcW w:w="1620" w:type="dxa"/>
            <w:tcBorders>
              <w:top w:val="single" w:sz="6" w:space="0" w:color="auto"/>
              <w:left w:val="single" w:sz="6" w:space="0" w:color="auto"/>
            </w:tcBorders>
          </w:tcPr>
          <w:p w14:paraId="115810A5" w14:textId="77777777" w:rsidR="003D5805" w:rsidRPr="00211340" w:rsidRDefault="003D5805" w:rsidP="003D5805">
            <w:pPr>
              <w:rPr>
                <w:sz w:val="22"/>
                <w:szCs w:val="22"/>
              </w:rPr>
            </w:pPr>
            <w:r w:rsidRPr="00211340">
              <w:rPr>
                <w:sz w:val="22"/>
                <w:szCs w:val="22"/>
              </w:rPr>
              <w:t>78364</w:t>
            </w:r>
          </w:p>
        </w:tc>
        <w:tc>
          <w:tcPr>
            <w:tcW w:w="2610" w:type="dxa"/>
            <w:tcBorders>
              <w:top w:val="single" w:sz="6" w:space="0" w:color="auto"/>
              <w:left w:val="single" w:sz="6" w:space="0" w:color="auto"/>
            </w:tcBorders>
          </w:tcPr>
          <w:p w14:paraId="115810A6" w14:textId="77777777" w:rsidR="003D5805" w:rsidRPr="00211340" w:rsidRDefault="003D5805" w:rsidP="003D5805">
            <w:pPr>
              <w:jc w:val="center"/>
              <w:rPr>
                <w:sz w:val="22"/>
                <w:szCs w:val="22"/>
              </w:rPr>
            </w:pPr>
            <w:r w:rsidRPr="00211340">
              <w:rPr>
                <w:sz w:val="22"/>
                <w:szCs w:val="22"/>
              </w:rPr>
              <w:t>11-zone and 7</w:t>
            </w:r>
          </w:p>
        </w:tc>
        <w:tc>
          <w:tcPr>
            <w:tcW w:w="2790" w:type="dxa"/>
            <w:tcBorders>
              <w:top w:val="single" w:sz="6" w:space="0" w:color="auto"/>
              <w:left w:val="single" w:sz="6" w:space="0" w:color="auto"/>
            </w:tcBorders>
          </w:tcPr>
          <w:p w14:paraId="115810A7" w14:textId="77777777" w:rsidR="003D5805" w:rsidRPr="00211340" w:rsidRDefault="003D5805" w:rsidP="003D5805">
            <w:pPr>
              <w:jc w:val="center"/>
              <w:rPr>
                <w:sz w:val="22"/>
                <w:szCs w:val="22"/>
              </w:rPr>
            </w:pPr>
            <w:r w:rsidRPr="00211340">
              <w:rPr>
                <w:sz w:val="22"/>
                <w:szCs w:val="22"/>
              </w:rPr>
              <w:t>P</w:t>
            </w:r>
          </w:p>
        </w:tc>
        <w:tc>
          <w:tcPr>
            <w:tcW w:w="2430" w:type="dxa"/>
            <w:tcBorders>
              <w:top w:val="single" w:sz="6" w:space="0" w:color="auto"/>
              <w:left w:val="single" w:sz="6" w:space="0" w:color="auto"/>
              <w:right w:val="single" w:sz="6" w:space="0" w:color="auto"/>
            </w:tcBorders>
          </w:tcPr>
          <w:p w14:paraId="115810A8" w14:textId="77777777" w:rsidR="003D5805" w:rsidRPr="00211340" w:rsidRDefault="003D5805" w:rsidP="003D5805">
            <w:pPr>
              <w:jc w:val="center"/>
              <w:rPr>
                <w:sz w:val="22"/>
                <w:szCs w:val="22"/>
              </w:rPr>
            </w:pPr>
            <w:r w:rsidRPr="00211340">
              <w:rPr>
                <w:sz w:val="22"/>
                <w:szCs w:val="22"/>
              </w:rPr>
              <w:t>P8364</w:t>
            </w:r>
          </w:p>
        </w:tc>
      </w:tr>
      <w:tr w:rsidR="003D5805" w:rsidRPr="00AA15A7" w14:paraId="115810AE" w14:textId="77777777" w:rsidTr="003D5805">
        <w:trPr>
          <w:cantSplit/>
          <w:trHeight w:val="403"/>
          <w:jc w:val="center"/>
        </w:trPr>
        <w:tc>
          <w:tcPr>
            <w:tcW w:w="1620" w:type="dxa"/>
            <w:tcBorders>
              <w:top w:val="single" w:sz="6" w:space="0" w:color="auto"/>
              <w:left w:val="single" w:sz="6" w:space="0" w:color="auto"/>
            </w:tcBorders>
          </w:tcPr>
          <w:p w14:paraId="115810AA" w14:textId="77777777" w:rsidR="003D5805" w:rsidRPr="00211340" w:rsidRDefault="003D5805" w:rsidP="003D5805">
            <w:pPr>
              <w:rPr>
                <w:sz w:val="22"/>
                <w:szCs w:val="22"/>
              </w:rPr>
            </w:pPr>
            <w:r w:rsidRPr="00211340">
              <w:rPr>
                <w:sz w:val="22"/>
                <w:szCs w:val="22"/>
              </w:rPr>
              <w:t>80000</w:t>
            </w:r>
          </w:p>
        </w:tc>
        <w:tc>
          <w:tcPr>
            <w:tcW w:w="2610" w:type="dxa"/>
            <w:tcBorders>
              <w:top w:val="single" w:sz="6" w:space="0" w:color="auto"/>
              <w:left w:val="single" w:sz="6" w:space="0" w:color="auto"/>
            </w:tcBorders>
          </w:tcPr>
          <w:p w14:paraId="115810AB" w14:textId="77777777" w:rsidR="003D5805" w:rsidRPr="00211340" w:rsidRDefault="003D5805" w:rsidP="003D5805">
            <w:pPr>
              <w:jc w:val="center"/>
              <w:rPr>
                <w:sz w:val="22"/>
                <w:szCs w:val="22"/>
              </w:rPr>
            </w:pPr>
            <w:r w:rsidRPr="00211340">
              <w:rPr>
                <w:sz w:val="22"/>
                <w:szCs w:val="22"/>
              </w:rPr>
              <w:t>11-zone and 8</w:t>
            </w:r>
          </w:p>
        </w:tc>
        <w:tc>
          <w:tcPr>
            <w:tcW w:w="2790" w:type="dxa"/>
            <w:tcBorders>
              <w:top w:val="single" w:sz="6" w:space="0" w:color="auto"/>
              <w:left w:val="single" w:sz="6" w:space="0" w:color="auto"/>
            </w:tcBorders>
          </w:tcPr>
          <w:p w14:paraId="115810AC" w14:textId="77777777" w:rsidR="003D5805" w:rsidRPr="00211340" w:rsidRDefault="003D5805" w:rsidP="003D5805">
            <w:pPr>
              <w:jc w:val="center"/>
              <w:rPr>
                <w:sz w:val="22"/>
                <w:szCs w:val="22"/>
              </w:rPr>
            </w:pPr>
            <w:r w:rsidRPr="00211340">
              <w:rPr>
                <w:sz w:val="22"/>
                <w:szCs w:val="22"/>
              </w:rPr>
              <w:t>Q</w:t>
            </w:r>
          </w:p>
        </w:tc>
        <w:tc>
          <w:tcPr>
            <w:tcW w:w="2430" w:type="dxa"/>
            <w:tcBorders>
              <w:top w:val="single" w:sz="6" w:space="0" w:color="auto"/>
              <w:left w:val="single" w:sz="6" w:space="0" w:color="auto"/>
              <w:right w:val="single" w:sz="6" w:space="0" w:color="auto"/>
            </w:tcBorders>
          </w:tcPr>
          <w:p w14:paraId="115810AD" w14:textId="77777777" w:rsidR="003D5805" w:rsidRPr="00211340" w:rsidRDefault="003D5805" w:rsidP="003D5805">
            <w:pPr>
              <w:jc w:val="center"/>
              <w:rPr>
                <w:sz w:val="22"/>
                <w:szCs w:val="22"/>
              </w:rPr>
            </w:pPr>
            <w:r w:rsidRPr="00211340">
              <w:rPr>
                <w:sz w:val="22"/>
                <w:szCs w:val="22"/>
              </w:rPr>
              <w:t>Q0000</w:t>
            </w:r>
          </w:p>
        </w:tc>
      </w:tr>
      <w:tr w:rsidR="003D5805" w:rsidRPr="00AA15A7" w14:paraId="115810B3" w14:textId="77777777" w:rsidTr="003D5805">
        <w:trPr>
          <w:cantSplit/>
          <w:trHeight w:val="403"/>
          <w:jc w:val="center"/>
        </w:trPr>
        <w:tc>
          <w:tcPr>
            <w:tcW w:w="1620" w:type="dxa"/>
            <w:tcBorders>
              <w:top w:val="single" w:sz="6" w:space="0" w:color="auto"/>
              <w:left w:val="single" w:sz="6" w:space="0" w:color="auto"/>
              <w:bottom w:val="single" w:sz="6" w:space="0" w:color="auto"/>
            </w:tcBorders>
          </w:tcPr>
          <w:p w14:paraId="115810AF" w14:textId="77777777" w:rsidR="003D5805" w:rsidRPr="00211340" w:rsidRDefault="003D5805" w:rsidP="003D5805">
            <w:pPr>
              <w:rPr>
                <w:sz w:val="22"/>
                <w:szCs w:val="22"/>
              </w:rPr>
            </w:pPr>
            <w:r w:rsidRPr="00211340">
              <w:rPr>
                <w:sz w:val="22"/>
                <w:szCs w:val="22"/>
              </w:rPr>
              <w:t>99999</w:t>
            </w:r>
          </w:p>
        </w:tc>
        <w:tc>
          <w:tcPr>
            <w:tcW w:w="2610" w:type="dxa"/>
            <w:tcBorders>
              <w:top w:val="single" w:sz="6" w:space="0" w:color="auto"/>
              <w:left w:val="single" w:sz="6" w:space="0" w:color="auto"/>
              <w:bottom w:val="single" w:sz="6" w:space="0" w:color="auto"/>
            </w:tcBorders>
          </w:tcPr>
          <w:p w14:paraId="115810B0" w14:textId="77777777" w:rsidR="003D5805" w:rsidRPr="00211340" w:rsidRDefault="003D5805" w:rsidP="003D5805">
            <w:pPr>
              <w:jc w:val="center"/>
              <w:rPr>
                <w:sz w:val="22"/>
                <w:szCs w:val="22"/>
              </w:rPr>
            </w:pPr>
            <w:r w:rsidRPr="00211340">
              <w:rPr>
                <w:sz w:val="22"/>
                <w:szCs w:val="22"/>
              </w:rPr>
              <w:t>11-zone and 9</w:t>
            </w:r>
          </w:p>
        </w:tc>
        <w:tc>
          <w:tcPr>
            <w:tcW w:w="2790" w:type="dxa"/>
            <w:tcBorders>
              <w:top w:val="single" w:sz="6" w:space="0" w:color="auto"/>
              <w:left w:val="single" w:sz="6" w:space="0" w:color="auto"/>
              <w:bottom w:val="single" w:sz="6" w:space="0" w:color="auto"/>
            </w:tcBorders>
          </w:tcPr>
          <w:p w14:paraId="115810B1" w14:textId="77777777" w:rsidR="003D5805" w:rsidRPr="00211340" w:rsidRDefault="003D5805" w:rsidP="003D5805">
            <w:pPr>
              <w:jc w:val="center"/>
              <w:rPr>
                <w:sz w:val="22"/>
                <w:szCs w:val="22"/>
              </w:rPr>
            </w:pPr>
            <w:r w:rsidRPr="00211340">
              <w:rPr>
                <w:sz w:val="22"/>
                <w:szCs w:val="22"/>
              </w:rPr>
              <w:t>R</w:t>
            </w:r>
          </w:p>
        </w:tc>
        <w:tc>
          <w:tcPr>
            <w:tcW w:w="2430" w:type="dxa"/>
            <w:tcBorders>
              <w:top w:val="single" w:sz="6" w:space="0" w:color="auto"/>
              <w:left w:val="single" w:sz="6" w:space="0" w:color="auto"/>
              <w:bottom w:val="single" w:sz="6" w:space="0" w:color="auto"/>
              <w:right w:val="single" w:sz="6" w:space="0" w:color="auto"/>
            </w:tcBorders>
          </w:tcPr>
          <w:p w14:paraId="115810B2" w14:textId="77777777" w:rsidR="003D5805" w:rsidRPr="00211340" w:rsidRDefault="003D5805" w:rsidP="003D5805">
            <w:pPr>
              <w:jc w:val="center"/>
              <w:rPr>
                <w:sz w:val="22"/>
                <w:szCs w:val="22"/>
              </w:rPr>
            </w:pPr>
            <w:r w:rsidRPr="00211340">
              <w:rPr>
                <w:sz w:val="22"/>
                <w:szCs w:val="22"/>
              </w:rPr>
              <w:t>R9999</w:t>
            </w:r>
          </w:p>
        </w:tc>
      </w:tr>
    </w:tbl>
    <w:p w14:paraId="115810B4" w14:textId="0736E7FE" w:rsidR="003D5805" w:rsidRPr="00F22924" w:rsidRDefault="00675D18" w:rsidP="00540D05">
      <w:pPr>
        <w:tabs>
          <w:tab w:val="left" w:pos="540"/>
          <w:tab w:val="left" w:pos="1080"/>
        </w:tabs>
        <w:spacing w:before="240" w:after="240"/>
        <w:ind w:right="360"/>
        <w:rPr>
          <w:sz w:val="24"/>
          <w:szCs w:val="24"/>
        </w:rPr>
      </w:pPr>
      <w:r>
        <w:rPr>
          <w:b/>
          <w:i/>
          <w:sz w:val="24"/>
          <w:szCs w:val="24"/>
        </w:rPr>
        <w:tab/>
      </w:r>
      <w:r>
        <w:rPr>
          <w:b/>
          <w:i/>
          <w:sz w:val="24"/>
          <w:szCs w:val="24"/>
        </w:rPr>
        <w:tab/>
      </w:r>
      <w:r w:rsidR="003F59BE" w:rsidRPr="00F22924">
        <w:rPr>
          <w:sz w:val="24"/>
          <w:szCs w:val="24"/>
        </w:rPr>
        <w:t xml:space="preserve">AP3.3.2.2.  </w:t>
      </w:r>
      <w:r w:rsidR="003D5805" w:rsidRPr="00F22924">
        <w:rPr>
          <w:sz w:val="24"/>
          <w:szCs w:val="24"/>
        </w:rPr>
        <w:t>For ammunition, an M-modifier may be entered in record position 29 of the quantity field to denote thousands.  In such cases, the quantity and reversal indicators would appear as shown in the following example for a reversal quantity of 800000:</w:t>
      </w:r>
    </w:p>
    <w:tbl>
      <w:tblPr>
        <w:tblW w:w="0" w:type="auto"/>
        <w:tblInd w:w="558" w:type="dxa"/>
        <w:tblLayout w:type="fixed"/>
        <w:tblLook w:val="0000" w:firstRow="0" w:lastRow="0" w:firstColumn="0" w:lastColumn="0" w:noHBand="0" w:noVBand="0"/>
      </w:tblPr>
      <w:tblGrid>
        <w:gridCol w:w="1620"/>
        <w:gridCol w:w="2610"/>
        <w:gridCol w:w="2790"/>
        <w:gridCol w:w="1980"/>
      </w:tblGrid>
      <w:tr w:rsidR="003D5805" w:rsidRPr="00AA15A7" w14:paraId="115810BD" w14:textId="77777777" w:rsidTr="003D5805">
        <w:trPr>
          <w:cantSplit/>
          <w:trHeight w:val="984"/>
        </w:trPr>
        <w:tc>
          <w:tcPr>
            <w:tcW w:w="1620" w:type="dxa"/>
            <w:tcBorders>
              <w:top w:val="single" w:sz="6" w:space="0" w:color="auto"/>
              <w:left w:val="single" w:sz="6" w:space="0" w:color="auto"/>
            </w:tcBorders>
          </w:tcPr>
          <w:p w14:paraId="115810B6" w14:textId="77777777" w:rsidR="003D5805" w:rsidRPr="00F22924" w:rsidRDefault="003D5805" w:rsidP="00F32886">
            <w:pPr>
              <w:spacing w:before="60" w:after="60"/>
              <w:rPr>
                <w:sz w:val="22"/>
                <w:szCs w:val="22"/>
              </w:rPr>
            </w:pPr>
            <w:r w:rsidRPr="00F22924">
              <w:rPr>
                <w:sz w:val="22"/>
                <w:szCs w:val="22"/>
              </w:rPr>
              <w:t xml:space="preserve">QUANTITY </w:t>
            </w:r>
          </w:p>
          <w:p w14:paraId="115810B7" w14:textId="77777777" w:rsidR="003D5805" w:rsidRPr="00F22924" w:rsidRDefault="003D5805" w:rsidP="00F32886">
            <w:pPr>
              <w:spacing w:before="60" w:after="60"/>
              <w:rPr>
                <w:sz w:val="22"/>
                <w:szCs w:val="22"/>
              </w:rPr>
            </w:pPr>
            <w:r w:rsidRPr="00F22924">
              <w:rPr>
                <w:sz w:val="22"/>
                <w:szCs w:val="22"/>
              </w:rPr>
              <w:t>ENTRY</w:t>
            </w:r>
          </w:p>
        </w:tc>
        <w:tc>
          <w:tcPr>
            <w:tcW w:w="2610" w:type="dxa"/>
            <w:tcBorders>
              <w:top w:val="single" w:sz="6" w:space="0" w:color="auto"/>
              <w:left w:val="single" w:sz="6" w:space="0" w:color="auto"/>
            </w:tcBorders>
          </w:tcPr>
          <w:p w14:paraId="115810B8" w14:textId="3D447D45" w:rsidR="003D5805" w:rsidRPr="00F22924" w:rsidRDefault="003D5805" w:rsidP="00F32886">
            <w:pPr>
              <w:spacing w:before="60" w:after="60"/>
              <w:rPr>
                <w:sz w:val="22"/>
                <w:szCs w:val="22"/>
              </w:rPr>
            </w:pPr>
            <w:r w:rsidRPr="00F22924">
              <w:rPr>
                <w:sz w:val="22"/>
                <w:szCs w:val="22"/>
              </w:rPr>
              <w:t>RECORD</w:t>
            </w:r>
            <w:r w:rsidR="00CC50A2">
              <w:rPr>
                <w:sz w:val="22"/>
                <w:szCs w:val="22"/>
              </w:rPr>
              <w:t xml:space="preserve"> </w:t>
            </w:r>
            <w:r w:rsidRPr="00F22924">
              <w:rPr>
                <w:sz w:val="22"/>
                <w:szCs w:val="22"/>
              </w:rPr>
              <w:t>POSITION 25 PUNCHED-CARD</w:t>
            </w:r>
          </w:p>
          <w:p w14:paraId="115810B9" w14:textId="77777777" w:rsidR="003D5805" w:rsidRPr="00F22924" w:rsidRDefault="003D5805" w:rsidP="00F32886">
            <w:pPr>
              <w:spacing w:before="60" w:after="60"/>
              <w:rPr>
                <w:sz w:val="22"/>
                <w:szCs w:val="22"/>
              </w:rPr>
            </w:pPr>
            <w:r w:rsidRPr="00F22924">
              <w:rPr>
                <w:sz w:val="22"/>
                <w:szCs w:val="22"/>
              </w:rPr>
              <w:t>TRANSACTION ENTRY</w:t>
            </w:r>
          </w:p>
        </w:tc>
        <w:tc>
          <w:tcPr>
            <w:tcW w:w="2790" w:type="dxa"/>
            <w:tcBorders>
              <w:top w:val="single" w:sz="6" w:space="0" w:color="auto"/>
              <w:left w:val="single" w:sz="6" w:space="0" w:color="auto"/>
            </w:tcBorders>
          </w:tcPr>
          <w:p w14:paraId="115810BA" w14:textId="54246F8F" w:rsidR="003D5805" w:rsidRPr="00F22924" w:rsidRDefault="003D5805" w:rsidP="00F32886">
            <w:pPr>
              <w:pStyle w:val="BodyText"/>
              <w:spacing w:before="60" w:after="60"/>
              <w:rPr>
                <w:rFonts w:cs="Arial"/>
                <w:sz w:val="22"/>
                <w:szCs w:val="22"/>
              </w:rPr>
            </w:pPr>
            <w:r w:rsidRPr="00F22924">
              <w:rPr>
                <w:rFonts w:cs="Arial"/>
                <w:sz w:val="22"/>
                <w:szCs w:val="22"/>
              </w:rPr>
              <w:t>RECORD</w:t>
            </w:r>
            <w:r w:rsidR="00CC50A2">
              <w:rPr>
                <w:rFonts w:cs="Arial"/>
                <w:sz w:val="22"/>
                <w:szCs w:val="22"/>
              </w:rPr>
              <w:t xml:space="preserve"> </w:t>
            </w:r>
            <w:r w:rsidRPr="00F22924">
              <w:rPr>
                <w:rFonts w:cs="Arial"/>
                <w:sz w:val="22"/>
                <w:szCs w:val="22"/>
              </w:rPr>
              <w:t>POSITION 25 EBCDIC REVERSAL</w:t>
            </w:r>
          </w:p>
          <w:p w14:paraId="115810BB" w14:textId="77777777" w:rsidR="003D5805" w:rsidRPr="00F22924" w:rsidRDefault="003D5805" w:rsidP="00F32886">
            <w:pPr>
              <w:pStyle w:val="BodyText"/>
              <w:spacing w:before="60" w:after="60"/>
              <w:rPr>
                <w:rFonts w:cs="Arial"/>
                <w:sz w:val="22"/>
                <w:szCs w:val="22"/>
              </w:rPr>
            </w:pPr>
            <w:r w:rsidRPr="00F22924">
              <w:rPr>
                <w:rFonts w:cs="Arial"/>
                <w:sz w:val="22"/>
                <w:szCs w:val="22"/>
              </w:rPr>
              <w:t>CHARACTER</w:t>
            </w:r>
          </w:p>
        </w:tc>
        <w:tc>
          <w:tcPr>
            <w:tcW w:w="1980" w:type="dxa"/>
            <w:tcBorders>
              <w:top w:val="single" w:sz="6" w:space="0" w:color="auto"/>
              <w:left w:val="single" w:sz="6" w:space="0" w:color="auto"/>
              <w:right w:val="single" w:sz="6" w:space="0" w:color="auto"/>
            </w:tcBorders>
          </w:tcPr>
          <w:p w14:paraId="115810BC" w14:textId="77777777" w:rsidR="003D5805" w:rsidRPr="00F22924" w:rsidRDefault="003D5805" w:rsidP="00F32886">
            <w:pPr>
              <w:spacing w:before="60" w:after="60"/>
              <w:rPr>
                <w:sz w:val="22"/>
                <w:szCs w:val="22"/>
              </w:rPr>
            </w:pPr>
            <w:r w:rsidRPr="00F22924">
              <w:rPr>
                <w:sz w:val="22"/>
                <w:szCs w:val="22"/>
              </w:rPr>
              <w:t>EBCDIC REVERSAL QUANTITY ENTRY</w:t>
            </w:r>
          </w:p>
        </w:tc>
      </w:tr>
      <w:tr w:rsidR="003D5805" w:rsidRPr="00AA15A7" w14:paraId="115810C2" w14:textId="77777777" w:rsidTr="003D5805">
        <w:trPr>
          <w:cantSplit/>
        </w:trPr>
        <w:tc>
          <w:tcPr>
            <w:tcW w:w="1620" w:type="dxa"/>
            <w:tcBorders>
              <w:top w:val="single" w:sz="6" w:space="0" w:color="auto"/>
              <w:left w:val="single" w:sz="6" w:space="0" w:color="auto"/>
              <w:bottom w:val="single" w:sz="6" w:space="0" w:color="auto"/>
            </w:tcBorders>
          </w:tcPr>
          <w:p w14:paraId="115810BE" w14:textId="77777777" w:rsidR="003D5805" w:rsidRPr="00F22924" w:rsidRDefault="003D5805" w:rsidP="003D5805">
            <w:pPr>
              <w:rPr>
                <w:sz w:val="22"/>
                <w:szCs w:val="22"/>
              </w:rPr>
            </w:pPr>
            <w:r w:rsidRPr="00F22924">
              <w:rPr>
                <w:sz w:val="22"/>
                <w:szCs w:val="22"/>
              </w:rPr>
              <w:t>0800M</w:t>
            </w:r>
          </w:p>
        </w:tc>
        <w:tc>
          <w:tcPr>
            <w:tcW w:w="2610" w:type="dxa"/>
            <w:tcBorders>
              <w:top w:val="single" w:sz="6" w:space="0" w:color="auto"/>
              <w:left w:val="single" w:sz="6" w:space="0" w:color="auto"/>
              <w:bottom w:val="single" w:sz="6" w:space="0" w:color="auto"/>
            </w:tcBorders>
          </w:tcPr>
          <w:p w14:paraId="115810BF" w14:textId="77777777" w:rsidR="003D5805" w:rsidRPr="00F22924" w:rsidRDefault="003D5805" w:rsidP="003D5805">
            <w:pPr>
              <w:rPr>
                <w:sz w:val="22"/>
                <w:szCs w:val="22"/>
              </w:rPr>
            </w:pPr>
            <w:r w:rsidRPr="00F22924">
              <w:rPr>
                <w:sz w:val="22"/>
                <w:szCs w:val="22"/>
              </w:rPr>
              <w:t>11-zone and 0 (zero)</w:t>
            </w:r>
          </w:p>
        </w:tc>
        <w:tc>
          <w:tcPr>
            <w:tcW w:w="2790" w:type="dxa"/>
            <w:tcBorders>
              <w:top w:val="single" w:sz="6" w:space="0" w:color="auto"/>
              <w:left w:val="single" w:sz="6" w:space="0" w:color="auto"/>
              <w:bottom w:val="single" w:sz="6" w:space="0" w:color="auto"/>
            </w:tcBorders>
          </w:tcPr>
          <w:p w14:paraId="115810C0" w14:textId="77777777" w:rsidR="003D5805" w:rsidRPr="00F22924" w:rsidRDefault="003D5805" w:rsidP="003D5805">
            <w:pPr>
              <w:jc w:val="center"/>
              <w:rPr>
                <w:sz w:val="22"/>
                <w:szCs w:val="22"/>
              </w:rPr>
            </w:pPr>
            <w:r w:rsidRPr="00F22924">
              <w:rPr>
                <w:sz w:val="22"/>
                <w:szCs w:val="22"/>
              </w:rPr>
              <w:t>}</w:t>
            </w:r>
          </w:p>
        </w:tc>
        <w:tc>
          <w:tcPr>
            <w:tcW w:w="1980" w:type="dxa"/>
            <w:tcBorders>
              <w:top w:val="single" w:sz="6" w:space="0" w:color="auto"/>
              <w:left w:val="single" w:sz="6" w:space="0" w:color="auto"/>
              <w:bottom w:val="single" w:sz="6" w:space="0" w:color="auto"/>
              <w:right w:val="single" w:sz="6" w:space="0" w:color="auto"/>
            </w:tcBorders>
          </w:tcPr>
          <w:p w14:paraId="115810C1" w14:textId="77777777" w:rsidR="003D5805" w:rsidRPr="00F22924" w:rsidRDefault="003D5805" w:rsidP="003D5805">
            <w:pPr>
              <w:jc w:val="center"/>
              <w:rPr>
                <w:sz w:val="22"/>
                <w:szCs w:val="22"/>
              </w:rPr>
            </w:pPr>
            <w:r w:rsidRPr="00F22924">
              <w:rPr>
                <w:sz w:val="22"/>
                <w:szCs w:val="22"/>
              </w:rPr>
              <w:t>}800M</w:t>
            </w:r>
          </w:p>
        </w:tc>
      </w:tr>
    </w:tbl>
    <w:p w14:paraId="115810C5" w14:textId="77777777" w:rsidR="000F645F" w:rsidRDefault="003D5805" w:rsidP="006D5D12">
      <w:pPr>
        <w:tabs>
          <w:tab w:val="left" w:pos="540"/>
        </w:tabs>
        <w:spacing w:before="240" w:after="240"/>
        <w:ind w:right="360"/>
        <w:rPr>
          <w:sz w:val="24"/>
          <w:szCs w:val="24"/>
        </w:rPr>
      </w:pPr>
      <w:r>
        <w:rPr>
          <w:sz w:val="24"/>
          <w:szCs w:val="24"/>
        </w:rPr>
        <w:tab/>
      </w:r>
      <w:r w:rsidR="000F645F">
        <w:rPr>
          <w:sz w:val="24"/>
          <w:szCs w:val="24"/>
        </w:rPr>
        <w:t xml:space="preserve">AP3.3.3.  When all data elements, other than quantity, are identical and the quantity due-in or being adjusted exceeds </w:t>
      </w:r>
      <w:r w:rsidR="00D41309">
        <w:rPr>
          <w:sz w:val="24"/>
          <w:szCs w:val="24"/>
        </w:rPr>
        <w:t>99</w:t>
      </w:r>
      <w:r w:rsidR="000F645F">
        <w:rPr>
          <w:sz w:val="24"/>
          <w:szCs w:val="24"/>
        </w:rPr>
        <w:t>,</w:t>
      </w:r>
      <w:r w:rsidR="00D41309">
        <w:rPr>
          <w:sz w:val="24"/>
          <w:szCs w:val="24"/>
        </w:rPr>
        <w:t>999</w:t>
      </w:r>
      <w:r w:rsidR="000F645F">
        <w:rPr>
          <w:sz w:val="24"/>
          <w:szCs w:val="24"/>
        </w:rPr>
        <w:t xml:space="preserve"> or 9999M (M-Modifier thousands - and residual quantities are for ammunition</w:t>
      </w:r>
      <w:r w:rsidR="00D41309">
        <w:rPr>
          <w:sz w:val="24"/>
          <w:szCs w:val="24"/>
        </w:rPr>
        <w:t>)</w:t>
      </w:r>
      <w:r w:rsidR="000F645F">
        <w:rPr>
          <w:sz w:val="24"/>
          <w:szCs w:val="24"/>
        </w:rPr>
        <w:t xml:space="preserve">; or when all data elements are the same, except the condition of materiel, for materiel being received or being adjusted; assign consecutive suffix codes in record position 44 beginning with alpha code A in the initial transaction; otherwise, leave blank. </w:t>
      </w:r>
    </w:p>
    <w:p w14:paraId="115810C6" w14:textId="093752F9" w:rsidR="003F59BE" w:rsidRDefault="000F645F" w:rsidP="00675D18">
      <w:pPr>
        <w:widowControl/>
        <w:tabs>
          <w:tab w:val="left" w:pos="540"/>
        </w:tabs>
        <w:spacing w:after="240"/>
        <w:ind w:right="360"/>
        <w:rPr>
          <w:color w:val="000000"/>
          <w:sz w:val="24"/>
          <w:szCs w:val="24"/>
        </w:rPr>
      </w:pPr>
      <w:r>
        <w:rPr>
          <w:sz w:val="24"/>
          <w:szCs w:val="24"/>
        </w:rPr>
        <w:tab/>
        <w:t xml:space="preserve">AP3.3.4.  </w:t>
      </w:r>
      <w:r>
        <w:rPr>
          <w:color w:val="000000"/>
          <w:sz w:val="24"/>
          <w:szCs w:val="24"/>
        </w:rPr>
        <w:t xml:space="preserve">Date Indicator is a three-position field used to identify the year and month (e.g., 305 is year 2003, month of May).  Date indicators refer to the last day of the month unless otherwise noted in the transaction.  The Date Indicators in </w:t>
      </w:r>
      <w:r w:rsidR="00F32886">
        <w:rPr>
          <w:color w:val="000000"/>
          <w:sz w:val="24"/>
          <w:szCs w:val="24"/>
        </w:rPr>
        <w:t xml:space="preserve">special program requirement </w:t>
      </w:r>
      <w:r>
        <w:rPr>
          <w:color w:val="000000"/>
          <w:sz w:val="24"/>
          <w:szCs w:val="24"/>
        </w:rPr>
        <w:t>(SPR) transactions refer to the first day of the month as noted in the formats.</w:t>
      </w:r>
    </w:p>
    <w:p w14:paraId="115810C7" w14:textId="52368F8D" w:rsidR="003F59BE" w:rsidRPr="00F22924" w:rsidRDefault="003F59BE" w:rsidP="00540D05">
      <w:pPr>
        <w:keepNext/>
        <w:keepLines/>
        <w:widowControl/>
        <w:tabs>
          <w:tab w:val="left" w:pos="540"/>
        </w:tabs>
        <w:spacing w:after="240"/>
        <w:ind w:right="360"/>
        <w:rPr>
          <w:color w:val="000000"/>
          <w:sz w:val="24"/>
          <w:szCs w:val="24"/>
        </w:rPr>
      </w:pPr>
      <w:r>
        <w:rPr>
          <w:color w:val="000000"/>
          <w:sz w:val="24"/>
          <w:szCs w:val="24"/>
        </w:rPr>
        <w:lastRenderedPageBreak/>
        <w:tab/>
      </w:r>
      <w:r w:rsidRPr="00F22924">
        <w:rPr>
          <w:sz w:val="24"/>
          <w:szCs w:val="24"/>
        </w:rPr>
        <w:t xml:space="preserve">AP3.3.5. </w:t>
      </w:r>
      <w:r w:rsidRPr="00F22924">
        <w:rPr>
          <w:sz w:val="24"/>
          <w:szCs w:val="24"/>
          <w:u w:val="single"/>
        </w:rPr>
        <w:t>Exception Rule Available for Communicating Larger Quantities in Identified Transactions</w:t>
      </w:r>
      <w:r w:rsidRPr="00540D05">
        <w:rPr>
          <w:sz w:val="24"/>
          <w:szCs w:val="24"/>
        </w:rPr>
        <w:t xml:space="preserve">. </w:t>
      </w:r>
      <w:r w:rsidRPr="00F22924">
        <w:rPr>
          <w:sz w:val="24"/>
          <w:szCs w:val="24"/>
        </w:rPr>
        <w:t xml:space="preserve"> For ammunition and ammunition related items in </w:t>
      </w:r>
      <w:r w:rsidR="00B67979" w:rsidRPr="00F22924">
        <w:rPr>
          <w:sz w:val="24"/>
          <w:szCs w:val="24"/>
        </w:rPr>
        <w:t>FSG</w:t>
      </w:r>
      <w:r w:rsidRPr="00F22924">
        <w:rPr>
          <w:sz w:val="24"/>
          <w:szCs w:val="24"/>
        </w:rPr>
        <w:t xml:space="preserve"> 13, and </w:t>
      </w:r>
      <w:r w:rsidR="00B67979" w:rsidRPr="00F22924">
        <w:rPr>
          <w:sz w:val="24"/>
          <w:szCs w:val="24"/>
        </w:rPr>
        <w:t xml:space="preserve">FSC </w:t>
      </w:r>
      <w:r w:rsidRPr="00F22924">
        <w:rPr>
          <w:sz w:val="24"/>
          <w:szCs w:val="24"/>
        </w:rPr>
        <w:t xml:space="preserve"> 1410, 1420, 1427, 1440, 5330, 5865, 6810 or 8140, exception rule for ammunition and ammunition related items:  By trading partner agreement and by coordination with DLA Transaction Services, an exception rule is available for communicating larger quantities in identified transactions.  This rule is only applicable when the initiating system is DLMS compliant (and supports larger quantities), and the receiving system is using legacy MILSTRAP.  Under this rule, when the quantity exceeds 99,999, the DLA Transaction Services transaction conversion from DLMS to legacy format shall transmit the initial quantity using the standard configuration using the qualifier “M” in </w:t>
      </w:r>
      <w:proofErr w:type="spellStart"/>
      <w:r w:rsidRPr="00F22924">
        <w:rPr>
          <w:sz w:val="24"/>
          <w:szCs w:val="24"/>
        </w:rPr>
        <w:t>rp</w:t>
      </w:r>
      <w:proofErr w:type="spellEnd"/>
      <w:r w:rsidRPr="00F22924">
        <w:rPr>
          <w:sz w:val="24"/>
          <w:szCs w:val="24"/>
        </w:rPr>
        <w:t xml:space="preserve"> 29 to represent thousands, per AP3.3.1.  The residual quantity from the DLMS transaction shall be transmitted separately using the original document number and original/blank suffix code.  The legacy trading partner system shall be responsible for accumulating the quantities transmitted separately (rather than superseding or rejecting as duplicate transactions).  Refer to ADC 441, Exception Rules to Accommodate Communication of Ammunition/Ammunition Related Quantities in Excess of Five Digits.</w:t>
      </w:r>
    </w:p>
    <w:p w14:paraId="115810C9" w14:textId="77777777" w:rsidR="000F645F" w:rsidRDefault="000F645F" w:rsidP="00675D18">
      <w:pPr>
        <w:tabs>
          <w:tab w:val="left" w:pos="540"/>
        </w:tabs>
        <w:spacing w:after="240"/>
        <w:ind w:right="360"/>
        <w:rPr>
          <w:sz w:val="24"/>
          <w:szCs w:val="24"/>
        </w:rPr>
      </w:pPr>
      <w:r>
        <w:rPr>
          <w:sz w:val="24"/>
          <w:szCs w:val="24"/>
        </w:rPr>
        <w:t xml:space="preserve">AP3.4.  </w:t>
      </w:r>
      <w:r w:rsidRPr="00B74183">
        <w:rPr>
          <w:sz w:val="24"/>
          <w:szCs w:val="24"/>
          <w:u w:val="single"/>
        </w:rPr>
        <w:t>General Guidance for Quantity, Day, and Date Entries</w:t>
      </w:r>
    </w:p>
    <w:p w14:paraId="115810CA" w14:textId="77777777" w:rsidR="000F645F" w:rsidRDefault="000F645F" w:rsidP="00675D18">
      <w:pPr>
        <w:tabs>
          <w:tab w:val="left" w:pos="540"/>
        </w:tabs>
        <w:spacing w:after="240"/>
        <w:ind w:right="90"/>
        <w:rPr>
          <w:sz w:val="24"/>
          <w:szCs w:val="24"/>
        </w:rPr>
      </w:pPr>
      <w:r>
        <w:rPr>
          <w:sz w:val="24"/>
          <w:szCs w:val="24"/>
        </w:rPr>
        <w:tab/>
        <w:t xml:space="preserve">AP3.4.1.  </w:t>
      </w:r>
      <w:r w:rsidRPr="00DE0129">
        <w:rPr>
          <w:sz w:val="24"/>
          <w:szCs w:val="24"/>
          <w:u w:val="single"/>
        </w:rPr>
        <w:t>Quantity</w:t>
      </w:r>
      <w:r>
        <w:rPr>
          <w:sz w:val="24"/>
          <w:szCs w:val="24"/>
        </w:rPr>
        <w:t>.  Unless otherwise stated in the format explanation and instructions, quantity fields must be completely filled.  If the quantity being entered does not fill the prescribed number of positions, right justify the entry and precede the significant digits with zeroes.  For instance, a quantity of 55 would be entered in record positions 25-29 as 00055.</w:t>
      </w:r>
    </w:p>
    <w:p w14:paraId="115810CB" w14:textId="122DF76E" w:rsidR="000F645F" w:rsidRDefault="000F645F" w:rsidP="00675D18">
      <w:pPr>
        <w:tabs>
          <w:tab w:val="left" w:pos="540"/>
        </w:tabs>
        <w:spacing w:after="240"/>
        <w:ind w:right="360"/>
        <w:rPr>
          <w:sz w:val="24"/>
          <w:szCs w:val="24"/>
        </w:rPr>
      </w:pPr>
      <w:r>
        <w:rPr>
          <w:sz w:val="24"/>
          <w:szCs w:val="24"/>
        </w:rPr>
        <w:tab/>
        <w:t xml:space="preserve">AP3.4.2.  </w:t>
      </w:r>
      <w:r w:rsidRPr="00B74183">
        <w:rPr>
          <w:sz w:val="24"/>
          <w:szCs w:val="24"/>
          <w:u w:val="single"/>
        </w:rPr>
        <w:t>Day</w:t>
      </w:r>
      <w:r>
        <w:rPr>
          <w:sz w:val="24"/>
          <w:szCs w:val="24"/>
        </w:rPr>
        <w:t xml:space="preserve">.  The term Julian day is not recognized for data element terminology.  Accordingly, all instructions covering the entry of a 3-digit day refer to the ordinal day of the calendar year.  For instance, 25 February </w:t>
      </w:r>
      <w:r w:rsidR="003F59BE" w:rsidRPr="00F22924">
        <w:rPr>
          <w:sz w:val="24"/>
          <w:szCs w:val="24"/>
        </w:rPr>
        <w:t>shall</w:t>
      </w:r>
      <w:r w:rsidRPr="00F22924">
        <w:rPr>
          <w:sz w:val="24"/>
          <w:szCs w:val="24"/>
        </w:rPr>
        <w:t xml:space="preserve"> b</w:t>
      </w:r>
      <w:r>
        <w:rPr>
          <w:sz w:val="24"/>
          <w:szCs w:val="24"/>
        </w:rPr>
        <w:t>e entered as 056 and 14 July would be entered as 195 or 196 in a leap year.</w:t>
      </w:r>
    </w:p>
    <w:p w14:paraId="115810CC" w14:textId="77777777" w:rsidR="000F645F" w:rsidRDefault="000F645F" w:rsidP="00675D18">
      <w:pPr>
        <w:tabs>
          <w:tab w:val="left" w:pos="540"/>
        </w:tabs>
        <w:spacing w:after="240"/>
        <w:ind w:right="360"/>
        <w:rPr>
          <w:sz w:val="24"/>
          <w:szCs w:val="24"/>
        </w:rPr>
      </w:pPr>
      <w:r>
        <w:rPr>
          <w:sz w:val="24"/>
          <w:szCs w:val="24"/>
        </w:rPr>
        <w:tab/>
        <w:t xml:space="preserve">AP3.4.3.  </w:t>
      </w:r>
      <w:r w:rsidRPr="00B74183">
        <w:rPr>
          <w:sz w:val="24"/>
          <w:szCs w:val="24"/>
          <w:u w:val="single"/>
        </w:rPr>
        <w:t>Date</w:t>
      </w:r>
      <w:r>
        <w:rPr>
          <w:sz w:val="24"/>
          <w:szCs w:val="24"/>
        </w:rPr>
        <w:t>.  Date entries of four positions, unless otherwise specified, consist of the last position of the calendar year and the 3-digit ordinal day of the calendar year.  For instance, 25 February 2003 would be entered as 3056.</w:t>
      </w:r>
    </w:p>
    <w:sectPr w:rsidR="000F645F" w:rsidSect="008041A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576" w:footer="57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AA65" w14:textId="77777777" w:rsidR="002305C2" w:rsidRDefault="002305C2">
      <w:r>
        <w:separator/>
      </w:r>
    </w:p>
  </w:endnote>
  <w:endnote w:type="continuationSeparator" w:id="0">
    <w:p w14:paraId="1514AD2F" w14:textId="77777777" w:rsidR="002305C2" w:rsidRDefault="0023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10EB" w14:textId="77777777" w:rsidR="009A7FC9" w:rsidRDefault="009A7FC9" w:rsidP="000F645F">
    <w:pPr>
      <w:pStyle w:val="Footer"/>
      <w:framePr w:wrap="around" w:vAnchor="text" w:hAnchor="margin" w:xAlign="center" w:y="1"/>
      <w:jc w:val="center"/>
      <w:rPr>
        <w:rStyle w:val="PageNumber"/>
        <w:rFonts w:cs="Arial"/>
      </w:rPr>
    </w:pPr>
    <w:r>
      <w:rPr>
        <w:rStyle w:val="PageNumber"/>
        <w:rFonts w:cs="Arial"/>
      </w:rPr>
      <w:tab/>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14:paraId="115810EC" w14:textId="77777777" w:rsidR="009A7FC9" w:rsidRDefault="009A7FC9">
    <w:pPr>
      <w:pStyle w:val="Footer"/>
      <w:ind w:right="360" w:firstLine="360"/>
      <w:jc w:val="center"/>
      <w:rPr>
        <w:b/>
        <w:bCs/>
        <w:sz w:val="24"/>
        <w:szCs w:val="24"/>
      </w:rPr>
    </w:pPr>
    <w:r>
      <w:rPr>
        <w:b/>
        <w:bCs/>
        <w:sz w:val="24"/>
        <w:szCs w:val="24"/>
      </w:rPr>
      <w:t>AP3-2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10EE" w14:textId="42032E09" w:rsidR="009A7FC9" w:rsidRPr="000F645F" w:rsidRDefault="009A7FC9" w:rsidP="00CC50A2">
    <w:pPr>
      <w:pStyle w:val="Footer"/>
      <w:tabs>
        <w:tab w:val="clear" w:pos="8640"/>
        <w:tab w:val="left" w:pos="4290"/>
        <w:tab w:val="center" w:pos="4680"/>
        <w:tab w:val="right" w:pos="9360"/>
      </w:tabs>
      <w:rPr>
        <w:sz w:val="24"/>
        <w:szCs w:val="24"/>
      </w:rPr>
    </w:pPr>
    <w:r>
      <w:tab/>
    </w:r>
    <w:r>
      <w:tab/>
    </w:r>
    <w:r w:rsidRPr="008041AF">
      <w:rPr>
        <w:sz w:val="24"/>
        <w:szCs w:val="24"/>
      </w:rPr>
      <w:t>AP3-</w:t>
    </w:r>
    <w:sdt>
      <w:sdtPr>
        <w:rPr>
          <w:sz w:val="24"/>
          <w:szCs w:val="24"/>
        </w:rPr>
        <w:id w:val="818696690"/>
        <w:docPartObj>
          <w:docPartGallery w:val="Page Numbers (Bottom of Page)"/>
          <w:docPartUnique/>
        </w:docPartObj>
      </w:sdtPr>
      <w:sdtEndPr>
        <w:rPr>
          <w:noProof/>
        </w:rPr>
      </w:sdtEndPr>
      <w:sdtContent>
        <w:r w:rsidRPr="008041AF">
          <w:rPr>
            <w:sz w:val="24"/>
            <w:szCs w:val="24"/>
          </w:rPr>
          <w:fldChar w:fldCharType="begin"/>
        </w:r>
        <w:r w:rsidRPr="008041AF">
          <w:rPr>
            <w:sz w:val="24"/>
            <w:szCs w:val="24"/>
          </w:rPr>
          <w:instrText xml:space="preserve"> PAGE   \* MERGEFORMAT </w:instrText>
        </w:r>
        <w:r w:rsidRPr="008041AF">
          <w:rPr>
            <w:sz w:val="24"/>
            <w:szCs w:val="24"/>
          </w:rPr>
          <w:fldChar w:fldCharType="separate"/>
        </w:r>
        <w:r w:rsidR="005043CD">
          <w:rPr>
            <w:noProof/>
            <w:sz w:val="24"/>
            <w:szCs w:val="24"/>
          </w:rPr>
          <w:t>1</w:t>
        </w:r>
        <w:r w:rsidRPr="008041AF">
          <w:rPr>
            <w:noProof/>
            <w:sz w:val="24"/>
            <w:szCs w:val="24"/>
          </w:rPr>
          <w:fldChar w:fldCharType="end"/>
        </w:r>
      </w:sdtContent>
    </w:sdt>
    <w:r>
      <w:rPr>
        <w:noProof/>
        <w:sz w:val="24"/>
        <w:szCs w:val="24"/>
      </w:rPr>
      <w:tab/>
      <w:t>APPENDIX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10F0" w14:textId="77777777" w:rsidR="009A7FC9" w:rsidRDefault="009A7FC9" w:rsidP="00E95ED7">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14:paraId="115810F1" w14:textId="77777777" w:rsidR="009A7FC9" w:rsidRPr="000F645F" w:rsidRDefault="009A7FC9" w:rsidP="000F645F">
    <w:pPr>
      <w:pStyle w:val="Footer"/>
      <w:jc w:val="right"/>
      <w:rPr>
        <w:bCs/>
        <w:sz w:val="24"/>
        <w:szCs w:val="24"/>
      </w:rPr>
    </w:pPr>
    <w:r>
      <w:rPr>
        <w:bCs/>
        <w:sz w:val="24"/>
        <w:szCs w:val="24"/>
      </w:rPr>
      <w:t>APPENDIX 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2A7F" w14:textId="77777777" w:rsidR="002305C2" w:rsidRDefault="002305C2">
      <w:r>
        <w:separator/>
      </w:r>
    </w:p>
  </w:footnote>
  <w:footnote w:type="continuationSeparator" w:id="0">
    <w:p w14:paraId="19210CF2" w14:textId="77777777" w:rsidR="002305C2" w:rsidRDefault="00230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10E8" w14:textId="77777777" w:rsidR="009A7FC9" w:rsidRDefault="009A7FC9">
    <w:pPr>
      <w:rPr>
        <w:sz w:val="24"/>
        <w:szCs w:val="24"/>
      </w:rPr>
    </w:pPr>
  </w:p>
  <w:p w14:paraId="115810E9" w14:textId="77777777" w:rsidR="009A7FC9" w:rsidRDefault="009A7FC9">
    <w:r>
      <w:rPr>
        <w:b/>
        <w:bCs/>
        <w:sz w:val="24"/>
        <w:szCs w:val="24"/>
      </w:rPr>
      <w:t>DoD 4000.25-2-M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EEDC" w14:textId="7C26FB3E" w:rsidR="009A7FC9" w:rsidRPr="006E22D2" w:rsidRDefault="009A7FC9" w:rsidP="006D5D12">
    <w:pPr>
      <w:pStyle w:val="Header"/>
      <w:jc w:val="right"/>
      <w:rPr>
        <w:rFonts w:ascii="Arial" w:hAnsi="Arial" w:cs="Arial"/>
        <w:i/>
        <w:sz w:val="24"/>
        <w:szCs w:val="24"/>
      </w:rPr>
    </w:pPr>
    <w:r w:rsidRPr="006E22D2">
      <w:rPr>
        <w:rFonts w:ascii="Arial" w:hAnsi="Arial" w:cs="Arial"/>
        <w:i/>
        <w:sz w:val="24"/>
        <w:szCs w:val="24"/>
      </w:rPr>
      <w:t xml:space="preserve">DLM 4000.25, Volume 2, </w:t>
    </w:r>
    <w:r w:rsidR="005043CD" w:rsidRPr="005043CD">
      <w:rPr>
        <w:rFonts w:ascii="Arial" w:hAnsi="Arial" w:cs="Arial"/>
        <w:i/>
        <w:sz w:val="24"/>
        <w:szCs w:val="24"/>
      </w:rPr>
      <w:t>November 26</w:t>
    </w:r>
    <w:r w:rsidRPr="006E22D2">
      <w:rPr>
        <w:rFonts w:ascii="Arial" w:hAnsi="Arial" w:cs="Arial"/>
        <w:i/>
        <w:sz w:val="24"/>
        <w:szCs w:val="24"/>
      </w:rPr>
      <w:t>, 2019</w:t>
    </w:r>
  </w:p>
  <w:p w14:paraId="65169A61" w14:textId="1FD78C70" w:rsidR="00AD56FD" w:rsidRPr="006E22D2" w:rsidRDefault="00AD56FD" w:rsidP="006D5D12">
    <w:pPr>
      <w:pStyle w:val="Header"/>
      <w:jc w:val="right"/>
      <w:rPr>
        <w:rFonts w:ascii="Arial" w:hAnsi="Arial" w:cs="Arial"/>
        <w:i/>
        <w:sz w:val="24"/>
        <w:szCs w:val="24"/>
      </w:rPr>
    </w:pPr>
    <w:r w:rsidRPr="006E22D2">
      <w:rPr>
        <w:rFonts w:ascii="Arial" w:hAnsi="Arial" w:cs="Arial"/>
        <w:i/>
        <w:sz w:val="24"/>
        <w:szCs w:val="24"/>
      </w:rPr>
      <w:t>Change 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10EF" w14:textId="77777777" w:rsidR="009A7FC9" w:rsidRPr="000F645F" w:rsidRDefault="009A7FC9" w:rsidP="000F645F">
    <w:pPr>
      <w:jc w:val="right"/>
      <w:rPr>
        <w:bCs/>
        <w:i/>
        <w:sz w:val="24"/>
        <w:szCs w:val="24"/>
      </w:rPr>
    </w:pPr>
    <w:r w:rsidRPr="000F645F">
      <w:rPr>
        <w:bCs/>
        <w:i/>
        <w:sz w:val="24"/>
        <w:szCs w:val="24"/>
      </w:rPr>
      <w:t>DoD 4000.25-2-M</w:t>
    </w:r>
    <w:r>
      <w:rPr>
        <w:bCs/>
        <w:i/>
        <w:sz w:val="24"/>
        <w:szCs w:val="24"/>
      </w:rPr>
      <w:t>, December 2006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5DE"/>
    <w:multiLevelType w:val="hybridMultilevel"/>
    <w:tmpl w:val="C2BC2B2C"/>
    <w:lvl w:ilvl="0" w:tplc="AEF8DF16">
      <w:start w:val="1"/>
      <w:numFmt w:val="upperLetter"/>
      <w:lvlText w:val="%1P3."/>
      <w:lvlJc w:val="left"/>
      <w:pPr>
        <w:tabs>
          <w:tab w:val="num" w:pos="108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50F51302"/>
    <w:multiLevelType w:val="hybridMultilevel"/>
    <w:tmpl w:val="F252DF76"/>
    <w:lvl w:ilvl="0" w:tplc="AEF8DF16">
      <w:start w:val="1"/>
      <w:numFmt w:val="upperLetter"/>
      <w:lvlText w:val="%1P3."/>
      <w:lvlJc w:val="left"/>
      <w:pPr>
        <w:tabs>
          <w:tab w:val="num" w:pos="108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447238429">
    <w:abstractNumId w:val="0"/>
  </w:num>
  <w:num w:numId="2" w16cid:durableId="1851338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45F"/>
    <w:rsid w:val="00000AFB"/>
    <w:rsid w:val="000350D9"/>
    <w:rsid w:val="00052A85"/>
    <w:rsid w:val="000F2DDD"/>
    <w:rsid w:val="000F645F"/>
    <w:rsid w:val="001479FF"/>
    <w:rsid w:val="0015612B"/>
    <w:rsid w:val="00211340"/>
    <w:rsid w:val="002276F2"/>
    <w:rsid w:val="002305C2"/>
    <w:rsid w:val="00375027"/>
    <w:rsid w:val="003D5805"/>
    <w:rsid w:val="003F59BE"/>
    <w:rsid w:val="004F48B0"/>
    <w:rsid w:val="005043CD"/>
    <w:rsid w:val="00540D05"/>
    <w:rsid w:val="005756E5"/>
    <w:rsid w:val="006400C6"/>
    <w:rsid w:val="00675D18"/>
    <w:rsid w:val="006B09B1"/>
    <w:rsid w:val="006D5D12"/>
    <w:rsid w:val="006E22D2"/>
    <w:rsid w:val="00797C51"/>
    <w:rsid w:val="008041AF"/>
    <w:rsid w:val="00880A36"/>
    <w:rsid w:val="009353A9"/>
    <w:rsid w:val="00952C8B"/>
    <w:rsid w:val="00993C83"/>
    <w:rsid w:val="009A7FC9"/>
    <w:rsid w:val="00A66529"/>
    <w:rsid w:val="00AD56FD"/>
    <w:rsid w:val="00B472ED"/>
    <w:rsid w:val="00B67979"/>
    <w:rsid w:val="00B74183"/>
    <w:rsid w:val="00B97B3F"/>
    <w:rsid w:val="00BE2506"/>
    <w:rsid w:val="00BF1818"/>
    <w:rsid w:val="00C22929"/>
    <w:rsid w:val="00C9539A"/>
    <w:rsid w:val="00CC50A2"/>
    <w:rsid w:val="00D0523B"/>
    <w:rsid w:val="00D10845"/>
    <w:rsid w:val="00D125C0"/>
    <w:rsid w:val="00D30337"/>
    <w:rsid w:val="00D40E04"/>
    <w:rsid w:val="00D41309"/>
    <w:rsid w:val="00D6229A"/>
    <w:rsid w:val="00DE0129"/>
    <w:rsid w:val="00E95ED7"/>
    <w:rsid w:val="00F22924"/>
    <w:rsid w:val="00F32886"/>
    <w:rsid w:val="00F5507A"/>
    <w:rsid w:val="00F94785"/>
    <w:rsid w:val="00F9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581009"/>
  <w15:docId w15:val="{37241974-E57D-4ECC-AC9B-5DFD67BC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9B1"/>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B09B1"/>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09B1"/>
    <w:rPr>
      <w:rFonts w:ascii="Tahoma" w:hAnsi="Tahoma" w:cs="Tahoma"/>
      <w:sz w:val="16"/>
      <w:szCs w:val="16"/>
    </w:rPr>
  </w:style>
  <w:style w:type="paragraph" w:customStyle="1" w:styleId="Level1">
    <w:name w:val="Level 1"/>
    <w:uiPriority w:val="99"/>
    <w:rsid w:val="006B09B1"/>
    <w:pPr>
      <w:widowControl w:val="0"/>
      <w:autoSpaceDE w:val="0"/>
      <w:autoSpaceDN w:val="0"/>
      <w:adjustRightInd w:val="0"/>
      <w:spacing w:after="0" w:line="240" w:lineRule="auto"/>
      <w:jc w:val="both"/>
    </w:pPr>
    <w:rPr>
      <w:rFonts w:ascii="Arial" w:hAnsi="Arial" w:cs="Arial"/>
      <w:b/>
      <w:bCs/>
      <w:sz w:val="24"/>
      <w:szCs w:val="24"/>
    </w:rPr>
  </w:style>
  <w:style w:type="paragraph" w:customStyle="1" w:styleId="Level2">
    <w:name w:val="Level 2"/>
    <w:uiPriority w:val="99"/>
    <w:rsid w:val="006B09B1"/>
    <w:pPr>
      <w:widowControl w:val="0"/>
      <w:autoSpaceDE w:val="0"/>
      <w:autoSpaceDN w:val="0"/>
      <w:adjustRightInd w:val="0"/>
      <w:spacing w:after="0" w:line="240" w:lineRule="auto"/>
      <w:jc w:val="both"/>
    </w:pPr>
    <w:rPr>
      <w:rFonts w:ascii="Arial" w:hAnsi="Arial" w:cs="Arial"/>
      <w:sz w:val="24"/>
      <w:szCs w:val="24"/>
    </w:rPr>
  </w:style>
  <w:style w:type="paragraph" w:customStyle="1" w:styleId="Level3">
    <w:name w:val="Level 3"/>
    <w:uiPriority w:val="99"/>
    <w:rsid w:val="006B09B1"/>
    <w:pPr>
      <w:widowControl w:val="0"/>
      <w:autoSpaceDE w:val="0"/>
      <w:autoSpaceDN w:val="0"/>
      <w:adjustRightInd w:val="0"/>
      <w:spacing w:after="0" w:line="240" w:lineRule="auto"/>
      <w:jc w:val="both"/>
    </w:pPr>
    <w:rPr>
      <w:rFonts w:ascii="Arial" w:hAnsi="Arial" w:cs="Arial"/>
      <w:sz w:val="24"/>
      <w:szCs w:val="24"/>
    </w:rPr>
  </w:style>
  <w:style w:type="paragraph" w:customStyle="1" w:styleId="Level4">
    <w:name w:val="Level 4"/>
    <w:uiPriority w:val="99"/>
    <w:rsid w:val="006B09B1"/>
    <w:pPr>
      <w:widowControl w:val="0"/>
      <w:autoSpaceDE w:val="0"/>
      <w:autoSpaceDN w:val="0"/>
      <w:adjustRightInd w:val="0"/>
      <w:spacing w:after="0" w:line="240" w:lineRule="auto"/>
      <w:jc w:val="both"/>
    </w:pPr>
    <w:rPr>
      <w:rFonts w:ascii="Arial" w:hAnsi="Arial" w:cs="Arial"/>
      <w:sz w:val="24"/>
      <w:szCs w:val="24"/>
    </w:rPr>
  </w:style>
  <w:style w:type="paragraph" w:customStyle="1" w:styleId="Level5">
    <w:name w:val="Level 5"/>
    <w:uiPriority w:val="99"/>
    <w:rsid w:val="006B09B1"/>
    <w:pPr>
      <w:widowControl w:val="0"/>
      <w:autoSpaceDE w:val="0"/>
      <w:autoSpaceDN w:val="0"/>
      <w:adjustRightInd w:val="0"/>
      <w:spacing w:after="0" w:line="240" w:lineRule="auto"/>
      <w:jc w:val="both"/>
    </w:pPr>
    <w:rPr>
      <w:rFonts w:ascii="Arial" w:hAnsi="Arial" w:cs="Arial"/>
      <w:sz w:val="24"/>
      <w:szCs w:val="24"/>
    </w:rPr>
  </w:style>
  <w:style w:type="paragraph" w:customStyle="1" w:styleId="Level6">
    <w:name w:val="Level 6"/>
    <w:uiPriority w:val="99"/>
    <w:rsid w:val="006B09B1"/>
    <w:pPr>
      <w:widowControl w:val="0"/>
      <w:autoSpaceDE w:val="0"/>
      <w:autoSpaceDN w:val="0"/>
      <w:adjustRightInd w:val="0"/>
      <w:spacing w:after="0" w:line="240" w:lineRule="auto"/>
      <w:jc w:val="both"/>
    </w:pPr>
    <w:rPr>
      <w:rFonts w:ascii="Arial" w:hAnsi="Arial" w:cs="Arial"/>
      <w:sz w:val="24"/>
      <w:szCs w:val="24"/>
    </w:rPr>
  </w:style>
  <w:style w:type="paragraph" w:customStyle="1" w:styleId="Level7">
    <w:name w:val="Level 7"/>
    <w:uiPriority w:val="99"/>
    <w:rsid w:val="006B09B1"/>
    <w:pPr>
      <w:widowControl w:val="0"/>
      <w:autoSpaceDE w:val="0"/>
      <w:autoSpaceDN w:val="0"/>
      <w:adjustRightInd w:val="0"/>
      <w:spacing w:after="0" w:line="240" w:lineRule="auto"/>
      <w:jc w:val="both"/>
    </w:pPr>
    <w:rPr>
      <w:rFonts w:ascii="Arial" w:hAnsi="Arial" w:cs="Arial"/>
      <w:sz w:val="24"/>
      <w:szCs w:val="24"/>
    </w:rPr>
  </w:style>
  <w:style w:type="paragraph" w:customStyle="1" w:styleId="Level8">
    <w:name w:val="Level 8"/>
    <w:uiPriority w:val="99"/>
    <w:rsid w:val="006B09B1"/>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9">
    <w:name w:val="Level 9"/>
    <w:uiPriority w:val="99"/>
    <w:rsid w:val="006B09B1"/>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MtgPara">
    <w:name w:val="Mtg Para"/>
    <w:uiPriority w:val="99"/>
    <w:rsid w:val="006B09B1"/>
    <w:pPr>
      <w:widowControl w:val="0"/>
      <w:autoSpaceDE w:val="0"/>
      <w:autoSpaceDN w:val="0"/>
      <w:adjustRightInd w:val="0"/>
      <w:spacing w:after="0" w:line="240" w:lineRule="auto"/>
    </w:pPr>
    <w:rPr>
      <w:rFonts w:ascii="Arial" w:hAnsi="Arial" w:cs="Arial"/>
      <w:sz w:val="24"/>
      <w:szCs w:val="24"/>
    </w:rPr>
  </w:style>
  <w:style w:type="paragraph" w:customStyle="1" w:styleId="Meeting">
    <w:name w:val="Meeting"/>
    <w:uiPriority w:val="99"/>
    <w:rsid w:val="006B09B1"/>
    <w:pPr>
      <w:widowControl w:val="0"/>
      <w:autoSpaceDE w:val="0"/>
      <w:autoSpaceDN w:val="0"/>
      <w:adjustRightInd w:val="0"/>
      <w:spacing w:after="0" w:line="240" w:lineRule="auto"/>
      <w:ind w:left="5760"/>
      <w:jc w:val="both"/>
    </w:pPr>
    <w:rPr>
      <w:rFonts w:ascii="Arial" w:hAnsi="Arial" w:cs="Arial"/>
      <w:sz w:val="24"/>
      <w:szCs w:val="24"/>
    </w:rPr>
  </w:style>
  <w:style w:type="paragraph" w:styleId="Footer">
    <w:name w:val="footer"/>
    <w:basedOn w:val="Normal"/>
    <w:link w:val="FooterChar"/>
    <w:uiPriority w:val="99"/>
    <w:rsid w:val="006B09B1"/>
    <w:pPr>
      <w:tabs>
        <w:tab w:val="center" w:pos="4320"/>
        <w:tab w:val="right" w:pos="8640"/>
      </w:tabs>
    </w:pPr>
  </w:style>
  <w:style w:type="character" w:customStyle="1" w:styleId="FooterChar">
    <w:name w:val="Footer Char"/>
    <w:basedOn w:val="DefaultParagraphFont"/>
    <w:link w:val="Footer"/>
    <w:uiPriority w:val="99"/>
    <w:locked/>
    <w:rsid w:val="006B09B1"/>
    <w:rPr>
      <w:rFonts w:ascii="Arial" w:hAnsi="Arial" w:cs="Arial"/>
      <w:sz w:val="20"/>
      <w:szCs w:val="20"/>
    </w:rPr>
  </w:style>
  <w:style w:type="character" w:styleId="PageNumber">
    <w:name w:val="page number"/>
    <w:basedOn w:val="DefaultParagraphFont"/>
    <w:rsid w:val="006B09B1"/>
    <w:rPr>
      <w:rFonts w:cs="Times New Roman"/>
    </w:rPr>
  </w:style>
  <w:style w:type="character" w:customStyle="1" w:styleId="EmailStyle311">
    <w:name w:val="EmailStyle311"/>
    <w:basedOn w:val="DefaultParagraphFont"/>
    <w:uiPriority w:val="99"/>
    <w:rsid w:val="006B09B1"/>
    <w:rPr>
      <w:rFonts w:ascii="Trebuchet MS" w:hAnsi="Trebuchet MS" w:cs="Trebuchet MS"/>
      <w:color w:val="auto"/>
      <w:sz w:val="20"/>
      <w:szCs w:val="20"/>
    </w:rPr>
  </w:style>
  <w:style w:type="paragraph" w:styleId="BodyText">
    <w:name w:val="Body Text"/>
    <w:basedOn w:val="Normal"/>
    <w:link w:val="BodyTextChar"/>
    <w:rsid w:val="003D5805"/>
    <w:pPr>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autoSpaceDN/>
      <w:adjustRightInd/>
      <w:spacing w:after="360"/>
      <w:jc w:val="center"/>
    </w:pPr>
    <w:rPr>
      <w:rFonts w:cs="Times New Roman"/>
      <w:sz w:val="21"/>
    </w:rPr>
  </w:style>
  <w:style w:type="character" w:customStyle="1" w:styleId="BodyTextChar">
    <w:name w:val="Body Text Char"/>
    <w:basedOn w:val="DefaultParagraphFont"/>
    <w:link w:val="BodyText"/>
    <w:rsid w:val="003D5805"/>
    <w:rPr>
      <w:rFonts w:ascii="Arial" w:hAnsi="Arial"/>
      <w:sz w:val="21"/>
      <w:szCs w:val="20"/>
    </w:rPr>
  </w:style>
  <w:style w:type="paragraph" w:styleId="Header">
    <w:name w:val="header"/>
    <w:basedOn w:val="Normal"/>
    <w:link w:val="HeaderChar"/>
    <w:rsid w:val="003D5805"/>
    <w:pPr>
      <w:tabs>
        <w:tab w:val="center" w:pos="4320"/>
        <w:tab w:val="right" w:pos="8640"/>
      </w:tabs>
      <w:autoSpaceDE/>
      <w:autoSpaceDN/>
      <w:adjustRightInd/>
    </w:pPr>
    <w:rPr>
      <w:rFonts w:ascii="Times New Roman" w:hAnsi="Times New Roman" w:cs="Times New Roman"/>
    </w:rPr>
  </w:style>
  <w:style w:type="character" w:customStyle="1" w:styleId="HeaderChar">
    <w:name w:val="Header Char"/>
    <w:basedOn w:val="DefaultParagraphFont"/>
    <w:link w:val="Header"/>
    <w:rsid w:val="003D5805"/>
    <w:rPr>
      <w:sz w:val="20"/>
      <w:szCs w:val="20"/>
    </w:rPr>
  </w:style>
  <w:style w:type="paragraph" w:customStyle="1" w:styleId="Quick1">
    <w:name w:val="Quick 1."/>
    <w:rsid w:val="003D5805"/>
    <w:pPr>
      <w:widowControl w:val="0"/>
      <w:overflowPunct w:val="0"/>
      <w:autoSpaceDE w:val="0"/>
      <w:autoSpaceDN w:val="0"/>
      <w:adjustRightInd w:val="0"/>
      <w:spacing w:after="0" w:line="240" w:lineRule="auto"/>
      <w:ind w:left="-1440"/>
      <w:textAlignment w:val="baseline"/>
    </w:pPr>
    <w:rPr>
      <w:sz w:val="24"/>
      <w:szCs w:val="20"/>
    </w:rPr>
  </w:style>
  <w:style w:type="character" w:styleId="Emphasis">
    <w:name w:val="Emphasis"/>
    <w:uiPriority w:val="20"/>
    <w:qFormat/>
    <w:rsid w:val="003D5805"/>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44DCC-23B3-4B3E-80EA-8D4C5A1B2036}">
  <ds:schemaRefs>
    <ds:schemaRef ds:uri="http://schemas.microsoft.com/office/2006/metadata/properties"/>
    <ds:schemaRef ds:uri="170b14b1-392f-4d39-a1e6-499c1f95e431"/>
  </ds:schemaRefs>
</ds:datastoreItem>
</file>

<file path=customXml/itemProps2.xml><?xml version="1.0" encoding="utf-8"?>
<ds:datastoreItem xmlns:ds="http://schemas.openxmlformats.org/officeDocument/2006/customXml" ds:itemID="{6A3396E1-3CAF-47FB-ABCB-FEDEEBF0853F}">
  <ds:schemaRefs>
    <ds:schemaRef ds:uri="http://schemas.openxmlformats.org/officeDocument/2006/bibliography"/>
  </ds:schemaRefs>
</ds:datastoreItem>
</file>

<file path=customXml/itemProps3.xml><?xml version="1.0" encoding="utf-8"?>
<ds:datastoreItem xmlns:ds="http://schemas.openxmlformats.org/officeDocument/2006/customXml" ds:itemID="{25A7555E-BF8C-4FDA-9E0C-EE8211746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b14b1-392f-4d39-a1e6-499c1f95e431"/>
    <ds:schemaRef ds:uri="20c6e9ec-10ab-44a3-a789-2f95b600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417ED-B4DB-4378-9661-08D67EF88D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MILSTRAP AP3 Introduction </vt:lpstr>
    </vt:vector>
  </TitlesOfParts>
  <Company>DLA Logistics Management Standards</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AP3 Introduction</dc:title>
  <dc:subject>Introduction</dc:subject>
  <dc:creator>Mary Jane Johnson</dc:creator>
  <cp:lastModifiedBy>Nguyen, Bao X CTR DLA INFO OPERATIONS (USA)</cp:lastModifiedBy>
  <cp:revision>20</cp:revision>
  <cp:lastPrinted>2008-05-27T17:12:00Z</cp:lastPrinted>
  <dcterms:created xsi:type="dcterms:W3CDTF">2011-12-22T20:53:00Z</dcterms:created>
  <dcterms:modified xsi:type="dcterms:W3CDTF">2024-01-27T19:25:00Z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2324100</vt:r8>
  </property>
</Properties>
</file>