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73FF" w14:textId="77777777" w:rsidR="0093440D" w:rsidRPr="000B11B9" w:rsidRDefault="003465B4" w:rsidP="00081803">
      <w:pPr>
        <w:spacing w:after="240"/>
        <w:jc w:val="center"/>
        <w:rPr>
          <w:b/>
          <w:sz w:val="44"/>
          <w:szCs w:val="44"/>
          <w:u w:val="single"/>
        </w:rPr>
      </w:pPr>
      <w:r w:rsidRPr="000B11B9">
        <w:rPr>
          <w:b/>
          <w:sz w:val="44"/>
          <w:szCs w:val="44"/>
          <w:u w:val="single"/>
        </w:rPr>
        <w:t>AP3.1</w:t>
      </w:r>
      <w:r w:rsidR="009677F8" w:rsidRPr="000B11B9">
        <w:rPr>
          <w:b/>
          <w:sz w:val="44"/>
          <w:szCs w:val="44"/>
          <w:u w:val="single"/>
        </w:rPr>
        <w:t>.</w:t>
      </w:r>
      <w:r w:rsidR="005E20E5" w:rsidRPr="000B11B9">
        <w:rPr>
          <w:b/>
          <w:sz w:val="44"/>
          <w:szCs w:val="44"/>
          <w:u w:val="single"/>
        </w:rPr>
        <w:t xml:space="preserve"> APPENDIX 3.1</w:t>
      </w:r>
    </w:p>
    <w:p w14:paraId="30957401" w14:textId="27C178AF" w:rsidR="0093440D" w:rsidRPr="00F66CDC" w:rsidRDefault="003465B4" w:rsidP="001D1BCB">
      <w:pPr>
        <w:spacing w:after="120"/>
        <w:jc w:val="center"/>
        <w:rPr>
          <w:b/>
          <w:sz w:val="36"/>
          <w:szCs w:val="36"/>
          <w:u w:val="single"/>
        </w:rPr>
      </w:pPr>
      <w:r w:rsidRPr="00F66CDC">
        <w:rPr>
          <w:b/>
          <w:sz w:val="36"/>
          <w:szCs w:val="36"/>
          <w:u w:val="single"/>
        </w:rPr>
        <w:t>MATERIEL RECEIPT -</w:t>
      </w:r>
      <w:r w:rsidR="00081803">
        <w:rPr>
          <w:b/>
          <w:sz w:val="36"/>
          <w:szCs w:val="36"/>
          <w:u w:val="single"/>
        </w:rPr>
        <w:br/>
      </w:r>
      <w:r w:rsidRPr="00F66CDC">
        <w:rPr>
          <w:b/>
          <w:sz w:val="36"/>
          <w:szCs w:val="36"/>
          <w:u w:val="single"/>
        </w:rPr>
        <w:t>PROCUREMENT INSTRUMENT SOURCE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93440D" w:rsidRPr="00081803" w14:paraId="30957409" w14:textId="77777777" w:rsidTr="00681B4A">
        <w:trPr>
          <w:cantSplit/>
          <w:tblHeader/>
        </w:trPr>
        <w:tc>
          <w:tcPr>
            <w:tcW w:w="2610" w:type="dxa"/>
            <w:vAlign w:val="bottom"/>
          </w:tcPr>
          <w:p w14:paraId="30957404" w14:textId="77777777" w:rsidR="0093440D" w:rsidRPr="00081803" w:rsidRDefault="0093440D" w:rsidP="001D1BCB">
            <w:pPr>
              <w:spacing w:after="120"/>
              <w:rPr>
                <w:rFonts w:cs="Arial"/>
                <w:szCs w:val="24"/>
                <w:u w:val="single"/>
              </w:rPr>
            </w:pPr>
            <w:r w:rsidRPr="00081803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  <w:vAlign w:val="bottom"/>
          </w:tcPr>
          <w:p w14:paraId="30957406" w14:textId="443FA0A0" w:rsidR="0093440D" w:rsidRPr="00081803" w:rsidRDefault="0093440D" w:rsidP="001D1BCB">
            <w:pPr>
              <w:spacing w:before="120" w:after="120"/>
              <w:jc w:val="center"/>
              <w:rPr>
                <w:rFonts w:cs="Arial"/>
                <w:szCs w:val="24"/>
                <w:u w:val="single"/>
              </w:rPr>
            </w:pPr>
            <w:r w:rsidRPr="00081803">
              <w:rPr>
                <w:bCs/>
                <w:szCs w:val="24"/>
                <w:u w:val="single"/>
              </w:rPr>
              <w:t>RECORD</w:t>
            </w:r>
            <w:r w:rsidR="00081803" w:rsidRPr="00081803">
              <w:rPr>
                <w:bCs/>
                <w:szCs w:val="24"/>
                <w:u w:val="single"/>
              </w:rPr>
              <w:br/>
            </w:r>
            <w:r w:rsidRPr="00081803">
              <w:rPr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  <w:vAlign w:val="bottom"/>
          </w:tcPr>
          <w:p w14:paraId="30957408" w14:textId="77777777" w:rsidR="0093440D" w:rsidRPr="00081803" w:rsidRDefault="0093440D" w:rsidP="00081803">
            <w:pPr>
              <w:spacing w:before="120" w:after="120"/>
              <w:rPr>
                <w:rFonts w:cs="Arial"/>
                <w:szCs w:val="24"/>
                <w:u w:val="single"/>
              </w:rPr>
            </w:pPr>
            <w:r w:rsidRPr="00081803">
              <w:rPr>
                <w:bCs/>
                <w:szCs w:val="24"/>
                <w:u w:val="single"/>
              </w:rPr>
              <w:t>ENTRY AND INSTRUCTIONS</w:t>
            </w:r>
          </w:p>
        </w:tc>
      </w:tr>
      <w:tr w:rsidR="0093440D" w14:paraId="3095740D" w14:textId="77777777" w:rsidTr="00681B4A">
        <w:trPr>
          <w:cantSplit/>
        </w:trPr>
        <w:tc>
          <w:tcPr>
            <w:tcW w:w="2610" w:type="dxa"/>
          </w:tcPr>
          <w:p w14:paraId="3095740A" w14:textId="1E6A950F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bookmarkStart w:id="0" w:name="BM_1_"/>
            <w:bookmarkEnd w:id="0"/>
            <w:r w:rsidR="00081803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3095740B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3095740C" w14:textId="5BD9D4D8" w:rsidR="0093440D" w:rsidRDefault="0093440D" w:rsidP="00081803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DI</w:t>
            </w:r>
            <w:r w:rsidR="00081803">
              <w:rPr>
                <w:szCs w:val="24"/>
              </w:rPr>
              <w:t xml:space="preserve">C </w:t>
            </w:r>
            <w:r>
              <w:rPr>
                <w:szCs w:val="24"/>
              </w:rPr>
              <w:t>from the D4 ser</w:t>
            </w:r>
            <w:bookmarkStart w:id="1" w:name="_GoBack"/>
            <w:bookmarkEnd w:id="1"/>
            <w:r>
              <w:rPr>
                <w:szCs w:val="24"/>
              </w:rPr>
              <w:t>ies.</w:t>
            </w:r>
          </w:p>
        </w:tc>
      </w:tr>
      <w:tr w:rsidR="0093440D" w14:paraId="30957411" w14:textId="77777777" w:rsidTr="00681B4A">
        <w:trPr>
          <w:cantSplit/>
        </w:trPr>
        <w:tc>
          <w:tcPr>
            <w:tcW w:w="2610" w:type="dxa"/>
          </w:tcPr>
          <w:p w14:paraId="3095740E" w14:textId="79E52F58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081803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(TO)</w:t>
            </w:r>
          </w:p>
        </w:tc>
        <w:tc>
          <w:tcPr>
            <w:tcW w:w="2070" w:type="dxa"/>
          </w:tcPr>
          <w:p w14:paraId="3095740F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30957410" w14:textId="00B5DB9D" w:rsidR="0093440D" w:rsidRDefault="0093440D" w:rsidP="001D1BCB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(or perpetuate) RI</w:t>
            </w:r>
            <w:r w:rsidR="00081803">
              <w:rPr>
                <w:szCs w:val="24"/>
              </w:rPr>
              <w:t xml:space="preserve">C </w:t>
            </w:r>
            <w:r>
              <w:rPr>
                <w:szCs w:val="24"/>
              </w:rPr>
              <w:t>of the I</w:t>
            </w:r>
            <w:r w:rsidR="001D1BCB">
              <w:rPr>
                <w:szCs w:val="24"/>
              </w:rPr>
              <w:t xml:space="preserve">nventory Control Point </w:t>
            </w:r>
            <w:r>
              <w:rPr>
                <w:szCs w:val="24"/>
              </w:rPr>
              <w:t>to which this transaction is being forwarded.</w:t>
            </w:r>
          </w:p>
        </w:tc>
      </w:tr>
      <w:tr w:rsidR="0093440D" w14:paraId="30957415" w14:textId="77777777" w:rsidTr="00681B4A">
        <w:trPr>
          <w:cantSplit/>
        </w:trPr>
        <w:tc>
          <w:tcPr>
            <w:tcW w:w="2610" w:type="dxa"/>
          </w:tcPr>
          <w:p w14:paraId="30957412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0957413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30957414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93440D" w14:paraId="30957419" w14:textId="77777777" w:rsidTr="00681B4A">
        <w:trPr>
          <w:cantSplit/>
        </w:trPr>
        <w:tc>
          <w:tcPr>
            <w:tcW w:w="2610" w:type="dxa"/>
          </w:tcPr>
          <w:p w14:paraId="30957416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Stock of Part Number</w:t>
            </w:r>
          </w:p>
        </w:tc>
        <w:tc>
          <w:tcPr>
            <w:tcW w:w="2070" w:type="dxa"/>
          </w:tcPr>
          <w:p w14:paraId="30957417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30957418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received.</w:t>
            </w:r>
          </w:p>
        </w:tc>
      </w:tr>
      <w:tr w:rsidR="0093440D" w14:paraId="3095741D" w14:textId="77777777" w:rsidTr="00681B4A">
        <w:trPr>
          <w:cantSplit/>
        </w:trPr>
        <w:tc>
          <w:tcPr>
            <w:tcW w:w="2610" w:type="dxa"/>
          </w:tcPr>
          <w:p w14:paraId="3095741A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3095741B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3095741C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93440D" w14:paraId="30957421" w14:textId="77777777" w:rsidTr="00681B4A">
        <w:trPr>
          <w:cantSplit/>
        </w:trPr>
        <w:tc>
          <w:tcPr>
            <w:tcW w:w="2610" w:type="dxa"/>
          </w:tcPr>
          <w:p w14:paraId="3095741E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3095741F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30957420" w14:textId="0DC860F3" w:rsidR="0093440D" w:rsidRDefault="0093440D" w:rsidP="00081803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received, preceding significant digits with zeros.</w:t>
            </w:r>
            <w:r w:rsidRPr="00081803">
              <w:rPr>
                <w:rStyle w:val="FootnoteReference"/>
                <w:sz w:val="20"/>
              </w:rPr>
              <w:footnoteReference w:id="1"/>
            </w:r>
            <w:r w:rsidR="00081803" w:rsidRPr="00081803">
              <w:rPr>
                <w:sz w:val="20"/>
                <w:vertAlign w:val="superscript"/>
              </w:rPr>
              <w:t xml:space="preserve">, </w:t>
            </w:r>
            <w:r w:rsidR="001618F8" w:rsidRPr="00081803">
              <w:rPr>
                <w:sz w:val="20"/>
                <w:vertAlign w:val="superscript"/>
              </w:rPr>
              <w:t xml:space="preserve"> </w:t>
            </w:r>
            <w:r w:rsidRPr="00081803">
              <w:rPr>
                <w:rStyle w:val="FootnoteReference"/>
                <w:sz w:val="20"/>
              </w:rPr>
              <w:footnoteReference w:id="2"/>
            </w:r>
          </w:p>
        </w:tc>
      </w:tr>
      <w:tr w:rsidR="005026C9" w:rsidRPr="00FD7B3D" w14:paraId="30957425" w14:textId="77777777" w:rsidTr="00681B4A">
        <w:trPr>
          <w:cantSplit/>
        </w:trPr>
        <w:tc>
          <w:tcPr>
            <w:tcW w:w="2610" w:type="dxa"/>
          </w:tcPr>
          <w:p w14:paraId="30957422" w14:textId="0FAD52BD" w:rsidR="0093440D" w:rsidRPr="00FD7B3D" w:rsidRDefault="00404A4C" w:rsidP="005026C9">
            <w:pPr>
              <w:spacing w:before="100" w:after="56"/>
              <w:rPr>
                <w:rFonts w:cs="Arial"/>
                <w:szCs w:val="24"/>
              </w:rPr>
            </w:pPr>
            <w:r w:rsidRPr="00FD7B3D">
              <w:rPr>
                <w:szCs w:val="24"/>
              </w:rPr>
              <w:t xml:space="preserve">Procurement </w:t>
            </w:r>
            <w:r w:rsidR="005026C9" w:rsidRPr="00FD7B3D">
              <w:rPr>
                <w:szCs w:val="24"/>
              </w:rPr>
              <w:t xml:space="preserve">Instrument Identifier (PIID) </w:t>
            </w:r>
            <w:r w:rsidR="0093440D" w:rsidRPr="00FD7B3D">
              <w:rPr>
                <w:szCs w:val="24"/>
              </w:rPr>
              <w:t xml:space="preserve">or Due-In Document Number </w:t>
            </w:r>
          </w:p>
        </w:tc>
        <w:tc>
          <w:tcPr>
            <w:tcW w:w="2070" w:type="dxa"/>
          </w:tcPr>
          <w:p w14:paraId="30957423" w14:textId="77777777" w:rsidR="0093440D" w:rsidRPr="00FD7B3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 w:rsidRPr="00FD7B3D"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30957424" w14:textId="78F03EF3" w:rsidR="0093440D" w:rsidRPr="00FD7B3D" w:rsidRDefault="005026C9" w:rsidP="005026C9">
            <w:pPr>
              <w:spacing w:before="100" w:after="56"/>
              <w:rPr>
                <w:rFonts w:cs="Arial"/>
                <w:szCs w:val="24"/>
              </w:rPr>
            </w:pPr>
            <w:r w:rsidRPr="00FD7B3D">
              <w:rPr>
                <w:rFonts w:cs="Arial"/>
              </w:rPr>
              <w:t>Enter the PIID</w:t>
            </w:r>
            <w:r w:rsidRPr="00FD7B3D">
              <w:rPr>
                <w:rStyle w:val="FootnoteReference"/>
                <w:rFonts w:cs="Arial"/>
              </w:rPr>
              <w:footnoteReference w:id="3"/>
            </w:r>
            <w:r w:rsidRPr="00FD7B3D">
              <w:rPr>
                <w:rFonts w:cs="Arial"/>
              </w:rPr>
              <w:t>, or the applicable 13-position PIID call/order number (identified by F in the 9</w:t>
            </w:r>
            <w:r w:rsidRPr="00FD7B3D">
              <w:rPr>
                <w:rFonts w:cs="Arial"/>
                <w:vertAlign w:val="superscript"/>
              </w:rPr>
              <w:t>th</w:t>
            </w:r>
            <w:r w:rsidRPr="00FD7B3D">
              <w:rPr>
                <w:rFonts w:cs="Arial"/>
              </w:rPr>
              <w:t xml:space="preserve"> position) in record positions 30-42 and leave record position 43 blank or, for intra-Component use only, enter or perpetuate the controlling document number in record positions 30-43</w:t>
            </w:r>
            <w:r w:rsidR="006E4531" w:rsidRPr="00FD7B3D">
              <w:rPr>
                <w:rFonts w:cs="Arial"/>
              </w:rPr>
              <w:t>.</w:t>
            </w:r>
          </w:p>
        </w:tc>
      </w:tr>
      <w:tr w:rsidR="005026C9" w:rsidRPr="00FD7B3D" w14:paraId="30957429" w14:textId="77777777" w:rsidTr="00681B4A">
        <w:trPr>
          <w:cantSplit/>
        </w:trPr>
        <w:tc>
          <w:tcPr>
            <w:tcW w:w="2610" w:type="dxa"/>
          </w:tcPr>
          <w:p w14:paraId="30957426" w14:textId="2DFB75BF" w:rsidR="0093440D" w:rsidRPr="00FD7B3D" w:rsidRDefault="00404A4C" w:rsidP="00404A4C">
            <w:pPr>
              <w:tabs>
                <w:tab w:val="left" w:pos="350"/>
              </w:tabs>
              <w:spacing w:before="100" w:after="56"/>
              <w:rPr>
                <w:rFonts w:cs="Arial"/>
                <w:szCs w:val="24"/>
              </w:rPr>
            </w:pPr>
            <w:r w:rsidRPr="00FD7B3D">
              <w:rPr>
                <w:szCs w:val="24"/>
              </w:rPr>
              <w:tab/>
            </w:r>
            <w:r w:rsidR="005026C9" w:rsidRPr="00FD7B3D">
              <w:rPr>
                <w:szCs w:val="24"/>
              </w:rPr>
              <w:t>Procurement Instrument Identifier (PIID)</w:t>
            </w:r>
          </w:p>
        </w:tc>
        <w:tc>
          <w:tcPr>
            <w:tcW w:w="2070" w:type="dxa"/>
          </w:tcPr>
          <w:p w14:paraId="30957427" w14:textId="77777777" w:rsidR="0093440D" w:rsidRPr="00FD7B3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 w:rsidRPr="00FD7B3D">
              <w:rPr>
                <w:szCs w:val="24"/>
              </w:rPr>
              <w:t>(30-42)</w:t>
            </w:r>
          </w:p>
        </w:tc>
        <w:tc>
          <w:tcPr>
            <w:tcW w:w="4950" w:type="dxa"/>
          </w:tcPr>
          <w:p w14:paraId="30957428" w14:textId="274B9A21" w:rsidR="0093440D" w:rsidRPr="00FD7B3D" w:rsidRDefault="005026C9" w:rsidP="005026C9">
            <w:pPr>
              <w:spacing w:before="100" w:after="56"/>
              <w:rPr>
                <w:rFonts w:cs="Arial"/>
                <w:szCs w:val="24"/>
              </w:rPr>
            </w:pPr>
            <w:r w:rsidRPr="00FD7B3D">
              <w:rPr>
                <w:rFonts w:cs="Arial"/>
              </w:rPr>
              <w:t>Enter (or perpetuate) the PIID or the applicable 13-position PIID call/order number (identified by F in the 9</w:t>
            </w:r>
            <w:r w:rsidRPr="00FD7B3D">
              <w:rPr>
                <w:rFonts w:cs="Arial"/>
                <w:vertAlign w:val="superscript"/>
              </w:rPr>
              <w:t>th</w:t>
            </w:r>
            <w:r w:rsidRPr="00FD7B3D">
              <w:rPr>
                <w:rFonts w:cs="Arial"/>
              </w:rPr>
              <w:t xml:space="preserve"> position).</w:t>
            </w:r>
            <w:r w:rsidRPr="00FD7B3D">
              <w:rPr>
                <w:rStyle w:val="FootnoteReference"/>
                <w:rFonts w:cs="Arial"/>
              </w:rPr>
              <w:footnoteReference w:id="4"/>
            </w:r>
          </w:p>
        </w:tc>
      </w:tr>
      <w:tr w:rsidR="0093440D" w14:paraId="3095742D" w14:textId="77777777" w:rsidTr="00681B4A">
        <w:trPr>
          <w:cantSplit/>
        </w:trPr>
        <w:tc>
          <w:tcPr>
            <w:tcW w:w="2610" w:type="dxa"/>
          </w:tcPr>
          <w:p w14:paraId="3095742A" w14:textId="77777777" w:rsidR="0093440D" w:rsidRDefault="00404A4C" w:rsidP="00404A4C">
            <w:pPr>
              <w:tabs>
                <w:tab w:val="left" w:pos="350"/>
              </w:tabs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93440D">
              <w:rPr>
                <w:szCs w:val="24"/>
              </w:rPr>
              <w:t>Blank</w:t>
            </w:r>
            <w:r w:rsidR="001618F8">
              <w:rPr>
                <w:szCs w:val="24"/>
              </w:rPr>
              <w:br/>
            </w:r>
            <w:r w:rsidR="001618F8">
              <w:rPr>
                <w:szCs w:val="24"/>
              </w:rPr>
              <w:tab/>
            </w:r>
            <w:r w:rsidR="001618F8">
              <w:rPr>
                <w:szCs w:val="24"/>
              </w:rPr>
              <w:br/>
            </w:r>
            <w:r w:rsidR="001618F8">
              <w:rPr>
                <w:szCs w:val="24"/>
              </w:rPr>
              <w:tab/>
              <w:t>or</w:t>
            </w:r>
          </w:p>
        </w:tc>
        <w:tc>
          <w:tcPr>
            <w:tcW w:w="2070" w:type="dxa"/>
          </w:tcPr>
          <w:p w14:paraId="3095742B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(43)</w:t>
            </w:r>
          </w:p>
        </w:tc>
        <w:tc>
          <w:tcPr>
            <w:tcW w:w="4950" w:type="dxa"/>
          </w:tcPr>
          <w:p w14:paraId="3095742C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93440D" w14:paraId="30957431" w14:textId="77777777" w:rsidTr="00681B4A">
        <w:trPr>
          <w:cantSplit/>
        </w:trPr>
        <w:tc>
          <w:tcPr>
            <w:tcW w:w="2610" w:type="dxa"/>
          </w:tcPr>
          <w:p w14:paraId="3095742E" w14:textId="77777777" w:rsidR="0093440D" w:rsidRDefault="00404A4C" w:rsidP="00404A4C">
            <w:pPr>
              <w:tabs>
                <w:tab w:val="left" w:pos="300"/>
              </w:tabs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93440D">
              <w:rPr>
                <w:szCs w:val="24"/>
              </w:rPr>
              <w:t>Due-In Document Number</w:t>
            </w:r>
          </w:p>
        </w:tc>
        <w:tc>
          <w:tcPr>
            <w:tcW w:w="2070" w:type="dxa"/>
          </w:tcPr>
          <w:p w14:paraId="3095742F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(30-43)</w:t>
            </w:r>
          </w:p>
        </w:tc>
        <w:tc>
          <w:tcPr>
            <w:tcW w:w="4950" w:type="dxa"/>
          </w:tcPr>
          <w:p w14:paraId="30957430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 only, enter (or perpetuate due-in document number.</w:t>
            </w:r>
          </w:p>
        </w:tc>
      </w:tr>
      <w:tr w:rsidR="0093440D" w14:paraId="30957435" w14:textId="77777777" w:rsidTr="00681B4A">
        <w:trPr>
          <w:cantSplit/>
        </w:trPr>
        <w:tc>
          <w:tcPr>
            <w:tcW w:w="2610" w:type="dxa"/>
          </w:tcPr>
          <w:p w14:paraId="30957432" w14:textId="77777777" w:rsidR="0093440D" w:rsidRDefault="0093440D">
            <w:pPr>
              <w:spacing w:before="100" w:after="56"/>
              <w:jc w:val="both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Suffix</w:t>
            </w:r>
          </w:p>
        </w:tc>
        <w:tc>
          <w:tcPr>
            <w:tcW w:w="2070" w:type="dxa"/>
          </w:tcPr>
          <w:p w14:paraId="30957433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30957434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alpha codes A through Z when assignment of suffix codes is necessary.</w:t>
            </w:r>
            <w:r w:rsidRPr="00081803">
              <w:rPr>
                <w:rStyle w:val="FootnoteReference"/>
                <w:sz w:val="20"/>
                <w:szCs w:val="24"/>
              </w:rPr>
              <w:footnoteReference w:id="5"/>
            </w:r>
          </w:p>
        </w:tc>
      </w:tr>
      <w:tr w:rsidR="0093440D" w14:paraId="30957439" w14:textId="77777777" w:rsidTr="00681B4A">
        <w:trPr>
          <w:cantSplit/>
        </w:trPr>
        <w:tc>
          <w:tcPr>
            <w:tcW w:w="2610" w:type="dxa"/>
          </w:tcPr>
          <w:p w14:paraId="30957436" w14:textId="77777777" w:rsidR="0093440D" w:rsidRDefault="0093440D">
            <w:pPr>
              <w:spacing w:before="100" w:after="56"/>
              <w:jc w:val="both"/>
              <w:rPr>
                <w:rFonts w:cs="Arial"/>
                <w:szCs w:val="24"/>
              </w:rPr>
            </w:pPr>
            <w:r>
              <w:rPr>
                <w:szCs w:val="24"/>
              </w:rPr>
              <w:t>Item Number</w:t>
            </w:r>
          </w:p>
        </w:tc>
        <w:tc>
          <w:tcPr>
            <w:tcW w:w="2070" w:type="dxa"/>
          </w:tcPr>
          <w:p w14:paraId="30957437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30957438" w14:textId="5FC33711" w:rsidR="0093440D" w:rsidRDefault="0093440D" w:rsidP="00081803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the contract/exhibit line item number or sub</w:t>
            </w:r>
            <w:r w:rsidR="00573664">
              <w:rPr>
                <w:szCs w:val="24"/>
              </w:rPr>
              <w:t>-</w:t>
            </w:r>
            <w:r>
              <w:rPr>
                <w:szCs w:val="24"/>
              </w:rPr>
              <w:t xml:space="preserve">line item number as indicated below, if applicable; otherwise, leave blank. </w:t>
            </w:r>
          </w:p>
        </w:tc>
      </w:tr>
      <w:tr w:rsidR="0093440D" w14:paraId="3095743E" w14:textId="77777777" w:rsidTr="00681B4A">
        <w:trPr>
          <w:cantSplit/>
        </w:trPr>
        <w:tc>
          <w:tcPr>
            <w:tcW w:w="2610" w:type="dxa"/>
          </w:tcPr>
          <w:p w14:paraId="3095743A" w14:textId="5B3C02C6" w:rsidR="0093440D" w:rsidRDefault="0093440D" w:rsidP="001618F8">
            <w:pPr>
              <w:tabs>
                <w:tab w:val="left" w:pos="380"/>
              </w:tabs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Contract/Exhibit Line Item Number</w:t>
            </w:r>
          </w:p>
        </w:tc>
        <w:tc>
          <w:tcPr>
            <w:tcW w:w="2070" w:type="dxa"/>
          </w:tcPr>
          <w:p w14:paraId="3095743B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(45-48)</w:t>
            </w:r>
          </w:p>
        </w:tc>
        <w:tc>
          <w:tcPr>
            <w:tcW w:w="4950" w:type="dxa"/>
          </w:tcPr>
          <w:p w14:paraId="3095743C" w14:textId="77777777" w:rsidR="0093440D" w:rsidRDefault="0093440D">
            <w:pPr>
              <w:spacing w:before="100" w:after="56"/>
              <w:rPr>
                <w:szCs w:val="24"/>
              </w:rPr>
            </w:pPr>
            <w:r>
              <w:rPr>
                <w:szCs w:val="24"/>
                <w:u w:val="single"/>
              </w:rPr>
              <w:t>Contract Line Item Number</w:t>
            </w:r>
            <w:r>
              <w:rPr>
                <w:szCs w:val="24"/>
              </w:rPr>
              <w:t>:  Enter the CLIN preceding significant digits with zeros.</w:t>
            </w:r>
          </w:p>
          <w:p w14:paraId="3095743D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  <w:u w:val="single"/>
              </w:rPr>
              <w:t>Exhibit Line Item Number</w:t>
            </w:r>
            <w:r>
              <w:rPr>
                <w:szCs w:val="24"/>
              </w:rPr>
              <w:t xml:space="preserve">:  Enter the alphabetic exhibit identifier in record position 45.  Enter the exhibit line number in record positions 46 through 48, preceding significant digits with zeros.  </w:t>
            </w:r>
          </w:p>
        </w:tc>
      </w:tr>
      <w:tr w:rsidR="0093440D" w14:paraId="30957442" w14:textId="77777777" w:rsidTr="00681B4A">
        <w:trPr>
          <w:cantSplit/>
        </w:trPr>
        <w:tc>
          <w:tcPr>
            <w:tcW w:w="2610" w:type="dxa"/>
          </w:tcPr>
          <w:p w14:paraId="3095743F" w14:textId="28433E1F" w:rsidR="0093440D" w:rsidRDefault="0093440D">
            <w:pPr>
              <w:spacing w:before="100" w:after="56"/>
              <w:jc w:val="both"/>
              <w:rPr>
                <w:rFonts w:cs="Arial"/>
                <w:szCs w:val="24"/>
              </w:rPr>
            </w:pPr>
            <w:r>
              <w:rPr>
                <w:szCs w:val="24"/>
              </w:rPr>
              <w:t>Contract/Exhibit Subline Item Number</w:t>
            </w:r>
          </w:p>
        </w:tc>
        <w:tc>
          <w:tcPr>
            <w:tcW w:w="2070" w:type="dxa"/>
          </w:tcPr>
          <w:p w14:paraId="30957440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(49-50)</w:t>
            </w:r>
          </w:p>
        </w:tc>
        <w:tc>
          <w:tcPr>
            <w:tcW w:w="4950" w:type="dxa"/>
          </w:tcPr>
          <w:p w14:paraId="30957441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the contract or exhibit subline item number, if applicable; otherwise, zero fill.</w:t>
            </w:r>
          </w:p>
        </w:tc>
      </w:tr>
      <w:tr w:rsidR="0093440D" w14:paraId="30957446" w14:textId="77777777" w:rsidTr="00681B4A">
        <w:trPr>
          <w:cantSplit/>
        </w:trPr>
        <w:tc>
          <w:tcPr>
            <w:tcW w:w="2610" w:type="dxa"/>
          </w:tcPr>
          <w:p w14:paraId="30957443" w14:textId="77777777" w:rsidR="0093440D" w:rsidRDefault="0093440D">
            <w:pPr>
              <w:spacing w:before="100" w:after="56"/>
              <w:jc w:val="both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30957444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51-53</w:t>
            </w:r>
          </w:p>
        </w:tc>
        <w:tc>
          <w:tcPr>
            <w:tcW w:w="4950" w:type="dxa"/>
          </w:tcPr>
          <w:p w14:paraId="30957445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Component.  For inter-Component use, leave blank.</w:t>
            </w:r>
          </w:p>
        </w:tc>
      </w:tr>
      <w:tr w:rsidR="0093440D" w14:paraId="3095744A" w14:textId="77777777" w:rsidTr="00681B4A">
        <w:trPr>
          <w:cantSplit/>
        </w:trPr>
        <w:tc>
          <w:tcPr>
            <w:tcW w:w="2610" w:type="dxa"/>
          </w:tcPr>
          <w:p w14:paraId="30957447" w14:textId="77777777" w:rsidR="0093440D" w:rsidRDefault="0093440D">
            <w:pPr>
              <w:spacing w:before="100" w:after="56"/>
              <w:jc w:val="both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2070" w:type="dxa"/>
          </w:tcPr>
          <w:p w14:paraId="30957448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30957449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(or perpetuate) distribution code; otherwise, leave blank.</w:t>
            </w:r>
          </w:p>
        </w:tc>
      </w:tr>
      <w:tr w:rsidR="0093440D" w14:paraId="3095744E" w14:textId="77777777" w:rsidTr="00681B4A">
        <w:trPr>
          <w:cantSplit/>
        </w:trPr>
        <w:tc>
          <w:tcPr>
            <w:tcW w:w="2610" w:type="dxa"/>
          </w:tcPr>
          <w:p w14:paraId="3095744B" w14:textId="77777777" w:rsidR="0093440D" w:rsidRDefault="0093440D">
            <w:pPr>
              <w:spacing w:before="100" w:after="56"/>
              <w:jc w:val="both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2070" w:type="dxa"/>
          </w:tcPr>
          <w:p w14:paraId="3095744C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3095744D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(or perpetuate) project code; otherwise, leave blank.</w:t>
            </w:r>
          </w:p>
        </w:tc>
      </w:tr>
      <w:tr w:rsidR="001D3436" w14:paraId="0ACF2D7B" w14:textId="77777777" w:rsidTr="00681B4A">
        <w:trPr>
          <w:cantSplit/>
        </w:trPr>
        <w:tc>
          <w:tcPr>
            <w:tcW w:w="2610" w:type="dxa"/>
          </w:tcPr>
          <w:p w14:paraId="36914FF6" w14:textId="77777777" w:rsidR="001D3436" w:rsidRDefault="001D3436">
            <w:pPr>
              <w:spacing w:before="100" w:after="56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14:paraId="7FB55705" w14:textId="491082CD" w:rsidR="001D3436" w:rsidRDefault="001D3436">
            <w:pPr>
              <w:spacing w:before="100" w:after="56"/>
              <w:jc w:val="center"/>
              <w:rPr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6AD86608" w14:textId="1976D861" w:rsidR="001D3436" w:rsidRDefault="001D3436">
            <w:pPr>
              <w:spacing w:before="100" w:after="56"/>
              <w:rPr>
                <w:szCs w:val="24"/>
              </w:rPr>
            </w:pPr>
            <w:r>
              <w:rPr>
                <w:szCs w:val="24"/>
              </w:rPr>
              <w:t>Continued on next page</w:t>
            </w:r>
          </w:p>
        </w:tc>
      </w:tr>
      <w:tr w:rsidR="0093440D" w:rsidRPr="0011360E" w14:paraId="30957456" w14:textId="77777777" w:rsidTr="00681B4A">
        <w:trPr>
          <w:cantSplit/>
        </w:trPr>
        <w:tc>
          <w:tcPr>
            <w:tcW w:w="2610" w:type="dxa"/>
          </w:tcPr>
          <w:p w14:paraId="3095744F" w14:textId="77777777" w:rsidR="0093440D" w:rsidRPr="00AF0FAA" w:rsidRDefault="0093440D">
            <w:pPr>
              <w:spacing w:before="100" w:after="56"/>
              <w:rPr>
                <w:rFonts w:cs="Arial"/>
                <w:szCs w:val="24"/>
              </w:rPr>
            </w:pPr>
            <w:r w:rsidRPr="00AF0FAA">
              <w:rPr>
                <w:szCs w:val="24"/>
              </w:rPr>
              <w:lastRenderedPageBreak/>
              <w:t>Shipment Number</w:t>
            </w:r>
            <w:r w:rsidR="001618F8" w:rsidRPr="00AF0FAA">
              <w:rPr>
                <w:szCs w:val="24"/>
              </w:rPr>
              <w:br/>
              <w:t>or</w:t>
            </w:r>
            <w:r w:rsidR="001618F8" w:rsidRPr="00AF0FAA">
              <w:rPr>
                <w:szCs w:val="24"/>
              </w:rPr>
              <w:br/>
              <w:t>DSS Operations Control Number (OCN)</w:t>
            </w:r>
          </w:p>
        </w:tc>
        <w:tc>
          <w:tcPr>
            <w:tcW w:w="2070" w:type="dxa"/>
          </w:tcPr>
          <w:p w14:paraId="30957450" w14:textId="77777777" w:rsidR="0093440D" w:rsidRPr="00AF0FAA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 w:rsidRPr="00AF0FAA"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30957451" w14:textId="16E67816" w:rsidR="001618F8" w:rsidRPr="00AF0FAA" w:rsidRDefault="0093440D" w:rsidP="001618F8">
            <w:pPr>
              <w:spacing w:before="100" w:after="56"/>
              <w:rPr>
                <w:szCs w:val="24"/>
              </w:rPr>
            </w:pPr>
            <w:r w:rsidRPr="00AF0FAA">
              <w:rPr>
                <w:szCs w:val="24"/>
              </w:rPr>
              <w:t>Enter vendor shipment number shown on shipping document, preceding significant digits with zeros</w:t>
            </w:r>
            <w:r w:rsidR="001618F8" w:rsidRPr="00AF0FAA">
              <w:rPr>
                <w:szCs w:val="24"/>
              </w:rPr>
              <w:t>,</w:t>
            </w:r>
            <w:r w:rsidR="001618F8" w:rsidRPr="00AF0FAA">
              <w:rPr>
                <w:sz w:val="21"/>
                <w:szCs w:val="22"/>
              </w:rPr>
              <w:t xml:space="preserve"> </w:t>
            </w:r>
            <w:r w:rsidR="001618F8" w:rsidRPr="00AF0FAA">
              <w:rPr>
                <w:szCs w:val="24"/>
              </w:rPr>
              <w:t>unless trading partner agreement requires entry of the Distribution Standard System (DSS) OCN.  The OCN is randomly assigned by DSS to systemically identify a specific receipt transaction. The OCN is used to link DIC</w:t>
            </w:r>
            <w:r w:rsidR="001D3436" w:rsidRPr="00AF0FAA">
              <w:rPr>
                <w:szCs w:val="24"/>
              </w:rPr>
              <w:t xml:space="preserve"> </w:t>
            </w:r>
            <w:r w:rsidR="001618F8" w:rsidRPr="00AF0FAA">
              <w:rPr>
                <w:szCs w:val="24"/>
              </w:rPr>
              <w:t xml:space="preserve">D4S to the corresponding DI Code Z4S which is created based </w:t>
            </w:r>
            <w:r w:rsidR="001D3436" w:rsidRPr="00AF0FAA">
              <w:rPr>
                <w:szCs w:val="24"/>
              </w:rPr>
              <w:t xml:space="preserve">on </w:t>
            </w:r>
            <w:r w:rsidR="005026C9" w:rsidRPr="00AF0FAA">
              <w:rPr>
                <w:szCs w:val="24"/>
              </w:rPr>
              <w:t>a trading</w:t>
            </w:r>
            <w:r w:rsidR="001D3436" w:rsidRPr="00AF0FAA">
              <w:rPr>
                <w:szCs w:val="24"/>
              </w:rPr>
              <w:t xml:space="preserve"> partner agreement </w:t>
            </w:r>
            <w:r w:rsidR="001618F8" w:rsidRPr="00AF0FAA">
              <w:rPr>
                <w:szCs w:val="24"/>
              </w:rPr>
              <w:t xml:space="preserve">with DSS.  The DSS Z4S Supplemental Receipt Data transaction contains both the OCN and the vendor shipment number. Trading partner agreements for use of OCN are </w:t>
            </w:r>
            <w:r w:rsidR="00426973" w:rsidRPr="00AF0FAA">
              <w:rPr>
                <w:szCs w:val="24"/>
              </w:rPr>
              <w:t>as follows</w:t>
            </w:r>
            <w:r w:rsidR="001618F8" w:rsidRPr="00AF0FAA">
              <w:rPr>
                <w:szCs w:val="24"/>
              </w:rPr>
              <w:t>:</w:t>
            </w:r>
          </w:p>
          <w:p w14:paraId="30957452" w14:textId="1E24DD69" w:rsidR="001618F8" w:rsidRPr="00AF0FAA" w:rsidRDefault="001618F8" w:rsidP="001618F8">
            <w:pPr>
              <w:tabs>
                <w:tab w:val="left" w:pos="350"/>
              </w:tabs>
              <w:spacing w:before="100" w:after="56"/>
              <w:rPr>
                <w:szCs w:val="24"/>
              </w:rPr>
            </w:pPr>
            <w:r w:rsidRPr="00AF0FAA">
              <w:rPr>
                <w:szCs w:val="24"/>
              </w:rPr>
              <w:tab/>
              <w:t xml:space="preserve">Army:  OCN is used </w:t>
            </w:r>
            <w:r w:rsidR="001D3436" w:rsidRPr="00AF0FAA">
              <w:rPr>
                <w:szCs w:val="24"/>
              </w:rPr>
              <w:t xml:space="preserve">for local </w:t>
            </w:r>
            <w:r w:rsidRPr="00AF0FAA">
              <w:rPr>
                <w:szCs w:val="24"/>
              </w:rPr>
              <w:t>procurement.</w:t>
            </w:r>
          </w:p>
          <w:p w14:paraId="30957453" w14:textId="77777777" w:rsidR="001618F8" w:rsidRPr="00AF0FAA" w:rsidRDefault="001618F8" w:rsidP="001618F8">
            <w:pPr>
              <w:tabs>
                <w:tab w:val="left" w:pos="350"/>
              </w:tabs>
              <w:spacing w:after="60"/>
              <w:outlineLvl w:val="0"/>
              <w:rPr>
                <w:szCs w:val="24"/>
              </w:rPr>
            </w:pPr>
            <w:r w:rsidRPr="00AF0FAA">
              <w:rPr>
                <w:szCs w:val="24"/>
              </w:rPr>
              <w:tab/>
              <w:t>Air Force: OCN is never used.</w:t>
            </w:r>
          </w:p>
          <w:p w14:paraId="30957454" w14:textId="6EED7370" w:rsidR="001618F8" w:rsidRPr="00AF0FAA" w:rsidRDefault="001618F8" w:rsidP="001618F8">
            <w:pPr>
              <w:tabs>
                <w:tab w:val="left" w:pos="350"/>
              </w:tabs>
              <w:spacing w:after="60"/>
              <w:rPr>
                <w:szCs w:val="24"/>
              </w:rPr>
            </w:pPr>
            <w:r w:rsidRPr="00AF0FAA">
              <w:rPr>
                <w:szCs w:val="24"/>
              </w:rPr>
              <w:tab/>
              <w:t>Navy:  OCN is used when RI</w:t>
            </w:r>
            <w:r w:rsidR="001D3436" w:rsidRPr="00AF0FAA">
              <w:rPr>
                <w:szCs w:val="24"/>
              </w:rPr>
              <w:t xml:space="preserve">C </w:t>
            </w:r>
            <w:r w:rsidRPr="00AF0FAA">
              <w:rPr>
                <w:szCs w:val="24"/>
              </w:rPr>
              <w:t>TO is Navy (starts with N, P, Q, R, or V) and RI</w:t>
            </w:r>
            <w:r w:rsidR="001D3436" w:rsidRPr="00AF0FAA">
              <w:rPr>
                <w:szCs w:val="24"/>
              </w:rPr>
              <w:t xml:space="preserve">C </w:t>
            </w:r>
            <w:r w:rsidRPr="00AF0FAA">
              <w:rPr>
                <w:szCs w:val="24"/>
              </w:rPr>
              <w:t>FROM is Navy (depot RIC</w:t>
            </w:r>
            <w:r w:rsidR="001D3436" w:rsidRPr="00AF0FAA">
              <w:rPr>
                <w:szCs w:val="24"/>
              </w:rPr>
              <w:t xml:space="preserve"> </w:t>
            </w:r>
            <w:r w:rsidRPr="00AF0FAA">
              <w:rPr>
                <w:szCs w:val="24"/>
              </w:rPr>
              <w:t>SDF, SDM, SDX, SEB, SCJ, SCQ, SCF, SCH, SDH, SLM, and SCN).</w:t>
            </w:r>
          </w:p>
          <w:p w14:paraId="30957455" w14:textId="11B3EA46" w:rsidR="0093440D" w:rsidRPr="00AF0FAA" w:rsidRDefault="001618F8" w:rsidP="001D3436">
            <w:pPr>
              <w:tabs>
                <w:tab w:val="left" w:pos="350"/>
              </w:tabs>
              <w:rPr>
                <w:bCs/>
                <w:iCs/>
                <w:sz w:val="21"/>
                <w:szCs w:val="24"/>
              </w:rPr>
            </w:pPr>
            <w:r w:rsidRPr="00AF0FAA">
              <w:rPr>
                <w:szCs w:val="24"/>
              </w:rPr>
              <w:tab/>
            </w:r>
            <w:r w:rsidRPr="00AF0FAA">
              <w:rPr>
                <w:bCs/>
                <w:iCs/>
                <w:szCs w:val="24"/>
              </w:rPr>
              <w:t>Mapping:  OCN is used when RIC TO is HM8 (Mapping).</w:t>
            </w:r>
          </w:p>
        </w:tc>
      </w:tr>
      <w:tr w:rsidR="0093440D" w14:paraId="3095745A" w14:textId="77777777" w:rsidTr="00681B4A">
        <w:trPr>
          <w:cantSplit/>
        </w:trPr>
        <w:tc>
          <w:tcPr>
            <w:tcW w:w="2610" w:type="dxa"/>
          </w:tcPr>
          <w:p w14:paraId="30957457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 (Receiving Location)</w:t>
            </w:r>
          </w:p>
        </w:tc>
        <w:tc>
          <w:tcPr>
            <w:tcW w:w="2070" w:type="dxa"/>
          </w:tcPr>
          <w:p w14:paraId="30957458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30957459" w14:textId="350B5115" w:rsidR="0093440D" w:rsidRDefault="0093440D" w:rsidP="001D3436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(or perpetuate) </w:t>
            </w:r>
            <w:r w:rsidR="001D3436">
              <w:rPr>
                <w:szCs w:val="24"/>
              </w:rPr>
              <w:t xml:space="preserve">RIC </w:t>
            </w:r>
            <w:r>
              <w:rPr>
                <w:szCs w:val="24"/>
              </w:rPr>
              <w:t xml:space="preserve">of the activity at which item is received. </w:t>
            </w:r>
          </w:p>
        </w:tc>
      </w:tr>
      <w:tr w:rsidR="0093440D" w14:paraId="3095745F" w14:textId="77777777" w:rsidTr="00681B4A">
        <w:trPr>
          <w:cantSplit/>
        </w:trPr>
        <w:tc>
          <w:tcPr>
            <w:tcW w:w="2610" w:type="dxa"/>
          </w:tcPr>
          <w:p w14:paraId="3095745B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3095745C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3095745E" w14:textId="73E3C2ED" w:rsidR="0093440D" w:rsidRPr="00707E0F" w:rsidRDefault="0093440D" w:rsidP="00707E0F">
            <w:pPr>
              <w:spacing w:before="100"/>
              <w:rPr>
                <w:szCs w:val="24"/>
              </w:rPr>
            </w:pPr>
            <w:r>
              <w:rPr>
                <w:szCs w:val="24"/>
                <w:u w:val="single"/>
              </w:rPr>
              <w:t>Storage Activity</w:t>
            </w:r>
            <w:r>
              <w:rPr>
                <w:szCs w:val="24"/>
              </w:rPr>
              <w:t xml:space="preserve">:  Enter (or perpetuate) </w:t>
            </w:r>
            <w:r w:rsidR="001D3436">
              <w:rPr>
                <w:szCs w:val="24"/>
              </w:rPr>
              <w:t xml:space="preserve">the ownership/purpose </w:t>
            </w:r>
            <w:r>
              <w:rPr>
                <w:szCs w:val="24"/>
              </w:rPr>
              <w:t>code shown on shipping documents or in pre-positioned materiel receipt transaction; otherwise, leave blank.</w:t>
            </w:r>
          </w:p>
        </w:tc>
      </w:tr>
      <w:tr w:rsidR="0093440D" w14:paraId="30957463" w14:textId="77777777" w:rsidTr="00681B4A">
        <w:trPr>
          <w:cantSplit/>
        </w:trPr>
        <w:tc>
          <w:tcPr>
            <w:tcW w:w="2610" w:type="dxa"/>
          </w:tcPr>
          <w:p w14:paraId="30957460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30957461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30957462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(or perpetuate) supply condition code of item received.</w:t>
            </w:r>
          </w:p>
        </w:tc>
      </w:tr>
      <w:tr w:rsidR="0093440D" w14:paraId="30957467" w14:textId="77777777" w:rsidTr="00681B4A">
        <w:trPr>
          <w:cantSplit/>
        </w:trPr>
        <w:tc>
          <w:tcPr>
            <w:tcW w:w="2610" w:type="dxa"/>
          </w:tcPr>
          <w:p w14:paraId="30957464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30957465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30957466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management code; otherwise, leave blank.</w:t>
            </w:r>
          </w:p>
        </w:tc>
      </w:tr>
      <w:tr w:rsidR="0093440D" w14:paraId="3095746B" w14:textId="77777777" w:rsidTr="00681B4A">
        <w:trPr>
          <w:cantSplit/>
        </w:trPr>
        <w:tc>
          <w:tcPr>
            <w:tcW w:w="2610" w:type="dxa"/>
          </w:tcPr>
          <w:p w14:paraId="30957468" w14:textId="730DECAE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Day of Year</w:t>
            </w:r>
            <w:r w:rsidR="00707E0F">
              <w:rPr>
                <w:szCs w:val="24"/>
              </w:rPr>
              <w:t xml:space="preserve"> (Released by Carrier)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0957469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3095746A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t>Enter ordinal day of the calendar year materiel released by carrier.</w:t>
            </w:r>
          </w:p>
        </w:tc>
      </w:tr>
      <w:tr w:rsidR="0093440D" w14:paraId="30957470" w14:textId="77777777" w:rsidTr="00681B4A">
        <w:trPr>
          <w:cantSplit/>
        </w:trPr>
        <w:tc>
          <w:tcPr>
            <w:tcW w:w="2610" w:type="dxa"/>
          </w:tcPr>
          <w:p w14:paraId="3095746C" w14:textId="77777777" w:rsidR="0093440D" w:rsidRDefault="0093440D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Multiuse</w:t>
            </w:r>
          </w:p>
        </w:tc>
        <w:tc>
          <w:tcPr>
            <w:tcW w:w="2070" w:type="dxa"/>
          </w:tcPr>
          <w:p w14:paraId="3095746D" w14:textId="77777777" w:rsidR="0093440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3095746E" w14:textId="77777777" w:rsidR="0093440D" w:rsidRDefault="0093440D">
            <w:pPr>
              <w:spacing w:before="100"/>
              <w:rPr>
                <w:szCs w:val="24"/>
              </w:rPr>
            </w:pPr>
            <w:r>
              <w:rPr>
                <w:szCs w:val="24"/>
              </w:rPr>
              <w:t>For intra-Component use, enter data prescribed by Component.  For</w:t>
            </w:r>
          </w:p>
          <w:p w14:paraId="3095746F" w14:textId="77777777" w:rsidR="0093440D" w:rsidRDefault="0093440D">
            <w:pPr>
              <w:spacing w:after="56"/>
              <w:rPr>
                <w:rFonts w:cs="Arial"/>
                <w:szCs w:val="24"/>
              </w:rPr>
            </w:pPr>
            <w:r>
              <w:rPr>
                <w:szCs w:val="24"/>
              </w:rPr>
              <w:t>inter-Component use, leave blank.</w:t>
            </w:r>
          </w:p>
        </w:tc>
      </w:tr>
      <w:tr w:rsidR="005026C9" w:rsidRPr="00FD7B3D" w14:paraId="30957474" w14:textId="77777777" w:rsidTr="00681B4A">
        <w:trPr>
          <w:cantSplit/>
        </w:trPr>
        <w:tc>
          <w:tcPr>
            <w:tcW w:w="2610" w:type="dxa"/>
          </w:tcPr>
          <w:p w14:paraId="30957471" w14:textId="4D737A1C" w:rsidR="0093440D" w:rsidRPr="00FD7B3D" w:rsidRDefault="0093440D" w:rsidP="005026C9">
            <w:pPr>
              <w:spacing w:before="100" w:after="56"/>
              <w:rPr>
                <w:rFonts w:cs="Arial"/>
                <w:szCs w:val="24"/>
              </w:rPr>
            </w:pPr>
            <w:r w:rsidRPr="00FD7B3D">
              <w:rPr>
                <w:szCs w:val="24"/>
              </w:rPr>
              <w:t>Call/Order Number</w:t>
            </w:r>
          </w:p>
        </w:tc>
        <w:tc>
          <w:tcPr>
            <w:tcW w:w="2070" w:type="dxa"/>
          </w:tcPr>
          <w:p w14:paraId="30957472" w14:textId="77777777" w:rsidR="0093440D" w:rsidRPr="00FD7B3D" w:rsidRDefault="0093440D">
            <w:pPr>
              <w:spacing w:before="100" w:after="56"/>
              <w:jc w:val="center"/>
              <w:rPr>
                <w:rFonts w:cs="Arial"/>
                <w:szCs w:val="24"/>
              </w:rPr>
            </w:pPr>
            <w:r w:rsidRPr="00FD7B3D"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30957473" w14:textId="0C31E07D" w:rsidR="0093440D" w:rsidRPr="00FD7B3D" w:rsidRDefault="005026C9" w:rsidP="005026C9">
            <w:pPr>
              <w:spacing w:before="100" w:after="56"/>
              <w:rPr>
                <w:rFonts w:cs="Arial"/>
                <w:szCs w:val="24"/>
              </w:rPr>
            </w:pPr>
            <w:r w:rsidRPr="00FD7B3D">
              <w:rPr>
                <w:rFonts w:cs="Arial"/>
              </w:rPr>
              <w:t>Enter applicable legacy four-position call/order number associated with the PIIN; otherwise leave blank</w:t>
            </w:r>
            <w:r w:rsidR="0093440D" w:rsidRPr="00FD7B3D">
              <w:rPr>
                <w:szCs w:val="24"/>
              </w:rPr>
              <w:t>.</w:t>
            </w:r>
          </w:p>
        </w:tc>
      </w:tr>
    </w:tbl>
    <w:p w14:paraId="30957475" w14:textId="77777777" w:rsidR="0093440D" w:rsidRDefault="0093440D">
      <w:pPr>
        <w:pStyle w:val="Heading2"/>
        <w:numPr>
          <w:ilvl w:val="1"/>
          <w:numId w:val="3"/>
        </w:numPr>
      </w:pPr>
    </w:p>
    <w:sectPr w:rsidR="0093440D" w:rsidSect="0011360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7478" w14:textId="77777777" w:rsidR="00081803" w:rsidRDefault="00081803">
      <w:r>
        <w:separator/>
      </w:r>
    </w:p>
  </w:endnote>
  <w:endnote w:type="continuationSeparator" w:id="0">
    <w:p w14:paraId="30957479" w14:textId="77777777" w:rsidR="00081803" w:rsidRDefault="000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747E" w14:textId="77777777" w:rsidR="00081803" w:rsidRDefault="00081803" w:rsidP="00934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95747F" w14:textId="77777777" w:rsidR="00081803" w:rsidRDefault="00081803">
    <w:pPr>
      <w:pStyle w:val="Footer"/>
      <w:jc w:val="center"/>
      <w:rPr>
        <w:b/>
      </w:rPr>
    </w:pPr>
    <w:r>
      <w:rPr>
        <w:b/>
      </w:rPr>
      <w:t>AP3.1-</w:t>
    </w:r>
  </w:p>
  <w:p w14:paraId="30957480" w14:textId="77777777" w:rsidR="00081803" w:rsidRDefault="0008180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7481" w14:textId="6D51163F" w:rsidR="00081803" w:rsidRPr="003465B4" w:rsidRDefault="00081803" w:rsidP="0093440D">
    <w:pPr>
      <w:pStyle w:val="Footer"/>
      <w:framePr w:wrap="around" w:vAnchor="text" w:hAnchor="margin" w:xAlign="center" w:y="1"/>
      <w:rPr>
        <w:rStyle w:val="PageNumber"/>
        <w:b w:val="0"/>
      </w:rPr>
    </w:pPr>
    <w:r w:rsidRPr="003465B4">
      <w:rPr>
        <w:rStyle w:val="PageNumber"/>
        <w:b w:val="0"/>
      </w:rPr>
      <w:t>AP3.1-</w:t>
    </w:r>
    <w:r w:rsidRPr="003465B4">
      <w:rPr>
        <w:rStyle w:val="PageNumber"/>
        <w:b w:val="0"/>
      </w:rPr>
      <w:fldChar w:fldCharType="begin"/>
    </w:r>
    <w:r w:rsidRPr="003465B4">
      <w:rPr>
        <w:rStyle w:val="PageNumber"/>
        <w:b w:val="0"/>
      </w:rPr>
      <w:instrText xml:space="preserve">PAGE  </w:instrText>
    </w:r>
    <w:r w:rsidRPr="003465B4">
      <w:rPr>
        <w:rStyle w:val="PageNumber"/>
        <w:b w:val="0"/>
      </w:rPr>
      <w:fldChar w:fldCharType="separate"/>
    </w:r>
    <w:r w:rsidR="00E84A3D">
      <w:rPr>
        <w:rStyle w:val="PageNumber"/>
        <w:b w:val="0"/>
        <w:noProof/>
      </w:rPr>
      <w:t>1</w:t>
    </w:r>
    <w:r w:rsidRPr="003465B4">
      <w:rPr>
        <w:rStyle w:val="PageNumber"/>
        <w:b w:val="0"/>
      </w:rPr>
      <w:fldChar w:fldCharType="end"/>
    </w:r>
  </w:p>
  <w:p w14:paraId="30957482" w14:textId="77777777" w:rsidR="00081803" w:rsidRPr="003465B4" w:rsidRDefault="00081803" w:rsidP="003465B4">
    <w:pPr>
      <w:pStyle w:val="Footer"/>
      <w:tabs>
        <w:tab w:val="clear" w:pos="4320"/>
        <w:tab w:val="clear" w:pos="8640"/>
      </w:tabs>
      <w:jc w:val="right"/>
    </w:pPr>
    <w:r>
      <w:t>APPENDIX 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7476" w14:textId="77777777" w:rsidR="00081803" w:rsidRDefault="00081803">
      <w:r>
        <w:separator/>
      </w:r>
    </w:p>
  </w:footnote>
  <w:footnote w:type="continuationSeparator" w:id="0">
    <w:p w14:paraId="30957477" w14:textId="77777777" w:rsidR="00081803" w:rsidRDefault="00081803">
      <w:r>
        <w:continuationSeparator/>
      </w:r>
    </w:p>
  </w:footnote>
  <w:footnote w:id="1">
    <w:p w14:paraId="30957485" w14:textId="3D5E8173" w:rsidR="00081803" w:rsidRPr="001618F8" w:rsidRDefault="00081803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AP3.3.</w:t>
      </w:r>
      <w:r w:rsidR="00681B4A">
        <w:rPr>
          <w:sz w:val="20"/>
        </w:rPr>
        <w:t>1.</w:t>
      </w:r>
    </w:p>
  </w:footnote>
  <w:footnote w:id="2">
    <w:p w14:paraId="30957486" w14:textId="6D98F589" w:rsidR="00081803" w:rsidRDefault="00081803">
      <w:pPr>
        <w:rPr>
          <w:sz w:val="22"/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AP3.3.2.</w:t>
      </w:r>
    </w:p>
  </w:footnote>
  <w:footnote w:id="3">
    <w:p w14:paraId="37486BE3" w14:textId="59D1BF8E" w:rsidR="005026C9" w:rsidRPr="00FD7B3D" w:rsidRDefault="005026C9" w:rsidP="005026C9">
      <w:pPr>
        <w:pStyle w:val="FootnoteText"/>
      </w:pPr>
      <w:r w:rsidRPr="00FD7B3D">
        <w:rPr>
          <w:rStyle w:val="FootnoteReference"/>
        </w:rPr>
        <w:footnoteRef/>
      </w:r>
      <w:r w:rsidRPr="00FD7B3D">
        <w:t xml:space="preserve"> </w:t>
      </w:r>
      <w:r w:rsidRPr="00FD7B3D">
        <w:rPr>
          <w:rFonts w:cs="Arial"/>
        </w:rPr>
        <w:t>Use the legacy PIIN pending transition to the PIID</w:t>
      </w:r>
      <w:r w:rsidRPr="00FD7B3D">
        <w:t>.  Refer to ADC 1161</w:t>
      </w:r>
      <w:r w:rsidR="00C40945" w:rsidRPr="00FD7B3D">
        <w:t>A</w:t>
      </w:r>
      <w:r w:rsidRPr="00FD7B3D">
        <w:t>.</w:t>
      </w:r>
    </w:p>
  </w:footnote>
  <w:footnote w:id="4">
    <w:p w14:paraId="5F215BA6" w14:textId="77777777" w:rsidR="005026C9" w:rsidRPr="00FD7B3D" w:rsidRDefault="005026C9" w:rsidP="005026C9">
      <w:pPr>
        <w:pStyle w:val="FootnoteText"/>
      </w:pPr>
      <w:r w:rsidRPr="00FD7B3D">
        <w:rPr>
          <w:rStyle w:val="FootnoteReference"/>
        </w:rPr>
        <w:footnoteRef/>
      </w:r>
      <w:r w:rsidRPr="00FD7B3D">
        <w:t xml:space="preserve"> </w:t>
      </w:r>
      <w:r w:rsidRPr="00FD7B3D">
        <w:rPr>
          <w:rFonts w:cs="Arial"/>
        </w:rPr>
        <w:t>Ibid</w:t>
      </w:r>
      <w:r w:rsidRPr="00FD7B3D">
        <w:t>.</w:t>
      </w:r>
    </w:p>
  </w:footnote>
  <w:footnote w:id="5">
    <w:p w14:paraId="30957487" w14:textId="20108407" w:rsidR="00081803" w:rsidRDefault="00081803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AP3.3.3.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747A" w14:textId="77777777" w:rsidR="00081803" w:rsidRDefault="00081803">
    <w:pPr>
      <w:rPr>
        <w:iCs/>
      </w:rPr>
    </w:pPr>
  </w:p>
  <w:p w14:paraId="3095747B" w14:textId="77777777" w:rsidR="00081803" w:rsidRDefault="00081803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3095747C" w14:textId="77777777" w:rsidR="00081803" w:rsidRDefault="0008180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A755" w14:textId="0E130205" w:rsidR="00F132AA" w:rsidRDefault="00F132AA" w:rsidP="00F132AA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E84A3D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673F44A3" w14:textId="77777777" w:rsidR="00F132AA" w:rsidRDefault="00F132AA" w:rsidP="00F132AA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1740BB0"/>
    <w:lvl w:ilvl="0">
      <w:start w:val="1"/>
      <w:numFmt w:val="decimal"/>
      <w:pStyle w:val="Heading1"/>
      <w:suff w:val="nothing"/>
      <w:lvlText w:val="AP3.%1 APPENDIX 3.1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5B4"/>
    <w:rsid w:val="00081803"/>
    <w:rsid w:val="000B11B9"/>
    <w:rsid w:val="0011360E"/>
    <w:rsid w:val="00125102"/>
    <w:rsid w:val="001618F8"/>
    <w:rsid w:val="001D1BCB"/>
    <w:rsid w:val="001D3436"/>
    <w:rsid w:val="00283766"/>
    <w:rsid w:val="002B1994"/>
    <w:rsid w:val="003465B4"/>
    <w:rsid w:val="003777DE"/>
    <w:rsid w:val="003F271D"/>
    <w:rsid w:val="00404A4C"/>
    <w:rsid w:val="00405DD1"/>
    <w:rsid w:val="00426973"/>
    <w:rsid w:val="0049015D"/>
    <w:rsid w:val="005026C9"/>
    <w:rsid w:val="00573664"/>
    <w:rsid w:val="005E20E5"/>
    <w:rsid w:val="005F1EFA"/>
    <w:rsid w:val="006637A7"/>
    <w:rsid w:val="00681B4A"/>
    <w:rsid w:val="00690BB4"/>
    <w:rsid w:val="006B7363"/>
    <w:rsid w:val="006E363F"/>
    <w:rsid w:val="006E4531"/>
    <w:rsid w:val="00707E0F"/>
    <w:rsid w:val="007375F5"/>
    <w:rsid w:val="00775D53"/>
    <w:rsid w:val="007F65B4"/>
    <w:rsid w:val="00812149"/>
    <w:rsid w:val="0083375A"/>
    <w:rsid w:val="00847014"/>
    <w:rsid w:val="0093440D"/>
    <w:rsid w:val="009677F8"/>
    <w:rsid w:val="00A5004E"/>
    <w:rsid w:val="00AC432C"/>
    <w:rsid w:val="00AF0FAA"/>
    <w:rsid w:val="00B505BB"/>
    <w:rsid w:val="00B56974"/>
    <w:rsid w:val="00B60E7B"/>
    <w:rsid w:val="00B66C57"/>
    <w:rsid w:val="00C40945"/>
    <w:rsid w:val="00D146E3"/>
    <w:rsid w:val="00D63A8A"/>
    <w:rsid w:val="00E136AF"/>
    <w:rsid w:val="00E84A3D"/>
    <w:rsid w:val="00F132AA"/>
    <w:rsid w:val="00F23D59"/>
    <w:rsid w:val="00F66CDC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09573FF"/>
  <w15:docId w15:val="{6465E119-DBE4-4522-8342-FE4BE43E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6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B736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B736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B736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B736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B736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B736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B736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B736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B7363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B7363"/>
    <w:rPr>
      <w:vertAlign w:val="superscript"/>
    </w:rPr>
  </w:style>
  <w:style w:type="character" w:styleId="FootnoteReference">
    <w:name w:val="footnote reference"/>
    <w:basedOn w:val="DefaultParagraphFont"/>
    <w:rsid w:val="006B7363"/>
    <w:rPr>
      <w:vertAlign w:val="superscript"/>
    </w:rPr>
  </w:style>
  <w:style w:type="character" w:styleId="PageNumber">
    <w:name w:val="page number"/>
    <w:basedOn w:val="DefaultParagraphFont"/>
    <w:rsid w:val="006B7363"/>
    <w:rPr>
      <w:rFonts w:ascii="Arial" w:hAnsi="Arial"/>
      <w:b/>
      <w:sz w:val="24"/>
    </w:rPr>
  </w:style>
  <w:style w:type="paragraph" w:styleId="Footer">
    <w:name w:val="footer"/>
    <w:basedOn w:val="Normal"/>
    <w:rsid w:val="006B736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6B736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6B7363"/>
    <w:rPr>
      <w:sz w:val="20"/>
    </w:rPr>
  </w:style>
  <w:style w:type="paragraph" w:customStyle="1" w:styleId="SubTitle">
    <w:name w:val="Sub Title"/>
    <w:basedOn w:val="Title"/>
    <w:rsid w:val="006B7363"/>
    <w:rPr>
      <w:u w:val="single"/>
    </w:rPr>
  </w:style>
  <w:style w:type="paragraph" w:styleId="Title">
    <w:name w:val="Title"/>
    <w:basedOn w:val="Normal"/>
    <w:next w:val="Header"/>
    <w:qFormat/>
    <w:rsid w:val="006B736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B736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B7363"/>
    <w:pPr>
      <w:spacing w:after="160"/>
      <w:ind w:left="1440"/>
    </w:pPr>
  </w:style>
  <w:style w:type="paragraph" w:styleId="BodyText">
    <w:name w:val="Body Text"/>
    <w:basedOn w:val="Normal"/>
    <w:rsid w:val="006B7363"/>
    <w:pPr>
      <w:spacing w:after="120"/>
    </w:pPr>
  </w:style>
  <w:style w:type="paragraph" w:styleId="ListBullet">
    <w:name w:val="List Bullet"/>
    <w:basedOn w:val="Normal"/>
    <w:rsid w:val="006B7363"/>
    <w:pPr>
      <w:spacing w:after="120"/>
      <w:ind w:left="360" w:hanging="360"/>
    </w:pPr>
  </w:style>
  <w:style w:type="paragraph" w:styleId="ListBullet2">
    <w:name w:val="List Bullet 2"/>
    <w:basedOn w:val="Normal"/>
    <w:rsid w:val="006B7363"/>
    <w:pPr>
      <w:ind w:left="720" w:hanging="360"/>
    </w:pPr>
  </w:style>
  <w:style w:type="paragraph" w:styleId="ListBullet3">
    <w:name w:val="List Bullet 3"/>
    <w:basedOn w:val="Normal"/>
    <w:rsid w:val="006B7363"/>
    <w:pPr>
      <w:ind w:left="1080" w:hanging="360"/>
    </w:pPr>
  </w:style>
  <w:style w:type="paragraph" w:styleId="ListNumber">
    <w:name w:val="List Number"/>
    <w:basedOn w:val="Normal"/>
    <w:rsid w:val="006B7363"/>
    <w:pPr>
      <w:ind w:left="360" w:hanging="360"/>
    </w:pPr>
  </w:style>
  <w:style w:type="paragraph" w:styleId="ListNumber2">
    <w:name w:val="List Number 2"/>
    <w:basedOn w:val="Normal"/>
    <w:rsid w:val="006B7363"/>
    <w:pPr>
      <w:ind w:left="720" w:hanging="360"/>
    </w:pPr>
  </w:style>
  <w:style w:type="paragraph" w:styleId="ListNumber3">
    <w:name w:val="List Number 3"/>
    <w:basedOn w:val="Normal"/>
    <w:rsid w:val="006B7363"/>
    <w:pPr>
      <w:ind w:left="1080" w:hanging="360"/>
    </w:pPr>
  </w:style>
  <w:style w:type="paragraph" w:styleId="DocumentMap">
    <w:name w:val="Document Map"/>
    <w:basedOn w:val="Normal"/>
    <w:semiHidden/>
    <w:rsid w:val="006B7363"/>
    <w:pPr>
      <w:shd w:val="clear" w:color="auto" w:fill="000080"/>
    </w:pPr>
    <w:rPr>
      <w:rFonts w:ascii="Tahoma" w:hAnsi="Tahoma"/>
    </w:rPr>
  </w:style>
  <w:style w:type="paragraph" w:customStyle="1" w:styleId="2appxftmtr">
    <w:name w:val="2appx/ftmtr"/>
    <w:rsid w:val="001618F8"/>
    <w:pPr>
      <w:widowControl w:val="0"/>
      <w:tabs>
        <w:tab w:val="left" w:pos="-1440"/>
        <w:tab w:val="left" w:pos="-1008"/>
        <w:tab w:val="left" w:pos="-576"/>
        <w:tab w:val="left" w:pos="-144"/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</w:tabs>
      <w:jc w:val="both"/>
    </w:pPr>
    <w:rPr>
      <w:rFonts w:ascii="Arial" w:hAnsi="Arial"/>
      <w:sz w:val="24"/>
    </w:rPr>
  </w:style>
  <w:style w:type="paragraph" w:customStyle="1" w:styleId="Codes">
    <w:name w:val="Codes"/>
    <w:rsid w:val="006B7363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EmailStyle351">
    <w:name w:val="EmailStyle351"/>
    <w:basedOn w:val="DefaultParagraphFont"/>
    <w:semiHidden/>
    <w:rsid w:val="001618F8"/>
    <w:rPr>
      <w:rFonts w:ascii="Arial" w:hAnsi="Arial" w:cs="Arial"/>
      <w:color w:val="000080"/>
      <w:sz w:val="20"/>
      <w:szCs w:val="20"/>
    </w:rPr>
  </w:style>
  <w:style w:type="character" w:customStyle="1" w:styleId="FootnoteTextChar">
    <w:name w:val="Footnote Text Char"/>
    <w:aliases w:val="ft Char"/>
    <w:link w:val="FootnoteText"/>
    <w:rsid w:val="005026C9"/>
    <w:rPr>
      <w:rFonts w:ascii="Arial" w:hAnsi="Arial"/>
    </w:rPr>
  </w:style>
  <w:style w:type="character" w:customStyle="1" w:styleId="HeaderChar">
    <w:name w:val="Header Char"/>
    <w:link w:val="Header"/>
    <w:rsid w:val="00F132AA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3D858-4FC7-4C91-9A63-C04529C929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4CBB9C-E6F7-48BB-B14E-A64D4A009707}"/>
</file>

<file path=customXml/itemProps3.xml><?xml version="1.0" encoding="utf-8"?>
<ds:datastoreItem xmlns:ds="http://schemas.openxmlformats.org/officeDocument/2006/customXml" ds:itemID="{E38DC4F6-0F0F-4422-8542-995E53644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32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MILSTRAP AP 3.1  D4_  MATERIEL RECEIPT – PROCUREMENT INSTRUMENT SOURCE</vt:lpstr>
    </vt:vector>
  </TitlesOfParts>
  <Company>DLA Logistics Management Standards 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3.1  D4_  MATERIEL RECEIPT – PROCUREMENT INSTRUMENT SOURCE</dc:title>
  <dc:subject>MATERIEL RECEIPT -PROCUREMENT INSTRUMENT SOURCE</dc:subject>
  <dc:creator>Mary Jane Johnson</dc:creator>
  <cp:keywords/>
  <cp:lastModifiedBy>Nguyen, Bao X CTR DLA INFO OPERATIONS (USA)</cp:lastModifiedBy>
  <cp:revision>21</cp:revision>
  <cp:lastPrinted>2001-09-12T14:49:00Z</cp:lastPrinted>
  <dcterms:created xsi:type="dcterms:W3CDTF">2012-04-25T00:53:00Z</dcterms:created>
  <dcterms:modified xsi:type="dcterms:W3CDTF">2019-11-26T19:43:00Z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2324200</vt:r8>
  </property>
</Properties>
</file>