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E371D" w14:textId="77777777" w:rsidR="0027326D" w:rsidRPr="0087059C" w:rsidRDefault="00810DF4" w:rsidP="005E3E15">
      <w:pPr>
        <w:spacing w:after="240"/>
        <w:jc w:val="center"/>
        <w:rPr>
          <w:b/>
          <w:sz w:val="44"/>
          <w:szCs w:val="44"/>
          <w:u w:val="single"/>
        </w:rPr>
      </w:pPr>
      <w:r w:rsidRPr="0087059C">
        <w:rPr>
          <w:b/>
          <w:sz w:val="44"/>
          <w:szCs w:val="44"/>
          <w:u w:val="single"/>
        </w:rPr>
        <w:t>AP3.7.</w:t>
      </w:r>
      <w:r w:rsidR="001B795E" w:rsidRPr="0087059C">
        <w:rPr>
          <w:b/>
          <w:sz w:val="44"/>
          <w:szCs w:val="44"/>
          <w:u w:val="single"/>
        </w:rPr>
        <w:t xml:space="preserve"> APPENDIX 3.7</w:t>
      </w:r>
    </w:p>
    <w:p w14:paraId="41AE371E" w14:textId="77777777" w:rsidR="0027326D" w:rsidRDefault="0027326D" w:rsidP="00810DF4">
      <w:pPr>
        <w:spacing w:after="36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SINGLE MANAGED CONVENTIONAL AMMUNITION FREEZE/UNFREEZE ACTION</w:t>
      </w:r>
    </w:p>
    <w:tbl>
      <w:tblPr>
        <w:tblW w:w="9360" w:type="dxa"/>
        <w:tblInd w:w="19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20"/>
        <w:gridCol w:w="2070"/>
        <w:gridCol w:w="4770"/>
      </w:tblGrid>
      <w:tr w:rsidR="0027326D" w14:paraId="41AE3726" w14:textId="77777777" w:rsidTr="004A0846">
        <w:trPr>
          <w:cantSplit/>
          <w:tblHeader/>
        </w:trPr>
        <w:tc>
          <w:tcPr>
            <w:tcW w:w="2520" w:type="dxa"/>
          </w:tcPr>
          <w:p w14:paraId="41AE3720" w14:textId="77777777" w:rsidR="0027326D" w:rsidRDefault="0027326D" w:rsidP="005E3E15">
            <w:pPr>
              <w:spacing w:after="120"/>
              <w:rPr>
                <w:b/>
                <w:bCs/>
                <w:szCs w:val="24"/>
              </w:rPr>
            </w:pPr>
          </w:p>
          <w:p w14:paraId="41AE3721" w14:textId="77777777" w:rsidR="0027326D" w:rsidRDefault="0027326D" w:rsidP="005E3E15">
            <w:pPr>
              <w:spacing w:after="12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FIELD LEGEND</w:t>
            </w:r>
          </w:p>
        </w:tc>
        <w:tc>
          <w:tcPr>
            <w:tcW w:w="2070" w:type="dxa"/>
          </w:tcPr>
          <w:p w14:paraId="41AE3722" w14:textId="77777777" w:rsidR="0027326D" w:rsidRDefault="0027326D" w:rsidP="005E3E15">
            <w:pPr>
              <w:spacing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RECORD</w:t>
            </w:r>
          </w:p>
          <w:p w14:paraId="41AE3723" w14:textId="77777777" w:rsidR="0027326D" w:rsidRDefault="0027326D" w:rsidP="005E3E15">
            <w:pPr>
              <w:spacing w:after="120"/>
              <w:jc w:val="center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POSITION(S)</w:t>
            </w:r>
          </w:p>
        </w:tc>
        <w:tc>
          <w:tcPr>
            <w:tcW w:w="4770" w:type="dxa"/>
          </w:tcPr>
          <w:p w14:paraId="41AE3724" w14:textId="77777777" w:rsidR="0027326D" w:rsidRDefault="0027326D" w:rsidP="005E3E15">
            <w:pPr>
              <w:spacing w:after="120"/>
              <w:rPr>
                <w:b/>
                <w:bCs/>
                <w:szCs w:val="24"/>
              </w:rPr>
            </w:pPr>
          </w:p>
          <w:p w14:paraId="41AE3725" w14:textId="77777777" w:rsidR="0027326D" w:rsidRDefault="0027326D" w:rsidP="005E3E15">
            <w:pPr>
              <w:spacing w:after="120"/>
              <w:rPr>
                <w:rFonts w:cs="Arial"/>
                <w:szCs w:val="24"/>
              </w:rPr>
            </w:pPr>
            <w:r>
              <w:rPr>
                <w:b/>
                <w:bCs/>
                <w:szCs w:val="24"/>
                <w:u w:val="single"/>
              </w:rPr>
              <w:t>ENTRY AND INSTRUCTIONS</w:t>
            </w:r>
          </w:p>
        </w:tc>
      </w:tr>
      <w:tr w:rsidR="0027326D" w14:paraId="41AE372A" w14:textId="77777777" w:rsidTr="004A0846">
        <w:trPr>
          <w:cantSplit/>
          <w:trHeight w:val="403"/>
        </w:trPr>
        <w:tc>
          <w:tcPr>
            <w:tcW w:w="2520" w:type="dxa"/>
          </w:tcPr>
          <w:p w14:paraId="41AE3727" w14:textId="1A7911B5" w:rsidR="0027326D" w:rsidRDefault="0027326D" w:rsidP="00A3275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Identifier</w:t>
            </w:r>
            <w:r w:rsidR="005E3E15">
              <w:rPr>
                <w:szCs w:val="24"/>
              </w:rPr>
              <w:t xml:space="preserve"> Code</w:t>
            </w:r>
          </w:p>
        </w:tc>
        <w:tc>
          <w:tcPr>
            <w:tcW w:w="2070" w:type="dxa"/>
          </w:tcPr>
          <w:p w14:paraId="41AE3728" w14:textId="77777777" w:rsidR="0027326D" w:rsidRDefault="0027326D" w:rsidP="00A3275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4770" w:type="dxa"/>
          </w:tcPr>
          <w:p w14:paraId="41AE3729" w14:textId="183849C3" w:rsidR="0027326D" w:rsidRDefault="0027326D" w:rsidP="00A3275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5E3E15">
              <w:rPr>
                <w:szCs w:val="24"/>
              </w:rPr>
              <w:t>DIC</w:t>
            </w:r>
            <w:r>
              <w:rPr>
                <w:szCs w:val="24"/>
              </w:rPr>
              <w:t xml:space="preserve"> DA1 or DA2, as appropriate.</w:t>
            </w:r>
          </w:p>
        </w:tc>
      </w:tr>
      <w:tr w:rsidR="0027326D" w14:paraId="41AE372E" w14:textId="77777777" w:rsidTr="004A0846">
        <w:trPr>
          <w:cantSplit/>
          <w:trHeight w:val="403"/>
        </w:trPr>
        <w:tc>
          <w:tcPr>
            <w:tcW w:w="2520" w:type="dxa"/>
          </w:tcPr>
          <w:p w14:paraId="41AE372B" w14:textId="31A90B2C" w:rsidR="0027326D" w:rsidRDefault="0027326D" w:rsidP="00A3275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5E3E15">
              <w:rPr>
                <w:szCs w:val="24"/>
              </w:rPr>
              <w:t xml:space="preserve">Code </w:t>
            </w:r>
            <w:r>
              <w:rPr>
                <w:szCs w:val="24"/>
              </w:rPr>
              <w:t>(TO)</w:t>
            </w:r>
          </w:p>
        </w:tc>
        <w:tc>
          <w:tcPr>
            <w:tcW w:w="2070" w:type="dxa"/>
          </w:tcPr>
          <w:p w14:paraId="41AE372C" w14:textId="77777777" w:rsidR="0027326D" w:rsidRDefault="0027326D" w:rsidP="00A3275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4-6</w:t>
            </w:r>
          </w:p>
        </w:tc>
        <w:tc>
          <w:tcPr>
            <w:tcW w:w="4770" w:type="dxa"/>
          </w:tcPr>
          <w:p w14:paraId="41AE372D" w14:textId="42727F1A" w:rsidR="0027326D" w:rsidRDefault="0027326D" w:rsidP="00A3275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5E3E15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activity to which this transaction is being forwarded,  if applicable.</w:t>
            </w:r>
          </w:p>
        </w:tc>
        <w:bookmarkStart w:id="0" w:name="_GoBack"/>
        <w:bookmarkEnd w:id="0"/>
      </w:tr>
      <w:tr w:rsidR="0027326D" w14:paraId="41AE3732" w14:textId="77777777" w:rsidTr="004A0846">
        <w:trPr>
          <w:cantSplit/>
          <w:trHeight w:val="403"/>
        </w:trPr>
        <w:tc>
          <w:tcPr>
            <w:tcW w:w="2520" w:type="dxa"/>
          </w:tcPr>
          <w:p w14:paraId="41AE372F" w14:textId="77777777" w:rsidR="0027326D" w:rsidRDefault="0027326D" w:rsidP="00A3275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41AE3730" w14:textId="77777777" w:rsidR="0027326D" w:rsidRDefault="0027326D" w:rsidP="00A3275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770" w:type="dxa"/>
          </w:tcPr>
          <w:p w14:paraId="41AE3731" w14:textId="77777777" w:rsidR="0027326D" w:rsidRDefault="0027326D" w:rsidP="00A3275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27326D" w14:paraId="41AE3736" w14:textId="77777777" w:rsidTr="004A0846">
        <w:trPr>
          <w:cantSplit/>
          <w:trHeight w:val="403"/>
        </w:trPr>
        <w:tc>
          <w:tcPr>
            <w:tcW w:w="2520" w:type="dxa"/>
          </w:tcPr>
          <w:p w14:paraId="41AE3733" w14:textId="77777777" w:rsidR="0027326D" w:rsidRDefault="0027326D" w:rsidP="00A3275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Stock or Part Number</w:t>
            </w:r>
          </w:p>
        </w:tc>
        <w:tc>
          <w:tcPr>
            <w:tcW w:w="2070" w:type="dxa"/>
          </w:tcPr>
          <w:p w14:paraId="41AE3734" w14:textId="77777777" w:rsidR="0027326D" w:rsidRDefault="0027326D" w:rsidP="00A3275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8-22</w:t>
            </w:r>
          </w:p>
        </w:tc>
        <w:tc>
          <w:tcPr>
            <w:tcW w:w="4770" w:type="dxa"/>
          </w:tcPr>
          <w:p w14:paraId="41AE3735" w14:textId="77777777" w:rsidR="0027326D" w:rsidRDefault="0027326D" w:rsidP="00A3275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stock or part number of item being frozen/unfrozen.</w:t>
            </w:r>
          </w:p>
        </w:tc>
      </w:tr>
      <w:tr w:rsidR="0027326D" w14:paraId="41AE373A" w14:textId="77777777" w:rsidTr="004A0846">
        <w:trPr>
          <w:cantSplit/>
          <w:trHeight w:val="403"/>
        </w:trPr>
        <w:tc>
          <w:tcPr>
            <w:tcW w:w="2520" w:type="dxa"/>
          </w:tcPr>
          <w:p w14:paraId="41AE3737" w14:textId="77777777" w:rsidR="0027326D" w:rsidRDefault="0027326D" w:rsidP="00A3275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Unit of Issue</w:t>
            </w:r>
          </w:p>
        </w:tc>
        <w:tc>
          <w:tcPr>
            <w:tcW w:w="2070" w:type="dxa"/>
          </w:tcPr>
          <w:p w14:paraId="41AE3738" w14:textId="77777777" w:rsidR="0027326D" w:rsidRDefault="0027326D" w:rsidP="00A3275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23-24</w:t>
            </w:r>
          </w:p>
        </w:tc>
        <w:tc>
          <w:tcPr>
            <w:tcW w:w="4770" w:type="dxa"/>
          </w:tcPr>
          <w:p w14:paraId="41AE3739" w14:textId="77777777" w:rsidR="0027326D" w:rsidRDefault="0027326D" w:rsidP="00A3275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UI of item.</w:t>
            </w:r>
          </w:p>
        </w:tc>
      </w:tr>
      <w:tr w:rsidR="0027326D" w14:paraId="41AE373E" w14:textId="77777777" w:rsidTr="004A0846">
        <w:trPr>
          <w:cantSplit/>
          <w:trHeight w:val="403"/>
        </w:trPr>
        <w:tc>
          <w:tcPr>
            <w:tcW w:w="2520" w:type="dxa"/>
          </w:tcPr>
          <w:p w14:paraId="41AE373B" w14:textId="77777777" w:rsidR="0027326D" w:rsidRDefault="0027326D" w:rsidP="00A3275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Quantity</w:t>
            </w:r>
          </w:p>
        </w:tc>
        <w:tc>
          <w:tcPr>
            <w:tcW w:w="2070" w:type="dxa"/>
          </w:tcPr>
          <w:p w14:paraId="41AE373C" w14:textId="77777777" w:rsidR="0027326D" w:rsidRDefault="0027326D" w:rsidP="00A3275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25-29</w:t>
            </w:r>
          </w:p>
        </w:tc>
        <w:tc>
          <w:tcPr>
            <w:tcW w:w="4770" w:type="dxa"/>
          </w:tcPr>
          <w:p w14:paraId="41AE373D" w14:textId="77777777" w:rsidR="0027326D" w:rsidRDefault="0027326D" w:rsidP="00A3275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quantity being frozen/unfrozen, preceding significant digits with zeros.</w:t>
            </w:r>
            <w:r>
              <w:rPr>
                <w:b/>
                <w:bCs/>
                <w:szCs w:val="24"/>
              </w:rPr>
              <w:t xml:space="preserve"> </w:t>
            </w:r>
            <w:r>
              <w:rPr>
                <w:rStyle w:val="FootnoteReference"/>
                <w:b/>
                <w:bCs/>
                <w:szCs w:val="24"/>
              </w:rPr>
              <w:footnoteReference w:id="1"/>
            </w:r>
            <w:r>
              <w:rPr>
                <w:b/>
                <w:bCs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 xml:space="preserve">/ </w:t>
            </w:r>
            <w:r>
              <w:rPr>
                <w:rStyle w:val="FootnoteReference"/>
                <w:szCs w:val="24"/>
              </w:rPr>
              <w:footnoteReference w:id="2"/>
            </w:r>
          </w:p>
        </w:tc>
      </w:tr>
      <w:tr w:rsidR="0027326D" w14:paraId="41AE3742" w14:textId="77777777" w:rsidTr="004A0846">
        <w:trPr>
          <w:cantSplit/>
          <w:trHeight w:val="403"/>
        </w:trPr>
        <w:tc>
          <w:tcPr>
            <w:tcW w:w="2520" w:type="dxa"/>
          </w:tcPr>
          <w:p w14:paraId="41AE373F" w14:textId="77777777" w:rsidR="0027326D" w:rsidRDefault="0027326D" w:rsidP="00A3275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Number</w:t>
            </w:r>
          </w:p>
        </w:tc>
        <w:tc>
          <w:tcPr>
            <w:tcW w:w="2070" w:type="dxa"/>
          </w:tcPr>
          <w:p w14:paraId="41AE3740" w14:textId="77777777" w:rsidR="0027326D" w:rsidRDefault="0027326D" w:rsidP="00A3275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30-43</w:t>
            </w:r>
          </w:p>
        </w:tc>
        <w:tc>
          <w:tcPr>
            <w:tcW w:w="4770" w:type="dxa"/>
          </w:tcPr>
          <w:p w14:paraId="41AE3741" w14:textId="77777777" w:rsidR="0027326D" w:rsidRDefault="0027326D" w:rsidP="00A3275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or perpetuate the controlling document number.</w:t>
            </w:r>
          </w:p>
        </w:tc>
      </w:tr>
      <w:tr w:rsidR="0027326D" w14:paraId="41AE3746" w14:textId="77777777" w:rsidTr="004A0846">
        <w:trPr>
          <w:cantSplit/>
          <w:trHeight w:val="403"/>
        </w:trPr>
        <w:tc>
          <w:tcPr>
            <w:tcW w:w="2520" w:type="dxa"/>
          </w:tcPr>
          <w:p w14:paraId="41AE3743" w14:textId="77777777" w:rsidR="0027326D" w:rsidRDefault="0027326D" w:rsidP="00A3275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Suffix </w:t>
            </w:r>
          </w:p>
        </w:tc>
        <w:tc>
          <w:tcPr>
            <w:tcW w:w="2070" w:type="dxa"/>
          </w:tcPr>
          <w:p w14:paraId="41AE3744" w14:textId="77777777" w:rsidR="0027326D" w:rsidRDefault="0027326D" w:rsidP="00A3275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4770" w:type="dxa"/>
          </w:tcPr>
          <w:p w14:paraId="41AE3745" w14:textId="77777777" w:rsidR="0027326D" w:rsidRDefault="0027326D" w:rsidP="00A3275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consecutive alpha codes A through Z when assignment of suffix codes is necessary.</w:t>
            </w:r>
            <w:r>
              <w:rPr>
                <w:rStyle w:val="FootnoteReference"/>
                <w:szCs w:val="24"/>
              </w:rPr>
              <w:footnoteReference w:id="3"/>
            </w:r>
          </w:p>
        </w:tc>
      </w:tr>
      <w:tr w:rsidR="0027326D" w14:paraId="41AE374A" w14:textId="77777777" w:rsidTr="004A0846">
        <w:trPr>
          <w:cantSplit/>
          <w:trHeight w:val="403"/>
        </w:trPr>
        <w:tc>
          <w:tcPr>
            <w:tcW w:w="2520" w:type="dxa"/>
          </w:tcPr>
          <w:p w14:paraId="41AE3747" w14:textId="77777777" w:rsidR="0027326D" w:rsidRDefault="0027326D" w:rsidP="00A3275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41AE3748" w14:textId="77777777" w:rsidR="0027326D" w:rsidRDefault="0027326D" w:rsidP="00A3275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45-66</w:t>
            </w:r>
          </w:p>
        </w:tc>
        <w:tc>
          <w:tcPr>
            <w:tcW w:w="4770" w:type="dxa"/>
          </w:tcPr>
          <w:p w14:paraId="41AE3749" w14:textId="77777777" w:rsidR="0027326D" w:rsidRDefault="0027326D" w:rsidP="00A3275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27326D" w14:paraId="41AE374E" w14:textId="77777777" w:rsidTr="004A0846">
        <w:trPr>
          <w:cantSplit/>
          <w:trHeight w:val="403"/>
        </w:trPr>
        <w:tc>
          <w:tcPr>
            <w:tcW w:w="2520" w:type="dxa"/>
          </w:tcPr>
          <w:p w14:paraId="41AE374B" w14:textId="3D1E5639" w:rsidR="0027326D" w:rsidRDefault="0027326D" w:rsidP="00A3275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Routing Identifier</w:t>
            </w:r>
            <w:r w:rsidR="005E3E15">
              <w:rPr>
                <w:szCs w:val="24"/>
              </w:rPr>
              <w:t xml:space="preserve"> Code</w:t>
            </w:r>
          </w:p>
        </w:tc>
        <w:tc>
          <w:tcPr>
            <w:tcW w:w="2070" w:type="dxa"/>
          </w:tcPr>
          <w:p w14:paraId="41AE374C" w14:textId="77777777" w:rsidR="0027326D" w:rsidRDefault="0027326D" w:rsidP="00A3275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67-69</w:t>
            </w:r>
          </w:p>
        </w:tc>
        <w:tc>
          <w:tcPr>
            <w:tcW w:w="4770" w:type="dxa"/>
          </w:tcPr>
          <w:p w14:paraId="41AE374D" w14:textId="4BB0335D" w:rsidR="0027326D" w:rsidRDefault="0027326D" w:rsidP="00A3275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or perpetuate </w:t>
            </w:r>
            <w:r w:rsidR="005E3E15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(Storage Activity) storage activity where stock is positioned.</w:t>
            </w:r>
          </w:p>
        </w:tc>
      </w:tr>
      <w:tr w:rsidR="0027326D" w14:paraId="41AE3752" w14:textId="77777777" w:rsidTr="004A0846">
        <w:trPr>
          <w:cantSplit/>
          <w:trHeight w:val="403"/>
        </w:trPr>
        <w:tc>
          <w:tcPr>
            <w:tcW w:w="2520" w:type="dxa"/>
          </w:tcPr>
          <w:p w14:paraId="41AE374F" w14:textId="77777777" w:rsidR="0027326D" w:rsidRDefault="0027326D" w:rsidP="00A3275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Ownership/Purpose</w:t>
            </w:r>
          </w:p>
        </w:tc>
        <w:tc>
          <w:tcPr>
            <w:tcW w:w="2070" w:type="dxa"/>
          </w:tcPr>
          <w:p w14:paraId="41AE3750" w14:textId="77777777" w:rsidR="0027326D" w:rsidRDefault="0027326D" w:rsidP="00A3275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4770" w:type="dxa"/>
          </w:tcPr>
          <w:p w14:paraId="41AE3751" w14:textId="77777777" w:rsidR="0027326D" w:rsidRDefault="0027326D" w:rsidP="00A3275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ownership/purpose code, if applicable.</w:t>
            </w:r>
          </w:p>
        </w:tc>
      </w:tr>
      <w:tr w:rsidR="0027326D" w14:paraId="41AE3756" w14:textId="77777777" w:rsidTr="004A0846">
        <w:trPr>
          <w:cantSplit/>
          <w:trHeight w:val="403"/>
        </w:trPr>
        <w:tc>
          <w:tcPr>
            <w:tcW w:w="2520" w:type="dxa"/>
          </w:tcPr>
          <w:p w14:paraId="41AE3753" w14:textId="77777777" w:rsidR="0027326D" w:rsidRDefault="0027326D" w:rsidP="00A3275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Supply Condition</w:t>
            </w:r>
          </w:p>
        </w:tc>
        <w:tc>
          <w:tcPr>
            <w:tcW w:w="2070" w:type="dxa"/>
          </w:tcPr>
          <w:p w14:paraId="41AE3754" w14:textId="77777777" w:rsidR="0027326D" w:rsidRDefault="0027326D" w:rsidP="00A3275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4770" w:type="dxa"/>
          </w:tcPr>
          <w:p w14:paraId="41AE3755" w14:textId="77777777" w:rsidR="0027326D" w:rsidRDefault="0027326D" w:rsidP="00A3275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or perpetuate supply condition code of the inventory balance being frozen or unfrozen.</w:t>
            </w:r>
          </w:p>
        </w:tc>
      </w:tr>
      <w:tr w:rsidR="0027326D" w14:paraId="41AE375A" w14:textId="77777777" w:rsidTr="004A0846">
        <w:trPr>
          <w:cantSplit/>
          <w:trHeight w:val="403"/>
        </w:trPr>
        <w:tc>
          <w:tcPr>
            <w:tcW w:w="2520" w:type="dxa"/>
          </w:tcPr>
          <w:p w14:paraId="41AE3757" w14:textId="77777777" w:rsidR="0027326D" w:rsidRDefault="0027326D" w:rsidP="00A3275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Management</w:t>
            </w:r>
          </w:p>
        </w:tc>
        <w:tc>
          <w:tcPr>
            <w:tcW w:w="2070" w:type="dxa"/>
          </w:tcPr>
          <w:p w14:paraId="41AE3758" w14:textId="77777777" w:rsidR="0027326D" w:rsidRDefault="0027326D" w:rsidP="00A3275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4770" w:type="dxa"/>
          </w:tcPr>
          <w:p w14:paraId="41AE3759" w14:textId="77777777" w:rsidR="0027326D" w:rsidRDefault="0027326D" w:rsidP="00A3275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or perpetuate management code; otherwise, leave blank.</w:t>
            </w:r>
          </w:p>
        </w:tc>
      </w:tr>
      <w:tr w:rsidR="0027326D" w14:paraId="41AE375E" w14:textId="77777777" w:rsidTr="004A0846">
        <w:trPr>
          <w:cantSplit/>
          <w:trHeight w:val="403"/>
        </w:trPr>
        <w:tc>
          <w:tcPr>
            <w:tcW w:w="2520" w:type="dxa"/>
          </w:tcPr>
          <w:p w14:paraId="41AE375B" w14:textId="77777777" w:rsidR="0027326D" w:rsidRDefault="0027326D" w:rsidP="00A3275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lastRenderedPageBreak/>
              <w:t>Blank</w:t>
            </w:r>
          </w:p>
        </w:tc>
        <w:tc>
          <w:tcPr>
            <w:tcW w:w="2070" w:type="dxa"/>
          </w:tcPr>
          <w:p w14:paraId="41AE375C" w14:textId="77777777" w:rsidR="0027326D" w:rsidRDefault="0027326D" w:rsidP="00A3275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73</w:t>
            </w:r>
          </w:p>
        </w:tc>
        <w:tc>
          <w:tcPr>
            <w:tcW w:w="4770" w:type="dxa"/>
          </w:tcPr>
          <w:p w14:paraId="41AE375D" w14:textId="77777777" w:rsidR="0027326D" w:rsidRDefault="0027326D" w:rsidP="00A3275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27326D" w14:paraId="41AE3762" w14:textId="77777777" w:rsidTr="004A0846">
        <w:trPr>
          <w:cantSplit/>
          <w:trHeight w:val="403"/>
        </w:trPr>
        <w:tc>
          <w:tcPr>
            <w:tcW w:w="2520" w:type="dxa"/>
          </w:tcPr>
          <w:p w14:paraId="41AE375F" w14:textId="77777777" w:rsidR="0027326D" w:rsidRDefault="0027326D" w:rsidP="00A3275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Date (Freeze/Unfreeze)</w:t>
            </w:r>
          </w:p>
        </w:tc>
        <w:tc>
          <w:tcPr>
            <w:tcW w:w="2070" w:type="dxa"/>
          </w:tcPr>
          <w:p w14:paraId="41AE3760" w14:textId="77777777" w:rsidR="0027326D" w:rsidRDefault="0027326D" w:rsidP="00A3275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74-78</w:t>
            </w:r>
          </w:p>
        </w:tc>
        <w:tc>
          <w:tcPr>
            <w:tcW w:w="4770" w:type="dxa"/>
          </w:tcPr>
          <w:p w14:paraId="41AE3761" w14:textId="7EDA0E9A" w:rsidR="0027326D" w:rsidRDefault="0027326D" w:rsidP="00A3275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For </w:t>
            </w:r>
            <w:r w:rsidR="005E3E15">
              <w:rPr>
                <w:szCs w:val="24"/>
              </w:rPr>
              <w:t>DIC</w:t>
            </w:r>
            <w:r>
              <w:rPr>
                <w:szCs w:val="24"/>
              </w:rPr>
              <w:t xml:space="preserve"> DA1, enter date freeze was lifted.  For </w:t>
            </w:r>
            <w:r w:rsidR="005E3E15">
              <w:rPr>
                <w:szCs w:val="24"/>
              </w:rPr>
              <w:t>DIC</w:t>
            </w:r>
            <w:r>
              <w:rPr>
                <w:szCs w:val="24"/>
              </w:rPr>
              <w:t xml:space="preserve"> DA2, enter date freeze was applied.  Enter last two digits of the calendar year in record positions 72-73 and the ordinal day of the calendar year in record positions 74-76 (e.g. 02029 is January 29, 2002).</w:t>
            </w:r>
          </w:p>
        </w:tc>
      </w:tr>
      <w:tr w:rsidR="0027326D" w14:paraId="41AE3766" w14:textId="77777777" w:rsidTr="004A0846">
        <w:trPr>
          <w:cantSplit/>
          <w:trHeight w:val="403"/>
        </w:trPr>
        <w:tc>
          <w:tcPr>
            <w:tcW w:w="2520" w:type="dxa"/>
          </w:tcPr>
          <w:p w14:paraId="41AE3763" w14:textId="77777777" w:rsidR="0027326D" w:rsidRDefault="0027326D" w:rsidP="00A3275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41AE3764" w14:textId="77777777" w:rsidR="0027326D" w:rsidRDefault="0027326D" w:rsidP="00A3275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79-80</w:t>
            </w:r>
          </w:p>
        </w:tc>
        <w:tc>
          <w:tcPr>
            <w:tcW w:w="4770" w:type="dxa"/>
          </w:tcPr>
          <w:p w14:paraId="41AE3765" w14:textId="77777777" w:rsidR="0027326D" w:rsidRDefault="0027326D" w:rsidP="00A3275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</w:tbl>
    <w:p w14:paraId="41AE3767" w14:textId="77777777" w:rsidR="0027326D" w:rsidRDefault="0027326D">
      <w:pPr>
        <w:pStyle w:val="Heading2"/>
        <w:numPr>
          <w:ilvl w:val="0"/>
          <w:numId w:val="0"/>
        </w:numPr>
      </w:pPr>
    </w:p>
    <w:sectPr w:rsidR="0027326D" w:rsidSect="004A0846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E376A" w14:textId="77777777" w:rsidR="008D2E9D" w:rsidRDefault="008D2E9D">
      <w:r>
        <w:separator/>
      </w:r>
    </w:p>
  </w:endnote>
  <w:endnote w:type="continuationSeparator" w:id="0">
    <w:p w14:paraId="41AE376B" w14:textId="77777777" w:rsidR="008D2E9D" w:rsidRDefault="008D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E3770" w14:textId="77777777" w:rsidR="00431031" w:rsidRDefault="009A3C50" w:rsidP="002732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3103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AE3771" w14:textId="77777777" w:rsidR="00431031" w:rsidRDefault="00431031">
    <w:pPr>
      <w:pStyle w:val="Footer"/>
      <w:jc w:val="center"/>
      <w:rPr>
        <w:b/>
      </w:rPr>
    </w:pPr>
    <w:r>
      <w:rPr>
        <w:b/>
      </w:rPr>
      <w:t>AP3.7-</w:t>
    </w:r>
  </w:p>
  <w:p w14:paraId="41AE3772" w14:textId="77777777" w:rsidR="00431031" w:rsidRDefault="0043103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E3773" w14:textId="00CF3E46" w:rsidR="00431031" w:rsidRPr="00810DF4" w:rsidRDefault="00431031" w:rsidP="0027326D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AP3.7-</w:t>
    </w:r>
    <w:r w:rsidR="009A3C50" w:rsidRPr="00810DF4">
      <w:rPr>
        <w:rStyle w:val="PageNumber"/>
        <w:b w:val="0"/>
      </w:rPr>
      <w:fldChar w:fldCharType="begin"/>
    </w:r>
    <w:r w:rsidRPr="00810DF4">
      <w:rPr>
        <w:rStyle w:val="PageNumber"/>
        <w:b w:val="0"/>
      </w:rPr>
      <w:instrText xml:space="preserve">PAGE  </w:instrText>
    </w:r>
    <w:r w:rsidR="009A3C50" w:rsidRPr="00810DF4">
      <w:rPr>
        <w:rStyle w:val="PageNumber"/>
        <w:b w:val="0"/>
      </w:rPr>
      <w:fldChar w:fldCharType="separate"/>
    </w:r>
    <w:r w:rsidR="007258D3">
      <w:rPr>
        <w:rStyle w:val="PageNumber"/>
        <w:b w:val="0"/>
        <w:noProof/>
      </w:rPr>
      <w:t>1</w:t>
    </w:r>
    <w:r w:rsidR="009A3C50" w:rsidRPr="00810DF4">
      <w:rPr>
        <w:rStyle w:val="PageNumber"/>
        <w:b w:val="0"/>
      </w:rPr>
      <w:fldChar w:fldCharType="end"/>
    </w:r>
  </w:p>
  <w:p w14:paraId="41AE3774" w14:textId="77777777" w:rsidR="00431031" w:rsidRPr="00810DF4" w:rsidRDefault="001B795E" w:rsidP="00810DF4">
    <w:pPr>
      <w:pStyle w:val="Footer"/>
      <w:tabs>
        <w:tab w:val="clear" w:pos="4320"/>
        <w:tab w:val="clear" w:pos="8640"/>
      </w:tabs>
      <w:jc w:val="right"/>
    </w:pPr>
    <w:r>
      <w:t>APPENDIX 3.7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E3768" w14:textId="77777777" w:rsidR="008D2E9D" w:rsidRDefault="008D2E9D">
      <w:r>
        <w:separator/>
      </w:r>
    </w:p>
  </w:footnote>
  <w:footnote w:type="continuationSeparator" w:id="0">
    <w:p w14:paraId="41AE3769" w14:textId="77777777" w:rsidR="008D2E9D" w:rsidRDefault="008D2E9D">
      <w:r>
        <w:continuationSeparator/>
      </w:r>
    </w:p>
  </w:footnote>
  <w:footnote w:id="1">
    <w:p w14:paraId="41AE3777" w14:textId="77777777" w:rsidR="00431031" w:rsidRDefault="00431031">
      <w:pPr>
        <w:pStyle w:val="FootnoteText"/>
      </w:pPr>
      <w:r>
        <w:rPr>
          <w:rStyle w:val="FootnoteReference"/>
        </w:rPr>
        <w:footnoteRef/>
      </w:r>
      <w:r>
        <w:t xml:space="preserve"> See Appendix AP3 - Formats Introduction, Paragraph AP3.3.1.</w:t>
      </w:r>
    </w:p>
    <w:p w14:paraId="41AE3778" w14:textId="77777777" w:rsidR="00431031" w:rsidRDefault="00431031">
      <w:pPr>
        <w:pStyle w:val="FootnoteText"/>
        <w:rPr>
          <w:sz w:val="6"/>
        </w:rPr>
      </w:pPr>
    </w:p>
  </w:footnote>
  <w:footnote w:id="2">
    <w:p w14:paraId="41AE3779" w14:textId="77777777" w:rsidR="00431031" w:rsidRDefault="00431031">
      <w:pPr>
        <w:pStyle w:val="FootnoteText"/>
      </w:pPr>
      <w:r>
        <w:rPr>
          <w:rStyle w:val="FootnoteReference"/>
        </w:rPr>
        <w:footnoteRef/>
      </w:r>
      <w:r>
        <w:t xml:space="preserve"> See Appendix AP3 - Formats Introduction, Paragraph AP3.3.2.</w:t>
      </w:r>
    </w:p>
    <w:p w14:paraId="41AE377A" w14:textId="77777777" w:rsidR="00431031" w:rsidRDefault="00431031">
      <w:pPr>
        <w:pStyle w:val="FootnoteText"/>
        <w:rPr>
          <w:sz w:val="6"/>
        </w:rPr>
      </w:pPr>
    </w:p>
  </w:footnote>
  <w:footnote w:id="3">
    <w:p w14:paraId="41AE377B" w14:textId="77777777" w:rsidR="00431031" w:rsidRDefault="00431031">
      <w:pPr>
        <w:pStyle w:val="FootnoteText"/>
      </w:pPr>
      <w:r>
        <w:rPr>
          <w:rStyle w:val="FootnoteReference"/>
        </w:rPr>
        <w:footnoteRef/>
      </w:r>
      <w:r>
        <w:t xml:space="preserve"> See Appendix AP3 - Formats Introduction, Paragraph AP3.3.3.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E376C" w14:textId="77777777" w:rsidR="00431031" w:rsidRDefault="00431031">
    <w:pPr>
      <w:rPr>
        <w:i/>
      </w:rPr>
    </w:pPr>
  </w:p>
  <w:p w14:paraId="41AE376D" w14:textId="77777777" w:rsidR="00431031" w:rsidRDefault="00431031">
    <w:pPr>
      <w:pStyle w:val="Header"/>
      <w:jc w:val="left"/>
      <w:rPr>
        <w:b/>
        <w:bCs/>
        <w:u w:val="none"/>
      </w:rPr>
    </w:pPr>
    <w:r>
      <w:rPr>
        <w:b/>
        <w:bCs/>
        <w:u w:val="none"/>
      </w:rPr>
      <w:t>DoD 4000.25-2-M</w:t>
    </w:r>
  </w:p>
  <w:p w14:paraId="41AE376E" w14:textId="77777777" w:rsidR="00431031" w:rsidRDefault="00431031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A9593" w14:textId="19DB46A6" w:rsidR="009445B1" w:rsidRDefault="009445B1" w:rsidP="009445B1">
    <w:pPr>
      <w:pStyle w:val="Header"/>
      <w:tabs>
        <w:tab w:val="left" w:pos="720"/>
      </w:tabs>
      <w:jc w:val="right"/>
      <w:rPr>
        <w:rFonts w:cs="Arial"/>
        <w:i/>
        <w:szCs w:val="24"/>
        <w:u w:val="none"/>
      </w:rPr>
    </w:pPr>
    <w:r>
      <w:rPr>
        <w:rFonts w:cs="Arial"/>
        <w:i/>
        <w:szCs w:val="24"/>
        <w:u w:val="none"/>
      </w:rPr>
      <w:t xml:space="preserve">DLM 4000.25, Volume 2, </w:t>
    </w:r>
    <w:r w:rsidR="007258D3">
      <w:rPr>
        <w:rFonts w:cs="Arial"/>
        <w:i/>
        <w:szCs w:val="24"/>
        <w:u w:val="none"/>
      </w:rPr>
      <w:t>November 26</w:t>
    </w:r>
    <w:r>
      <w:rPr>
        <w:rFonts w:cs="Arial"/>
        <w:i/>
        <w:szCs w:val="24"/>
        <w:u w:val="none"/>
      </w:rPr>
      <w:t>, 2019</w:t>
    </w:r>
  </w:p>
  <w:p w14:paraId="0838DFA1" w14:textId="77777777" w:rsidR="009445B1" w:rsidRDefault="009445B1" w:rsidP="009445B1">
    <w:pPr>
      <w:pStyle w:val="Header"/>
      <w:tabs>
        <w:tab w:val="left" w:pos="720"/>
      </w:tabs>
      <w:jc w:val="right"/>
      <w:rPr>
        <w:i/>
        <w:u w:val="none"/>
      </w:rPr>
    </w:pPr>
    <w:r>
      <w:rPr>
        <w:rFonts w:cs="Arial"/>
        <w:i/>
        <w:szCs w:val="24"/>
        <w:u w:val="none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48BE2E2E"/>
    <w:lvl w:ilvl="0">
      <w:start w:val="1"/>
      <w:numFmt w:val="none"/>
      <w:pStyle w:val="Heading1"/>
      <w:suff w:val="nothing"/>
      <w:lvlText w:val="AP3.7  APPENDIX 3.7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decimal"/>
      <w:pStyle w:val="Heading2"/>
      <w:suff w:val="nothing"/>
      <w:lvlText w:val="AP3%1.7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%1.7.%3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%1.7.%3.%4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3%1.7.%3.%4.%5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.7.%3.%4.%5.%6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7.%3.%4.%5.%6.%7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%1.7.%3.%4.%5.%6.%7.%8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%13.7.%3.%4.%5.%6.%7.%8.%9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0DF4"/>
    <w:rsid w:val="000D093D"/>
    <w:rsid w:val="00140D42"/>
    <w:rsid w:val="001B795E"/>
    <w:rsid w:val="0027326D"/>
    <w:rsid w:val="002E13B8"/>
    <w:rsid w:val="00431031"/>
    <w:rsid w:val="00475F28"/>
    <w:rsid w:val="00480F87"/>
    <w:rsid w:val="004A0846"/>
    <w:rsid w:val="005E3E15"/>
    <w:rsid w:val="00717EC5"/>
    <w:rsid w:val="007258D3"/>
    <w:rsid w:val="00781C47"/>
    <w:rsid w:val="00810DF4"/>
    <w:rsid w:val="0087059C"/>
    <w:rsid w:val="008D2E9D"/>
    <w:rsid w:val="009445B1"/>
    <w:rsid w:val="009A3C50"/>
    <w:rsid w:val="009C7FC2"/>
    <w:rsid w:val="00A32753"/>
    <w:rsid w:val="00A5450C"/>
    <w:rsid w:val="00B511D4"/>
    <w:rsid w:val="00C15F93"/>
    <w:rsid w:val="00C32591"/>
    <w:rsid w:val="00FA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AE371D"/>
  <w15:docId w15:val="{8A287767-47E2-42B0-B026-56B04720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C50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9A3C50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9A3C50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9A3C50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9A3C50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9A3C50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9A3C50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9A3C50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9A3C50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9A3C50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9A3C50"/>
    <w:rPr>
      <w:vertAlign w:val="superscript"/>
    </w:rPr>
  </w:style>
  <w:style w:type="character" w:styleId="FootnoteReference">
    <w:name w:val="footnote reference"/>
    <w:basedOn w:val="DefaultParagraphFont"/>
    <w:semiHidden/>
    <w:rsid w:val="009A3C50"/>
    <w:rPr>
      <w:vertAlign w:val="superscript"/>
    </w:rPr>
  </w:style>
  <w:style w:type="character" w:styleId="PageNumber">
    <w:name w:val="page number"/>
    <w:basedOn w:val="DefaultParagraphFont"/>
    <w:rsid w:val="009A3C50"/>
    <w:rPr>
      <w:rFonts w:ascii="Arial" w:hAnsi="Arial"/>
      <w:b/>
      <w:sz w:val="24"/>
    </w:rPr>
  </w:style>
  <w:style w:type="paragraph" w:styleId="Footer">
    <w:name w:val="footer"/>
    <w:basedOn w:val="Normal"/>
    <w:rsid w:val="009A3C5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9A3C50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9A3C50"/>
    <w:rPr>
      <w:sz w:val="20"/>
    </w:rPr>
  </w:style>
  <w:style w:type="paragraph" w:customStyle="1" w:styleId="SubTitle">
    <w:name w:val="Sub Title"/>
    <w:basedOn w:val="Title"/>
    <w:rsid w:val="009A3C50"/>
    <w:rPr>
      <w:u w:val="single"/>
    </w:rPr>
  </w:style>
  <w:style w:type="paragraph" w:styleId="Title">
    <w:name w:val="Title"/>
    <w:basedOn w:val="Normal"/>
    <w:next w:val="Header"/>
    <w:qFormat/>
    <w:rsid w:val="009A3C50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9A3C50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9A3C50"/>
    <w:pPr>
      <w:spacing w:after="160"/>
      <w:ind w:left="1440"/>
    </w:pPr>
  </w:style>
  <w:style w:type="paragraph" w:styleId="BodyText">
    <w:name w:val="Body Text"/>
    <w:basedOn w:val="Normal"/>
    <w:rsid w:val="009A3C50"/>
    <w:pPr>
      <w:spacing w:after="120"/>
    </w:pPr>
  </w:style>
  <w:style w:type="paragraph" w:styleId="ListBullet">
    <w:name w:val="List Bullet"/>
    <w:basedOn w:val="Normal"/>
    <w:rsid w:val="009A3C50"/>
    <w:pPr>
      <w:spacing w:after="120"/>
      <w:ind w:left="360" w:hanging="360"/>
    </w:pPr>
  </w:style>
  <w:style w:type="paragraph" w:styleId="ListBullet2">
    <w:name w:val="List Bullet 2"/>
    <w:basedOn w:val="Normal"/>
    <w:rsid w:val="009A3C50"/>
    <w:pPr>
      <w:ind w:left="720" w:hanging="360"/>
    </w:pPr>
  </w:style>
  <w:style w:type="paragraph" w:styleId="ListBullet3">
    <w:name w:val="List Bullet 3"/>
    <w:basedOn w:val="Normal"/>
    <w:rsid w:val="009A3C50"/>
    <w:pPr>
      <w:ind w:left="1080" w:hanging="360"/>
    </w:pPr>
  </w:style>
  <w:style w:type="paragraph" w:styleId="ListNumber">
    <w:name w:val="List Number"/>
    <w:basedOn w:val="Normal"/>
    <w:rsid w:val="009A3C50"/>
    <w:pPr>
      <w:ind w:left="360" w:hanging="360"/>
    </w:pPr>
  </w:style>
  <w:style w:type="paragraph" w:styleId="ListNumber2">
    <w:name w:val="List Number 2"/>
    <w:basedOn w:val="Normal"/>
    <w:rsid w:val="009A3C50"/>
    <w:pPr>
      <w:ind w:left="720" w:hanging="360"/>
    </w:pPr>
  </w:style>
  <w:style w:type="paragraph" w:styleId="ListNumber3">
    <w:name w:val="List Number 3"/>
    <w:basedOn w:val="Normal"/>
    <w:rsid w:val="009A3C50"/>
    <w:pPr>
      <w:ind w:left="1080" w:hanging="360"/>
    </w:pPr>
  </w:style>
  <w:style w:type="paragraph" w:styleId="DocumentMap">
    <w:name w:val="Document Map"/>
    <w:basedOn w:val="Normal"/>
    <w:semiHidden/>
    <w:rsid w:val="009A3C50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9A3C50"/>
    <w:pPr>
      <w:numPr>
        <w:ilvl w:val="8"/>
        <w:numId w:val="1"/>
      </w:numPr>
    </w:pPr>
    <w:rPr>
      <w:rFonts w:ascii="Arial" w:hAnsi="Arial"/>
      <w:noProof/>
      <w:sz w:val="24"/>
    </w:rPr>
  </w:style>
  <w:style w:type="character" w:customStyle="1" w:styleId="HeaderChar">
    <w:name w:val="Header Char"/>
    <w:link w:val="Header"/>
    <w:rsid w:val="009445B1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Props1.xml><?xml version="1.0" encoding="utf-8"?>
<ds:datastoreItem xmlns:ds="http://schemas.openxmlformats.org/officeDocument/2006/customXml" ds:itemID="{EB0CB11D-6CE7-4249-8E91-FF9DD8DF96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4F14DC-957C-4F76-B375-B9D30F9546D1}"/>
</file>

<file path=customXml/itemProps3.xml><?xml version="1.0" encoding="utf-8"?>
<ds:datastoreItem xmlns:ds="http://schemas.openxmlformats.org/officeDocument/2006/customXml" ds:itemID="{97BAF258-6325-44CE-9155-4981911BFF3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6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AP3.7  DA1  DA2  SINGLE MANAGED CONVENTIONAL AMMUNITION FREEZE/UNFREEZE ACTION</vt:lpstr>
    </vt:vector>
  </TitlesOfParts>
  <Company>DLA Logistics Management Standards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AP3.7  DA1 DA2  single managed contentional ammunition freeze/unfreeze action</dc:title>
  <dc:subject>SINGLE MANAGED CONVENTIONAL AMMUNITION FREEZE/UNFREEZE ACTION</dc:subject>
  <dc:creator>Mary Jane Johnson</dc:creator>
  <cp:keywords/>
  <cp:lastModifiedBy>Nguyen, Bao X CTR DLA INFO OPERATIONS (USA)</cp:lastModifiedBy>
  <cp:revision>11</cp:revision>
  <cp:lastPrinted>2012-05-02T12:19:00Z</cp:lastPrinted>
  <dcterms:created xsi:type="dcterms:W3CDTF">2009-12-16T17:34:00Z</dcterms:created>
  <dcterms:modified xsi:type="dcterms:W3CDTF">2019-11-26T19:47:00Z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2324800</vt:r8>
  </property>
</Properties>
</file>