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FFC1" w14:textId="2F0550C1" w:rsidR="004E1B86" w:rsidRPr="00D77E3D" w:rsidRDefault="00D77E3D" w:rsidP="000408A3">
      <w:pPr>
        <w:spacing w:after="240"/>
        <w:jc w:val="center"/>
        <w:rPr>
          <w:b/>
          <w:sz w:val="36"/>
          <w:szCs w:val="36"/>
          <w:u w:val="single"/>
        </w:rPr>
      </w:pPr>
      <w:r w:rsidRPr="00D335FB">
        <w:rPr>
          <w:b/>
          <w:sz w:val="44"/>
          <w:szCs w:val="44"/>
          <w:u w:val="single"/>
        </w:rPr>
        <w:t>AP3.9.</w:t>
      </w:r>
      <w:r w:rsidR="00563790" w:rsidRPr="00D335FB">
        <w:rPr>
          <w:b/>
          <w:sz w:val="44"/>
          <w:szCs w:val="44"/>
          <w:u w:val="single"/>
        </w:rPr>
        <w:t xml:space="preserve"> APPENDIX 3.9</w:t>
      </w:r>
      <w:r w:rsidR="000408A3">
        <w:rPr>
          <w:b/>
          <w:sz w:val="44"/>
          <w:szCs w:val="44"/>
          <w:u w:val="single"/>
        </w:rPr>
        <w:br/>
      </w:r>
      <w:r w:rsidRPr="00D77E3D">
        <w:rPr>
          <w:b/>
          <w:sz w:val="36"/>
          <w:szCs w:val="36"/>
          <w:u w:val="single"/>
        </w:rPr>
        <w:t xml:space="preserve">INVENTORY ADJUSTMENT – </w:t>
      </w:r>
      <w:r w:rsidR="000408A3" w:rsidRPr="00D77E3D">
        <w:rPr>
          <w:b/>
          <w:sz w:val="36"/>
          <w:szCs w:val="36"/>
          <w:u w:val="single"/>
        </w:rPr>
        <w:t xml:space="preserve">DUAL </w:t>
      </w:r>
      <w:r w:rsidR="000408A3">
        <w:rPr>
          <w:b/>
          <w:sz w:val="36"/>
          <w:szCs w:val="36"/>
          <w:u w:val="single"/>
        </w:rPr>
        <w:br/>
      </w:r>
      <w:r w:rsidRPr="00D77E3D">
        <w:rPr>
          <w:b/>
          <w:sz w:val="36"/>
          <w:szCs w:val="36"/>
          <w:u w:val="single"/>
        </w:rPr>
        <w:t>(OWNERSHIP TRANSFER)</w:t>
      </w:r>
    </w:p>
    <w:tbl>
      <w:tblPr>
        <w:tblW w:w="909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4500"/>
      </w:tblGrid>
      <w:tr w:rsidR="004E1B86" w14:paraId="03ABFFC9" w14:textId="77777777" w:rsidTr="00DA30F7">
        <w:trPr>
          <w:cantSplit/>
          <w:tblHeader/>
        </w:trPr>
        <w:tc>
          <w:tcPr>
            <w:tcW w:w="2700" w:type="dxa"/>
            <w:vAlign w:val="bottom"/>
          </w:tcPr>
          <w:p w14:paraId="03ABFFC3" w14:textId="77777777" w:rsidR="004E1B86" w:rsidRDefault="004E1B86" w:rsidP="00523D6F">
            <w:pPr>
              <w:spacing w:after="120"/>
              <w:rPr>
                <w:b/>
                <w:bCs/>
                <w:szCs w:val="24"/>
              </w:rPr>
            </w:pPr>
          </w:p>
          <w:p w14:paraId="03ABFFC4" w14:textId="77777777" w:rsidR="004E1B86" w:rsidRDefault="004E1B86" w:rsidP="00523D6F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890" w:type="dxa"/>
          </w:tcPr>
          <w:p w14:paraId="03ABFFC5" w14:textId="77777777" w:rsidR="004E1B86" w:rsidRDefault="004E1B86" w:rsidP="00523D6F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3ABFFC6" w14:textId="77777777" w:rsidR="004E1B86" w:rsidRDefault="004E1B86" w:rsidP="00523D6F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500" w:type="dxa"/>
            <w:vAlign w:val="bottom"/>
          </w:tcPr>
          <w:p w14:paraId="03ABFFC7" w14:textId="77777777" w:rsidR="004E1B86" w:rsidRDefault="004E1B86" w:rsidP="00523D6F">
            <w:pPr>
              <w:spacing w:after="120"/>
              <w:rPr>
                <w:b/>
                <w:bCs/>
                <w:szCs w:val="24"/>
              </w:rPr>
            </w:pPr>
          </w:p>
          <w:p w14:paraId="03ABFFC8" w14:textId="77777777" w:rsidR="004E1B86" w:rsidRDefault="004E1B86" w:rsidP="00523D6F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4E1B86" w14:paraId="03ABFFCD" w14:textId="77777777" w:rsidTr="00DA30F7">
        <w:trPr>
          <w:cantSplit/>
        </w:trPr>
        <w:tc>
          <w:tcPr>
            <w:tcW w:w="2700" w:type="dxa"/>
          </w:tcPr>
          <w:p w14:paraId="03ABFFCA" w14:textId="3A76720A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Document Identifier </w:t>
            </w:r>
            <w:r w:rsidR="00523D6F">
              <w:rPr>
                <w:szCs w:val="24"/>
              </w:rPr>
              <w:t>Code</w:t>
            </w:r>
          </w:p>
        </w:tc>
        <w:tc>
          <w:tcPr>
            <w:tcW w:w="1890" w:type="dxa"/>
          </w:tcPr>
          <w:p w14:paraId="03ABFFCB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500" w:type="dxa"/>
          </w:tcPr>
          <w:p w14:paraId="03ABFFCC" w14:textId="2F507C00" w:rsidR="004E1B86" w:rsidRDefault="004E1B86" w:rsidP="00200B23">
            <w:pPr>
              <w:spacing w:before="60" w:after="60"/>
              <w:ind w:right="-28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23D6F">
              <w:rPr>
                <w:szCs w:val="24"/>
              </w:rPr>
              <w:t>DIC</w:t>
            </w:r>
            <w:r>
              <w:rPr>
                <w:szCs w:val="24"/>
              </w:rPr>
              <w:t xml:space="preserve"> DAS.</w:t>
            </w:r>
          </w:p>
        </w:tc>
      </w:tr>
      <w:tr w:rsidR="004E1B86" w14:paraId="03ABFFD1" w14:textId="77777777" w:rsidTr="00DA30F7">
        <w:trPr>
          <w:cantSplit/>
        </w:trPr>
        <w:tc>
          <w:tcPr>
            <w:tcW w:w="2700" w:type="dxa"/>
          </w:tcPr>
          <w:p w14:paraId="03ABFFCE" w14:textId="6D01CB30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523D6F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(TO) </w:t>
            </w:r>
          </w:p>
        </w:tc>
        <w:tc>
          <w:tcPr>
            <w:tcW w:w="1890" w:type="dxa"/>
          </w:tcPr>
          <w:p w14:paraId="03ABFFCF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500" w:type="dxa"/>
          </w:tcPr>
          <w:p w14:paraId="03ABFFD0" w14:textId="3DB1C5FF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23D6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this transaction is being forwarded.</w:t>
            </w:r>
            <w:bookmarkStart w:id="0" w:name="_GoBack"/>
            <w:bookmarkEnd w:id="0"/>
          </w:p>
        </w:tc>
      </w:tr>
      <w:tr w:rsidR="004E1B86" w14:paraId="03ABFFD5" w14:textId="77777777" w:rsidTr="00DA30F7">
        <w:trPr>
          <w:cantSplit/>
        </w:trPr>
        <w:tc>
          <w:tcPr>
            <w:tcW w:w="2700" w:type="dxa"/>
          </w:tcPr>
          <w:p w14:paraId="03ABFFD2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90" w:type="dxa"/>
          </w:tcPr>
          <w:p w14:paraId="03ABFFD3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00" w:type="dxa"/>
          </w:tcPr>
          <w:p w14:paraId="03ABFFD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4E1B86" w14:paraId="03ABFFD9" w14:textId="77777777" w:rsidTr="00DA30F7">
        <w:trPr>
          <w:cantSplit/>
        </w:trPr>
        <w:tc>
          <w:tcPr>
            <w:tcW w:w="2700" w:type="dxa"/>
          </w:tcPr>
          <w:p w14:paraId="03ABFFD6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890" w:type="dxa"/>
          </w:tcPr>
          <w:p w14:paraId="03ABFFD7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500" w:type="dxa"/>
          </w:tcPr>
          <w:p w14:paraId="03ABFFD8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4E1B86" w14:paraId="03ABFFDD" w14:textId="77777777" w:rsidTr="00DA30F7">
        <w:trPr>
          <w:cantSplit/>
        </w:trPr>
        <w:tc>
          <w:tcPr>
            <w:tcW w:w="2700" w:type="dxa"/>
          </w:tcPr>
          <w:p w14:paraId="03ABFFDA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890" w:type="dxa"/>
          </w:tcPr>
          <w:p w14:paraId="03ABFFDB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500" w:type="dxa"/>
          </w:tcPr>
          <w:p w14:paraId="03ABFFDC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4E1B86" w14:paraId="03ABFFE1" w14:textId="77777777" w:rsidTr="00DA30F7">
        <w:trPr>
          <w:cantSplit/>
        </w:trPr>
        <w:tc>
          <w:tcPr>
            <w:tcW w:w="2700" w:type="dxa"/>
          </w:tcPr>
          <w:p w14:paraId="03ABFFDE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890" w:type="dxa"/>
          </w:tcPr>
          <w:p w14:paraId="03ABFFDF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500" w:type="dxa"/>
          </w:tcPr>
          <w:p w14:paraId="03ABFFE0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being adjusted, preceding significant digits with zeros.</w:t>
            </w:r>
            <w:r>
              <w:rPr>
                <w:rStyle w:val="FootnoteReference"/>
              </w:rPr>
              <w:footnoteReference w:id="1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</w:rPr>
              <w:footnoteReference w:id="2"/>
            </w:r>
          </w:p>
        </w:tc>
      </w:tr>
      <w:tr w:rsidR="004E1B86" w14:paraId="03ABFFE5" w14:textId="77777777" w:rsidTr="00DA30F7">
        <w:trPr>
          <w:cantSplit/>
        </w:trPr>
        <w:tc>
          <w:tcPr>
            <w:tcW w:w="2700" w:type="dxa"/>
          </w:tcPr>
          <w:p w14:paraId="03ABFFE2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890" w:type="dxa"/>
          </w:tcPr>
          <w:p w14:paraId="03ABFFE3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500" w:type="dxa"/>
          </w:tcPr>
          <w:p w14:paraId="03ABFFE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document number under which the materiel originally was issued.</w:t>
            </w:r>
          </w:p>
        </w:tc>
      </w:tr>
      <w:tr w:rsidR="004E1B86" w14:paraId="03ABFFE9" w14:textId="77777777" w:rsidTr="00523D6F">
        <w:trPr>
          <w:cantSplit/>
          <w:trHeight w:val="1008"/>
        </w:trPr>
        <w:tc>
          <w:tcPr>
            <w:tcW w:w="2700" w:type="dxa"/>
          </w:tcPr>
          <w:p w14:paraId="03ABFFE6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1890" w:type="dxa"/>
          </w:tcPr>
          <w:p w14:paraId="03ABFFE7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500" w:type="dxa"/>
          </w:tcPr>
          <w:p w14:paraId="03ABFFE8" w14:textId="5D2F8F8C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</w:rPr>
              <w:footnoteReference w:id="3"/>
            </w:r>
          </w:p>
        </w:tc>
      </w:tr>
      <w:tr w:rsidR="004E1B86" w14:paraId="03ABFFED" w14:textId="77777777" w:rsidTr="00DA30F7">
        <w:trPr>
          <w:cantSplit/>
        </w:trPr>
        <w:tc>
          <w:tcPr>
            <w:tcW w:w="2700" w:type="dxa"/>
          </w:tcPr>
          <w:p w14:paraId="03ABFFEA" w14:textId="1C3FB4B1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523D6F">
              <w:rPr>
                <w:szCs w:val="24"/>
              </w:rPr>
              <w:t xml:space="preserve">Code </w:t>
            </w:r>
            <w:r>
              <w:rPr>
                <w:szCs w:val="24"/>
              </w:rPr>
              <w:t>(Losing)</w:t>
            </w:r>
          </w:p>
        </w:tc>
        <w:tc>
          <w:tcPr>
            <w:tcW w:w="1890" w:type="dxa"/>
          </w:tcPr>
          <w:p w14:paraId="03ABFFEB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45-47</w:t>
            </w:r>
          </w:p>
        </w:tc>
        <w:tc>
          <w:tcPr>
            <w:tcW w:w="4500" w:type="dxa"/>
          </w:tcPr>
          <w:p w14:paraId="03ABFFEC" w14:textId="4D0FAF1B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23D6F">
              <w:rPr>
                <w:szCs w:val="24"/>
              </w:rPr>
              <w:t>RIC</w:t>
            </w:r>
            <w:r>
              <w:rPr>
                <w:szCs w:val="24"/>
              </w:rPr>
              <w:t xml:space="preserve"> of </w:t>
            </w:r>
            <w:r w:rsidR="00577001">
              <w:rPr>
                <w:szCs w:val="24"/>
              </w:rPr>
              <w:t xml:space="preserve">Service </w:t>
            </w:r>
            <w:r>
              <w:rPr>
                <w:szCs w:val="24"/>
              </w:rPr>
              <w:t>from which materiel is being transferred.</w:t>
            </w:r>
          </w:p>
        </w:tc>
      </w:tr>
      <w:tr w:rsidR="004E1B86" w14:paraId="03ABFFF1" w14:textId="77777777" w:rsidTr="00DA30F7">
        <w:trPr>
          <w:cantSplit/>
        </w:trPr>
        <w:tc>
          <w:tcPr>
            <w:tcW w:w="2700" w:type="dxa"/>
          </w:tcPr>
          <w:p w14:paraId="03ABFFEE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890" w:type="dxa"/>
          </w:tcPr>
          <w:p w14:paraId="03ABFFEF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48-50</w:t>
            </w:r>
          </w:p>
        </w:tc>
        <w:tc>
          <w:tcPr>
            <w:tcW w:w="4500" w:type="dxa"/>
          </w:tcPr>
          <w:p w14:paraId="03ABFFF0" w14:textId="34556EA2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>, enter data prescribed by the</w:t>
            </w:r>
            <w:r w:rsidR="00577001">
              <w:rPr>
                <w:szCs w:val="24"/>
              </w:rPr>
              <w:t xml:space="preserve"> Service</w:t>
            </w:r>
            <w:r>
              <w:rPr>
                <w:szCs w:val="24"/>
              </w:rPr>
              <w:t>.  For inter-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 xml:space="preserve"> use, leave blank.</w:t>
            </w:r>
          </w:p>
        </w:tc>
      </w:tr>
      <w:tr w:rsidR="004E1B86" w14:paraId="03ABFFF5" w14:textId="77777777" w:rsidTr="00DA30F7">
        <w:trPr>
          <w:cantSplit/>
        </w:trPr>
        <w:tc>
          <w:tcPr>
            <w:tcW w:w="2700" w:type="dxa"/>
          </w:tcPr>
          <w:p w14:paraId="03ABFFF2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90" w:type="dxa"/>
          </w:tcPr>
          <w:p w14:paraId="03ABFFF3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500" w:type="dxa"/>
          </w:tcPr>
          <w:p w14:paraId="03ABFFF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4E1B86" w14:paraId="03ABFFF9" w14:textId="77777777" w:rsidTr="00DA30F7">
        <w:trPr>
          <w:cantSplit/>
        </w:trPr>
        <w:tc>
          <w:tcPr>
            <w:tcW w:w="2700" w:type="dxa"/>
          </w:tcPr>
          <w:p w14:paraId="03ABFFF6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Fund </w:t>
            </w:r>
          </w:p>
        </w:tc>
        <w:tc>
          <w:tcPr>
            <w:tcW w:w="1890" w:type="dxa"/>
          </w:tcPr>
          <w:p w14:paraId="03ABFFF7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500" w:type="dxa"/>
          </w:tcPr>
          <w:p w14:paraId="03ABFFF8" w14:textId="7C46536B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 for intra-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 xml:space="preserve"> use.  For inter-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 xml:space="preserve"> use, leave blank.</w:t>
            </w:r>
          </w:p>
        </w:tc>
      </w:tr>
      <w:tr w:rsidR="004E1B86" w14:paraId="03ABFFFE" w14:textId="77777777" w:rsidTr="00DA30F7">
        <w:trPr>
          <w:cantSplit/>
        </w:trPr>
        <w:tc>
          <w:tcPr>
            <w:tcW w:w="2700" w:type="dxa"/>
          </w:tcPr>
          <w:p w14:paraId="03ABFFFA" w14:textId="77777777" w:rsidR="004E1B86" w:rsidRDefault="004E1B86" w:rsidP="00200B23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lastRenderedPageBreak/>
              <w:t>Distribution</w:t>
            </w:r>
          </w:p>
          <w:p w14:paraId="03ABFFFB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03ABFFFC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500" w:type="dxa"/>
          </w:tcPr>
          <w:p w14:paraId="03ABFFFD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distribution code if stocks are segregated and maintained by codes reflected in the distribution field; otherwise, leave blank. </w:t>
            </w:r>
          </w:p>
        </w:tc>
      </w:tr>
      <w:tr w:rsidR="004E1B86" w14:paraId="03AC0003" w14:textId="77777777" w:rsidTr="00DA30F7">
        <w:trPr>
          <w:cantSplit/>
        </w:trPr>
        <w:tc>
          <w:tcPr>
            <w:tcW w:w="2700" w:type="dxa"/>
          </w:tcPr>
          <w:p w14:paraId="03ABFFFF" w14:textId="77777777" w:rsidR="004E1B86" w:rsidRDefault="004E1B86" w:rsidP="00200B23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Project</w:t>
            </w:r>
          </w:p>
          <w:p w14:paraId="03AC0000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03AC0001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500" w:type="dxa"/>
          </w:tcPr>
          <w:p w14:paraId="03AC0002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 if stocks are segregated and maintained by codes reflected in the project field; otherwise, leave blank.</w:t>
            </w:r>
          </w:p>
        </w:tc>
      </w:tr>
      <w:tr w:rsidR="004E1B86" w14:paraId="03AC0007" w14:textId="77777777" w:rsidTr="00DA30F7">
        <w:trPr>
          <w:cantSplit/>
        </w:trPr>
        <w:tc>
          <w:tcPr>
            <w:tcW w:w="2700" w:type="dxa"/>
          </w:tcPr>
          <w:p w14:paraId="03AC000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90" w:type="dxa"/>
          </w:tcPr>
          <w:p w14:paraId="03AC0005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60-64</w:t>
            </w:r>
          </w:p>
        </w:tc>
        <w:tc>
          <w:tcPr>
            <w:tcW w:w="4500" w:type="dxa"/>
          </w:tcPr>
          <w:p w14:paraId="03AC0006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4E1B86" w14:paraId="03AC000B" w14:textId="77777777" w:rsidTr="00DA30F7">
        <w:trPr>
          <w:cantSplit/>
        </w:trPr>
        <w:tc>
          <w:tcPr>
            <w:tcW w:w="2700" w:type="dxa"/>
          </w:tcPr>
          <w:p w14:paraId="03AC0008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 (TO)</w:t>
            </w:r>
          </w:p>
        </w:tc>
        <w:tc>
          <w:tcPr>
            <w:tcW w:w="1890" w:type="dxa"/>
          </w:tcPr>
          <w:p w14:paraId="03AC0009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500" w:type="dxa"/>
          </w:tcPr>
          <w:p w14:paraId="03AC000A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 ownership code.</w:t>
            </w:r>
          </w:p>
        </w:tc>
      </w:tr>
      <w:tr w:rsidR="004E1B86" w14:paraId="03AC000F" w14:textId="77777777" w:rsidTr="00DA30F7">
        <w:trPr>
          <w:cantSplit/>
        </w:trPr>
        <w:tc>
          <w:tcPr>
            <w:tcW w:w="2700" w:type="dxa"/>
          </w:tcPr>
          <w:p w14:paraId="03AC000C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Supply Condition </w:t>
            </w:r>
          </w:p>
        </w:tc>
        <w:tc>
          <w:tcPr>
            <w:tcW w:w="1890" w:type="dxa"/>
          </w:tcPr>
          <w:p w14:paraId="03AC000D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4500" w:type="dxa"/>
          </w:tcPr>
          <w:p w14:paraId="03AC000E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code.</w:t>
            </w:r>
          </w:p>
        </w:tc>
      </w:tr>
      <w:tr w:rsidR="004E1B86" w14:paraId="03AC0013" w14:textId="77777777" w:rsidTr="00DA30F7">
        <w:trPr>
          <w:cantSplit/>
        </w:trPr>
        <w:tc>
          <w:tcPr>
            <w:tcW w:w="2700" w:type="dxa"/>
          </w:tcPr>
          <w:p w14:paraId="03AC0010" w14:textId="5303A352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 </w:t>
            </w:r>
            <w:r w:rsidR="00523D6F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1890" w:type="dxa"/>
          </w:tcPr>
          <w:p w14:paraId="03AC0011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500" w:type="dxa"/>
          </w:tcPr>
          <w:p w14:paraId="03AC0012" w14:textId="30FB2F40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23D6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at which item is stored.</w:t>
            </w:r>
          </w:p>
        </w:tc>
      </w:tr>
      <w:tr w:rsidR="004E1B86" w14:paraId="03AC0017" w14:textId="77777777" w:rsidTr="00DA30F7">
        <w:trPr>
          <w:cantSplit/>
        </w:trPr>
        <w:tc>
          <w:tcPr>
            <w:tcW w:w="2700" w:type="dxa"/>
          </w:tcPr>
          <w:p w14:paraId="03AC001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 (FROM)</w:t>
            </w:r>
          </w:p>
        </w:tc>
        <w:tc>
          <w:tcPr>
            <w:tcW w:w="1890" w:type="dxa"/>
          </w:tcPr>
          <w:p w14:paraId="03AC0015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500" w:type="dxa"/>
          </w:tcPr>
          <w:p w14:paraId="03AC0016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FROM ownership code.</w:t>
            </w:r>
          </w:p>
        </w:tc>
      </w:tr>
      <w:tr w:rsidR="004E1B86" w14:paraId="03AC001B" w14:textId="77777777" w:rsidTr="00DA30F7">
        <w:trPr>
          <w:cantSplit/>
        </w:trPr>
        <w:tc>
          <w:tcPr>
            <w:tcW w:w="2700" w:type="dxa"/>
          </w:tcPr>
          <w:p w14:paraId="03AC0018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1890" w:type="dxa"/>
          </w:tcPr>
          <w:p w14:paraId="03AC0019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500" w:type="dxa"/>
          </w:tcPr>
          <w:p w14:paraId="03AC001A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the supply condition code entered in record position 66; otherwise leave blank.</w:t>
            </w:r>
          </w:p>
        </w:tc>
      </w:tr>
      <w:tr w:rsidR="004E1B86" w14:paraId="03AC001F" w14:textId="77777777" w:rsidTr="00DA30F7">
        <w:trPr>
          <w:cantSplit/>
        </w:trPr>
        <w:tc>
          <w:tcPr>
            <w:tcW w:w="2700" w:type="dxa"/>
          </w:tcPr>
          <w:p w14:paraId="03AC001C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1890" w:type="dxa"/>
          </w:tcPr>
          <w:p w14:paraId="03AC001D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500" w:type="dxa"/>
          </w:tcPr>
          <w:p w14:paraId="03AC001E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management code; otherwise, leave blank. </w:t>
            </w:r>
          </w:p>
        </w:tc>
      </w:tr>
      <w:tr w:rsidR="004E1B86" w14:paraId="03AC0023" w14:textId="77777777" w:rsidTr="00DA30F7">
        <w:trPr>
          <w:cantSplit/>
        </w:trPr>
        <w:tc>
          <w:tcPr>
            <w:tcW w:w="2700" w:type="dxa"/>
          </w:tcPr>
          <w:p w14:paraId="03AC0020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</w:t>
            </w:r>
          </w:p>
        </w:tc>
        <w:tc>
          <w:tcPr>
            <w:tcW w:w="1890" w:type="dxa"/>
          </w:tcPr>
          <w:p w14:paraId="03AC0021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500" w:type="dxa"/>
          </w:tcPr>
          <w:p w14:paraId="03AC0022" w14:textId="3F0A86A0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ordinal day of the calendar year on which the adjustment is processed to the </w:t>
            </w:r>
            <w:r w:rsidR="00577001">
              <w:rPr>
                <w:szCs w:val="24"/>
              </w:rPr>
              <w:t>Single Manager for Conventional Ammunition (</w:t>
            </w:r>
            <w:r>
              <w:rPr>
                <w:szCs w:val="24"/>
              </w:rPr>
              <w:t>SMCA</w:t>
            </w:r>
            <w:r w:rsidR="00577001">
              <w:rPr>
                <w:szCs w:val="24"/>
              </w:rPr>
              <w:t>)</w:t>
            </w:r>
            <w:r>
              <w:rPr>
                <w:szCs w:val="24"/>
              </w:rPr>
              <w:t xml:space="preserve"> record.</w:t>
            </w:r>
          </w:p>
        </w:tc>
      </w:tr>
      <w:tr w:rsidR="004E1B86" w14:paraId="03AC0027" w14:textId="77777777" w:rsidTr="00DA30F7">
        <w:trPr>
          <w:cantSplit/>
        </w:trPr>
        <w:tc>
          <w:tcPr>
            <w:tcW w:w="2700" w:type="dxa"/>
          </w:tcPr>
          <w:p w14:paraId="03AC0024" w14:textId="77777777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890" w:type="dxa"/>
          </w:tcPr>
          <w:p w14:paraId="03AC0025" w14:textId="77777777" w:rsidR="004E1B86" w:rsidRDefault="004E1B86" w:rsidP="00200B2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500" w:type="dxa"/>
          </w:tcPr>
          <w:p w14:paraId="03AC0026" w14:textId="1C2EE16A" w:rsidR="004E1B86" w:rsidRDefault="004E1B86" w:rsidP="00200B2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 xml:space="preserve"> use, enter data prescribed by the</w:t>
            </w:r>
            <w:r w:rsidR="00577001">
              <w:rPr>
                <w:szCs w:val="24"/>
              </w:rPr>
              <w:t xml:space="preserve"> Service</w:t>
            </w:r>
            <w:r>
              <w:rPr>
                <w:szCs w:val="24"/>
              </w:rPr>
              <w:t>.  For inter-</w:t>
            </w:r>
            <w:r w:rsidR="00577001">
              <w:rPr>
                <w:szCs w:val="24"/>
              </w:rPr>
              <w:t>Service</w:t>
            </w:r>
            <w:r>
              <w:rPr>
                <w:szCs w:val="24"/>
              </w:rPr>
              <w:t xml:space="preserve"> use, leave blank.</w:t>
            </w:r>
          </w:p>
        </w:tc>
      </w:tr>
    </w:tbl>
    <w:p w14:paraId="03AC0028" w14:textId="77777777" w:rsidR="004E1B86" w:rsidRDefault="004E1B86">
      <w:pPr>
        <w:pStyle w:val="Heading2"/>
      </w:pPr>
    </w:p>
    <w:sectPr w:rsidR="004E1B86" w:rsidSect="00DA30F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C002B" w14:textId="77777777" w:rsidR="00E6184F" w:rsidRDefault="00E6184F">
      <w:r>
        <w:separator/>
      </w:r>
    </w:p>
  </w:endnote>
  <w:endnote w:type="continuationSeparator" w:id="0">
    <w:p w14:paraId="03AC002C" w14:textId="77777777" w:rsidR="00E6184F" w:rsidRDefault="00E6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0031" w14:textId="77777777" w:rsidR="00D77E3D" w:rsidRDefault="008458D5" w:rsidP="004E1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7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E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AC0032" w14:textId="77777777" w:rsidR="004E1B86" w:rsidRDefault="004E1B86">
    <w:pPr>
      <w:pStyle w:val="Footer"/>
      <w:jc w:val="center"/>
      <w:rPr>
        <w:b/>
      </w:rPr>
    </w:pPr>
    <w:r>
      <w:rPr>
        <w:b/>
      </w:rPr>
      <w:t>AP3.9-</w:t>
    </w:r>
  </w:p>
  <w:p w14:paraId="03AC0033" w14:textId="77777777" w:rsidR="004E1B86" w:rsidRDefault="004E1B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0034" w14:textId="464F2B7B" w:rsidR="00D77E3D" w:rsidRPr="00D77E3D" w:rsidRDefault="00D77E3D" w:rsidP="004E1B8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AP3.9-</w:t>
    </w:r>
    <w:r w:rsidR="008458D5" w:rsidRPr="00D77E3D">
      <w:rPr>
        <w:rStyle w:val="PageNumber"/>
        <w:b w:val="0"/>
      </w:rPr>
      <w:fldChar w:fldCharType="begin"/>
    </w:r>
    <w:r w:rsidRPr="00D77E3D">
      <w:rPr>
        <w:rStyle w:val="PageNumber"/>
        <w:b w:val="0"/>
      </w:rPr>
      <w:instrText xml:space="preserve">PAGE  </w:instrText>
    </w:r>
    <w:r w:rsidR="008458D5" w:rsidRPr="00D77E3D">
      <w:rPr>
        <w:rStyle w:val="PageNumber"/>
        <w:b w:val="0"/>
      </w:rPr>
      <w:fldChar w:fldCharType="separate"/>
    </w:r>
    <w:r w:rsidR="002D392D">
      <w:rPr>
        <w:rStyle w:val="PageNumber"/>
        <w:b w:val="0"/>
        <w:noProof/>
      </w:rPr>
      <w:t>1</w:t>
    </w:r>
    <w:r w:rsidR="008458D5" w:rsidRPr="00D77E3D">
      <w:rPr>
        <w:rStyle w:val="PageNumber"/>
        <w:b w:val="0"/>
      </w:rPr>
      <w:fldChar w:fldCharType="end"/>
    </w:r>
  </w:p>
  <w:p w14:paraId="03AC0035" w14:textId="4F2FB7B6" w:rsidR="004E1B86" w:rsidRPr="00D77E3D" w:rsidRDefault="003F3CA0" w:rsidP="00D77E3D">
    <w:pPr>
      <w:pStyle w:val="Footer"/>
      <w:tabs>
        <w:tab w:val="clear" w:pos="4320"/>
        <w:tab w:val="clear" w:pos="8640"/>
      </w:tabs>
      <w:jc w:val="right"/>
    </w:pPr>
    <w:r>
      <w:t>APPENDIX 3</w:t>
    </w:r>
    <w:r w:rsidR="00563790">
      <w:t>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0029" w14:textId="77777777" w:rsidR="00E6184F" w:rsidRDefault="00E6184F">
      <w:r>
        <w:separator/>
      </w:r>
    </w:p>
  </w:footnote>
  <w:footnote w:type="continuationSeparator" w:id="0">
    <w:p w14:paraId="03AC002A" w14:textId="77777777" w:rsidR="00E6184F" w:rsidRDefault="00E6184F">
      <w:r>
        <w:continuationSeparator/>
      </w:r>
    </w:p>
  </w:footnote>
  <w:footnote w:id="1">
    <w:p w14:paraId="03AC0038" w14:textId="3DC027C6" w:rsidR="004E1B86" w:rsidRDefault="004E1B86">
      <w:pPr>
        <w:rPr>
          <w:sz w:val="20"/>
        </w:rPr>
      </w:pPr>
      <w:r>
        <w:rPr>
          <w:rStyle w:val="FootnoteReference"/>
          <w:sz w:val="20"/>
        </w:rPr>
        <w:footnoteRef/>
      </w:r>
      <w:r w:rsidR="000408A3">
        <w:rPr>
          <w:sz w:val="20"/>
        </w:rPr>
        <w:t xml:space="preserve"> </w:t>
      </w:r>
      <w:r>
        <w:rPr>
          <w:sz w:val="20"/>
        </w:rPr>
        <w:t xml:space="preserve">See Appendix AP3 - Formats Introduction, Paragraph AP3.3.1. </w:t>
      </w:r>
    </w:p>
    <w:p w14:paraId="03AC0039" w14:textId="77777777" w:rsidR="004E1B86" w:rsidRDefault="004E1B86">
      <w:pPr>
        <w:rPr>
          <w:sz w:val="8"/>
          <w:szCs w:val="24"/>
        </w:rPr>
      </w:pPr>
    </w:p>
  </w:footnote>
  <w:footnote w:id="2">
    <w:p w14:paraId="03AC003A" w14:textId="42865B0D" w:rsidR="004E1B86" w:rsidRDefault="004E1B86">
      <w:pPr>
        <w:rPr>
          <w:sz w:val="20"/>
        </w:rPr>
      </w:pPr>
      <w:r>
        <w:rPr>
          <w:rStyle w:val="FootnoteReference"/>
          <w:sz w:val="20"/>
        </w:rPr>
        <w:footnoteRef/>
      </w:r>
      <w:r w:rsidR="000408A3">
        <w:rPr>
          <w:sz w:val="20"/>
        </w:rPr>
        <w:t xml:space="preserve"> </w:t>
      </w:r>
      <w:r w:rsidR="003F3CA0">
        <w:rPr>
          <w:sz w:val="20"/>
        </w:rPr>
        <w:t>See Appendix AP</w:t>
      </w:r>
      <w:r>
        <w:rPr>
          <w:sz w:val="20"/>
        </w:rPr>
        <w:t xml:space="preserve">3 - Formats Introduction, Paragraph AP3.3.2. </w:t>
      </w:r>
    </w:p>
    <w:p w14:paraId="03AC003B" w14:textId="77777777" w:rsidR="004E1B86" w:rsidRDefault="004E1B86">
      <w:pPr>
        <w:rPr>
          <w:sz w:val="8"/>
          <w:szCs w:val="24"/>
        </w:rPr>
      </w:pPr>
    </w:p>
  </w:footnote>
  <w:footnote w:id="3">
    <w:p w14:paraId="03AC003C" w14:textId="60EE379F" w:rsidR="004E1B86" w:rsidRDefault="004E1B86">
      <w:pPr>
        <w:rPr>
          <w:szCs w:val="24"/>
        </w:rPr>
      </w:pPr>
      <w:r>
        <w:rPr>
          <w:rStyle w:val="FootnoteReference"/>
          <w:sz w:val="20"/>
        </w:rPr>
        <w:footnoteRef/>
      </w:r>
      <w:r w:rsidR="000408A3">
        <w:rPr>
          <w:sz w:val="20"/>
        </w:rPr>
        <w:t xml:space="preserve"> </w:t>
      </w:r>
      <w:r w:rsidR="003F3CA0">
        <w:rPr>
          <w:sz w:val="20"/>
        </w:rPr>
        <w:t>See Appendix AP</w:t>
      </w:r>
      <w:r>
        <w:rPr>
          <w:sz w:val="20"/>
        </w:rPr>
        <w:t>3 - Formats Introduction, Paragraph AP3.3.3.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002D" w14:textId="77777777" w:rsidR="004E1B86" w:rsidRDefault="004E1B86">
    <w:pPr>
      <w:rPr>
        <w:i/>
      </w:rPr>
    </w:pPr>
  </w:p>
  <w:p w14:paraId="03AC002E" w14:textId="77777777" w:rsidR="004E1B86" w:rsidRDefault="004E1B86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03AC002F" w14:textId="77777777" w:rsidR="004E1B86" w:rsidRDefault="004E1B86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CA77D" w14:textId="3A39A9B2" w:rsidR="00EC4E4E" w:rsidRDefault="00EC4E4E" w:rsidP="00EC4E4E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2D392D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3AC0030" w14:textId="6F7F6601" w:rsidR="004E1B86" w:rsidRPr="00523D6F" w:rsidRDefault="00EC4E4E" w:rsidP="00EC4E4E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99E66C2"/>
    <w:lvl w:ilvl="0">
      <w:start w:val="1"/>
      <w:numFmt w:val="none"/>
      <w:suff w:val="nothing"/>
      <w:lvlText w:val="AP3.9  APPENDIX 3.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3D"/>
    <w:rsid w:val="000240CD"/>
    <w:rsid w:val="000408A3"/>
    <w:rsid w:val="00200B23"/>
    <w:rsid w:val="002D392D"/>
    <w:rsid w:val="003F3CA0"/>
    <w:rsid w:val="00402271"/>
    <w:rsid w:val="004E1B86"/>
    <w:rsid w:val="00523D6F"/>
    <w:rsid w:val="00563790"/>
    <w:rsid w:val="00577001"/>
    <w:rsid w:val="00733DDD"/>
    <w:rsid w:val="008458D5"/>
    <w:rsid w:val="009536E7"/>
    <w:rsid w:val="009E7074"/>
    <w:rsid w:val="00A769C7"/>
    <w:rsid w:val="00B73E6E"/>
    <w:rsid w:val="00D046AD"/>
    <w:rsid w:val="00D2287A"/>
    <w:rsid w:val="00D335FB"/>
    <w:rsid w:val="00D76571"/>
    <w:rsid w:val="00D77E3D"/>
    <w:rsid w:val="00DA30F7"/>
    <w:rsid w:val="00E6184F"/>
    <w:rsid w:val="00EC4E4E"/>
    <w:rsid w:val="00F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BFFBF"/>
  <w15:docId w15:val="{DEC3E773-AE6D-407D-841F-84D54EA3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D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458D5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458D5"/>
    <w:pPr>
      <w:spacing w:before="60" w:after="120"/>
      <w:outlineLvl w:val="1"/>
    </w:pPr>
  </w:style>
  <w:style w:type="paragraph" w:styleId="Heading3">
    <w:name w:val="heading 3"/>
    <w:basedOn w:val="Normal"/>
    <w:qFormat/>
    <w:rsid w:val="008458D5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458D5"/>
    <w:pPr>
      <w:spacing w:before="60" w:after="120"/>
      <w:outlineLvl w:val="3"/>
    </w:pPr>
  </w:style>
  <w:style w:type="paragraph" w:styleId="Heading5">
    <w:name w:val="heading 5"/>
    <w:basedOn w:val="Normal"/>
    <w:qFormat/>
    <w:rsid w:val="008458D5"/>
    <w:pPr>
      <w:spacing w:before="60" w:after="120"/>
      <w:outlineLvl w:val="4"/>
    </w:pPr>
  </w:style>
  <w:style w:type="paragraph" w:styleId="Heading6">
    <w:name w:val="heading 6"/>
    <w:basedOn w:val="Normal"/>
    <w:qFormat/>
    <w:rsid w:val="008458D5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458D5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458D5"/>
    <w:pPr>
      <w:spacing w:before="60" w:after="120"/>
      <w:outlineLvl w:val="7"/>
    </w:pPr>
  </w:style>
  <w:style w:type="paragraph" w:styleId="Heading9">
    <w:name w:val="heading 9"/>
    <w:basedOn w:val="Normal"/>
    <w:qFormat/>
    <w:rsid w:val="008458D5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8458D5"/>
    <w:rPr>
      <w:vertAlign w:val="superscript"/>
    </w:rPr>
  </w:style>
  <w:style w:type="character" w:styleId="FootnoteReference">
    <w:name w:val="footnote reference"/>
    <w:semiHidden/>
    <w:rsid w:val="008458D5"/>
    <w:rPr>
      <w:vertAlign w:val="superscript"/>
    </w:rPr>
  </w:style>
  <w:style w:type="character" w:styleId="PageNumber">
    <w:name w:val="page number"/>
    <w:rsid w:val="008458D5"/>
    <w:rPr>
      <w:rFonts w:ascii="Arial" w:hAnsi="Arial"/>
      <w:b/>
      <w:sz w:val="24"/>
    </w:rPr>
  </w:style>
  <w:style w:type="paragraph" w:styleId="Footer">
    <w:name w:val="footer"/>
    <w:basedOn w:val="Normal"/>
    <w:rsid w:val="008458D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8458D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458D5"/>
    <w:rPr>
      <w:sz w:val="20"/>
    </w:rPr>
  </w:style>
  <w:style w:type="paragraph" w:customStyle="1" w:styleId="SubTitle">
    <w:name w:val="Sub Title"/>
    <w:basedOn w:val="Title"/>
    <w:rsid w:val="008458D5"/>
    <w:rPr>
      <w:u w:val="single"/>
    </w:rPr>
  </w:style>
  <w:style w:type="paragraph" w:styleId="Title">
    <w:name w:val="Title"/>
    <w:basedOn w:val="Normal"/>
    <w:next w:val="Header"/>
    <w:qFormat/>
    <w:rsid w:val="008458D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458D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458D5"/>
    <w:pPr>
      <w:spacing w:after="160"/>
      <w:ind w:left="1440"/>
    </w:pPr>
  </w:style>
  <w:style w:type="paragraph" w:styleId="BodyText">
    <w:name w:val="Body Text"/>
    <w:basedOn w:val="Normal"/>
    <w:rsid w:val="008458D5"/>
    <w:pPr>
      <w:spacing w:after="120"/>
    </w:pPr>
  </w:style>
  <w:style w:type="paragraph" w:styleId="ListBullet">
    <w:name w:val="List Bullet"/>
    <w:basedOn w:val="Normal"/>
    <w:rsid w:val="008458D5"/>
    <w:pPr>
      <w:spacing w:after="120"/>
      <w:ind w:left="360" w:hanging="360"/>
    </w:pPr>
  </w:style>
  <w:style w:type="paragraph" w:styleId="ListBullet2">
    <w:name w:val="List Bullet 2"/>
    <w:basedOn w:val="Normal"/>
    <w:rsid w:val="008458D5"/>
    <w:pPr>
      <w:ind w:left="720" w:hanging="360"/>
    </w:pPr>
  </w:style>
  <w:style w:type="paragraph" w:styleId="ListBullet3">
    <w:name w:val="List Bullet 3"/>
    <w:basedOn w:val="Normal"/>
    <w:rsid w:val="008458D5"/>
    <w:pPr>
      <w:ind w:left="1080" w:hanging="360"/>
    </w:pPr>
  </w:style>
  <w:style w:type="paragraph" w:styleId="ListNumber">
    <w:name w:val="List Number"/>
    <w:basedOn w:val="Normal"/>
    <w:rsid w:val="008458D5"/>
    <w:pPr>
      <w:ind w:left="360" w:hanging="360"/>
    </w:pPr>
  </w:style>
  <w:style w:type="paragraph" w:styleId="ListNumber2">
    <w:name w:val="List Number 2"/>
    <w:basedOn w:val="Normal"/>
    <w:rsid w:val="008458D5"/>
    <w:pPr>
      <w:ind w:left="720" w:hanging="360"/>
    </w:pPr>
  </w:style>
  <w:style w:type="paragraph" w:styleId="ListNumber3">
    <w:name w:val="List Number 3"/>
    <w:basedOn w:val="Normal"/>
    <w:rsid w:val="008458D5"/>
    <w:pPr>
      <w:ind w:left="1080" w:hanging="360"/>
    </w:pPr>
  </w:style>
  <w:style w:type="paragraph" w:styleId="DocumentMap">
    <w:name w:val="Document Map"/>
    <w:basedOn w:val="Normal"/>
    <w:semiHidden/>
    <w:rsid w:val="008458D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458D5"/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EC4E4E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C4AD4-892E-418C-979C-C44FA0363D5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30CDF3-E8C8-4CB5-AD44-45D833A78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CE955-A07C-436B-8D9F-B486AB685B0F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AP3.9  DAS inventory adjustment – dual (ownership transfer)</vt:lpstr>
    </vt:vector>
  </TitlesOfParts>
  <Company>DLA Logistics Management Standards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AP3.9  DAS inventory adjustment – dual (ownership transfer)</dc:title>
  <dc:subject>INVENTORY ADJUSTMENT – DUAL</dc:subject>
  <dc:creator>Mary Jane Johnson</dc:creator>
  <cp:keywords/>
  <dc:description/>
  <cp:lastModifiedBy>Nguyen, Bao X CTR DLA INFO OPERATIONS (USA)</cp:lastModifiedBy>
  <cp:revision>12</cp:revision>
  <cp:lastPrinted>2012-05-02T12:27:00Z</cp:lastPrinted>
  <dcterms:created xsi:type="dcterms:W3CDTF">2009-12-16T17:34:00Z</dcterms:created>
  <dcterms:modified xsi:type="dcterms:W3CDTF">2019-11-26T19:48:00Z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2325000</vt:r8>
  </property>
</Properties>
</file>