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AFCDA" w14:textId="77777777" w:rsidR="00E31457" w:rsidRPr="00AB3344" w:rsidRDefault="00DF5E08" w:rsidP="000D3190">
      <w:pPr>
        <w:spacing w:after="240"/>
        <w:jc w:val="center"/>
        <w:rPr>
          <w:b/>
          <w:sz w:val="44"/>
          <w:szCs w:val="44"/>
          <w:u w:val="single"/>
        </w:rPr>
      </w:pPr>
      <w:r w:rsidRPr="00AB3344">
        <w:rPr>
          <w:b/>
          <w:sz w:val="44"/>
          <w:szCs w:val="44"/>
          <w:u w:val="single"/>
        </w:rPr>
        <w:t>AP3.10.</w:t>
      </w:r>
      <w:r w:rsidR="00DD4035" w:rsidRPr="00AB3344">
        <w:rPr>
          <w:b/>
          <w:sz w:val="44"/>
          <w:szCs w:val="44"/>
          <w:u w:val="single"/>
        </w:rPr>
        <w:t xml:space="preserve"> APPENDIX 3.10</w:t>
      </w:r>
    </w:p>
    <w:p w14:paraId="792AFCDB" w14:textId="77777777" w:rsidR="00AF11B1" w:rsidRPr="002D3155" w:rsidRDefault="002D3155" w:rsidP="004C5929">
      <w:pPr>
        <w:spacing w:after="360"/>
        <w:jc w:val="center"/>
        <w:rPr>
          <w:b/>
          <w:sz w:val="36"/>
          <w:szCs w:val="36"/>
          <w:u w:val="single"/>
        </w:rPr>
      </w:pPr>
      <w:r w:rsidRPr="002D3155">
        <w:rPr>
          <w:b/>
          <w:sz w:val="36"/>
          <w:szCs w:val="36"/>
          <w:u w:val="single"/>
        </w:rPr>
        <w:t>DUE-IN –PROCUREMENT INSTRUMENT SOURCE</w:t>
      </w:r>
    </w:p>
    <w:tbl>
      <w:tblPr>
        <w:tblW w:w="972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10"/>
        <w:gridCol w:w="1980"/>
        <w:gridCol w:w="5130"/>
      </w:tblGrid>
      <w:tr w:rsidR="00AF11B1" w14:paraId="792AFCE3" w14:textId="77777777" w:rsidTr="00573CFA">
        <w:trPr>
          <w:cantSplit/>
          <w:tblHeader/>
        </w:trPr>
        <w:tc>
          <w:tcPr>
            <w:tcW w:w="2610" w:type="dxa"/>
            <w:vAlign w:val="bottom"/>
          </w:tcPr>
          <w:p w14:paraId="792AFCDD" w14:textId="77777777" w:rsidR="00AF11B1" w:rsidRDefault="00AF11B1" w:rsidP="000D3190">
            <w:pPr>
              <w:spacing w:after="120"/>
              <w:rPr>
                <w:b/>
                <w:bCs/>
                <w:szCs w:val="24"/>
              </w:rPr>
            </w:pPr>
          </w:p>
          <w:p w14:paraId="792AFCDE" w14:textId="77777777" w:rsidR="00AF11B1" w:rsidRDefault="00AF11B1" w:rsidP="000D3190">
            <w:pPr>
              <w:spacing w:after="120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FIELD LEGEND</w:t>
            </w:r>
          </w:p>
        </w:tc>
        <w:tc>
          <w:tcPr>
            <w:tcW w:w="1980" w:type="dxa"/>
          </w:tcPr>
          <w:p w14:paraId="792AFCDF" w14:textId="77777777" w:rsidR="00AF11B1" w:rsidRDefault="00AF11B1" w:rsidP="000D3190">
            <w:pPr>
              <w:spacing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RECORD</w:t>
            </w:r>
          </w:p>
          <w:p w14:paraId="792AFCE0" w14:textId="77777777" w:rsidR="00AF11B1" w:rsidRDefault="00AF11B1" w:rsidP="000D3190">
            <w:pPr>
              <w:spacing w:after="120"/>
              <w:jc w:val="center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POSITION(S)</w:t>
            </w:r>
          </w:p>
        </w:tc>
        <w:tc>
          <w:tcPr>
            <w:tcW w:w="5130" w:type="dxa"/>
            <w:vAlign w:val="bottom"/>
          </w:tcPr>
          <w:p w14:paraId="792AFCE1" w14:textId="77777777" w:rsidR="00AF11B1" w:rsidRDefault="00AF11B1" w:rsidP="000D3190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120"/>
              <w:rPr>
                <w:b/>
                <w:bCs/>
                <w:szCs w:val="24"/>
              </w:rPr>
            </w:pPr>
          </w:p>
          <w:p w14:paraId="792AFCE2" w14:textId="77777777" w:rsidR="00AF11B1" w:rsidRDefault="00AF11B1" w:rsidP="000D3190">
            <w:pPr>
              <w:spacing w:after="120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ENTRY AND INSTRUCTIONS</w:t>
            </w:r>
          </w:p>
        </w:tc>
      </w:tr>
      <w:tr w:rsidR="00AF11B1" w14:paraId="792AFCE7" w14:textId="77777777" w:rsidTr="00573CFA">
        <w:trPr>
          <w:cantSplit/>
        </w:trPr>
        <w:tc>
          <w:tcPr>
            <w:tcW w:w="2610" w:type="dxa"/>
          </w:tcPr>
          <w:p w14:paraId="792AFCE4" w14:textId="01EFC04B" w:rsidR="00AF11B1" w:rsidRDefault="00AF11B1" w:rsidP="00071A9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Document Identifier</w:t>
            </w:r>
            <w:r w:rsidR="000D3190">
              <w:rPr>
                <w:szCs w:val="24"/>
              </w:rPr>
              <w:t xml:space="preserve"> Code</w:t>
            </w:r>
          </w:p>
        </w:tc>
        <w:tc>
          <w:tcPr>
            <w:tcW w:w="1980" w:type="dxa"/>
          </w:tcPr>
          <w:p w14:paraId="792AFCE5" w14:textId="77777777" w:rsidR="00AF11B1" w:rsidRDefault="00AF11B1" w:rsidP="00071A9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1-3</w:t>
            </w:r>
          </w:p>
        </w:tc>
        <w:tc>
          <w:tcPr>
            <w:tcW w:w="5130" w:type="dxa"/>
          </w:tcPr>
          <w:p w14:paraId="792AFCE6" w14:textId="333B82D0" w:rsidR="00AF11B1" w:rsidRDefault="00AF11B1" w:rsidP="00071A9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appropriate </w:t>
            </w:r>
            <w:r w:rsidR="0047735A">
              <w:rPr>
                <w:szCs w:val="24"/>
              </w:rPr>
              <w:t>DIC</w:t>
            </w:r>
            <w:r>
              <w:rPr>
                <w:szCs w:val="24"/>
              </w:rPr>
              <w:t xml:space="preserve"> from the DD series (third digit codes in this series correspond to the third digit codes provided in the D4 series).</w:t>
            </w:r>
          </w:p>
        </w:tc>
      </w:tr>
      <w:tr w:rsidR="00AF11B1" w14:paraId="792AFCEB" w14:textId="77777777" w:rsidTr="00573CFA">
        <w:trPr>
          <w:cantSplit/>
        </w:trPr>
        <w:tc>
          <w:tcPr>
            <w:tcW w:w="2610" w:type="dxa"/>
          </w:tcPr>
          <w:p w14:paraId="792AFCE8" w14:textId="2BFC2FFB" w:rsidR="00AF11B1" w:rsidRDefault="00AF11B1" w:rsidP="00071A9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Identifier  </w:t>
            </w:r>
            <w:r w:rsidR="000D3190">
              <w:rPr>
                <w:szCs w:val="24"/>
              </w:rPr>
              <w:t xml:space="preserve">Code </w:t>
            </w:r>
            <w:r>
              <w:rPr>
                <w:szCs w:val="24"/>
              </w:rPr>
              <w:t>(TO)</w:t>
            </w:r>
          </w:p>
        </w:tc>
        <w:tc>
          <w:tcPr>
            <w:tcW w:w="1980" w:type="dxa"/>
          </w:tcPr>
          <w:p w14:paraId="792AFCE9" w14:textId="77777777" w:rsidR="00AF11B1" w:rsidRDefault="00AF11B1" w:rsidP="00071A9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4-6</w:t>
            </w:r>
          </w:p>
        </w:tc>
        <w:tc>
          <w:tcPr>
            <w:tcW w:w="5130" w:type="dxa"/>
          </w:tcPr>
          <w:p w14:paraId="792AFCEA" w14:textId="75C79551" w:rsidR="00AF11B1" w:rsidRDefault="00AF11B1" w:rsidP="00071A9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F816C2">
              <w:rPr>
                <w:szCs w:val="24"/>
              </w:rPr>
              <w:t>R</w:t>
            </w:r>
            <w:r w:rsidR="0047735A">
              <w:rPr>
                <w:szCs w:val="24"/>
              </w:rPr>
              <w:t>IC</w:t>
            </w:r>
            <w:r>
              <w:rPr>
                <w:szCs w:val="24"/>
              </w:rPr>
              <w:t xml:space="preserve"> of the</w:t>
            </w:r>
            <w:r w:rsidR="00BC1546">
              <w:rPr>
                <w:szCs w:val="24"/>
              </w:rPr>
              <w:t xml:space="preserve"> Inventory Control Point</w:t>
            </w:r>
            <w:r>
              <w:rPr>
                <w:szCs w:val="24"/>
              </w:rPr>
              <w:t xml:space="preserve"> </w:t>
            </w:r>
            <w:r w:rsidR="00BC1546">
              <w:rPr>
                <w:szCs w:val="24"/>
              </w:rPr>
              <w:t>(</w:t>
            </w:r>
            <w:r>
              <w:rPr>
                <w:szCs w:val="24"/>
              </w:rPr>
              <w:t>ICP</w:t>
            </w:r>
            <w:r w:rsidR="00BC1546">
              <w:rPr>
                <w:szCs w:val="24"/>
              </w:rPr>
              <w:t>)</w:t>
            </w:r>
            <w:r>
              <w:rPr>
                <w:szCs w:val="24"/>
              </w:rPr>
              <w:t xml:space="preserve"> to which this transaction is being forwarded.</w:t>
            </w:r>
          </w:p>
        </w:tc>
      </w:tr>
      <w:tr w:rsidR="00AF11B1" w14:paraId="792AFCEF" w14:textId="77777777" w:rsidTr="00573CFA">
        <w:trPr>
          <w:cantSplit/>
        </w:trPr>
        <w:tc>
          <w:tcPr>
            <w:tcW w:w="2610" w:type="dxa"/>
          </w:tcPr>
          <w:p w14:paraId="792AFCEC" w14:textId="77777777" w:rsidR="00AF11B1" w:rsidRDefault="00AF11B1" w:rsidP="00071A9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1980" w:type="dxa"/>
          </w:tcPr>
          <w:p w14:paraId="792AFCED" w14:textId="77777777" w:rsidR="00AF11B1" w:rsidRDefault="00AF11B1" w:rsidP="00071A9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130" w:type="dxa"/>
          </w:tcPr>
          <w:p w14:paraId="792AFCEE" w14:textId="77777777" w:rsidR="00AF11B1" w:rsidRDefault="00AF11B1" w:rsidP="00071A9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  <w:bookmarkStart w:id="0" w:name="_GoBack"/>
            <w:bookmarkEnd w:id="0"/>
          </w:p>
        </w:tc>
      </w:tr>
      <w:tr w:rsidR="00AF11B1" w14:paraId="792AFCF3" w14:textId="77777777" w:rsidTr="00573CFA">
        <w:trPr>
          <w:cantSplit/>
        </w:trPr>
        <w:tc>
          <w:tcPr>
            <w:tcW w:w="2610" w:type="dxa"/>
          </w:tcPr>
          <w:p w14:paraId="792AFCF0" w14:textId="2674A7A8" w:rsidR="00AF11B1" w:rsidRDefault="00AF11B1" w:rsidP="00071A9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Stock </w:t>
            </w:r>
            <w:r w:rsidR="00BC1546">
              <w:rPr>
                <w:szCs w:val="24"/>
              </w:rPr>
              <w:t xml:space="preserve">or </w:t>
            </w:r>
            <w:r>
              <w:rPr>
                <w:szCs w:val="24"/>
              </w:rPr>
              <w:t>Part Number</w:t>
            </w:r>
          </w:p>
        </w:tc>
        <w:tc>
          <w:tcPr>
            <w:tcW w:w="1980" w:type="dxa"/>
          </w:tcPr>
          <w:p w14:paraId="792AFCF1" w14:textId="77777777" w:rsidR="00AF11B1" w:rsidRDefault="00AF11B1" w:rsidP="00071A9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8-22</w:t>
            </w:r>
          </w:p>
        </w:tc>
        <w:tc>
          <w:tcPr>
            <w:tcW w:w="5130" w:type="dxa"/>
          </w:tcPr>
          <w:p w14:paraId="792AFCF2" w14:textId="77777777" w:rsidR="00AF11B1" w:rsidRDefault="00AF11B1" w:rsidP="00071A9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stock or part number of item due-in.</w:t>
            </w:r>
          </w:p>
        </w:tc>
      </w:tr>
      <w:tr w:rsidR="00AF11B1" w14:paraId="792AFCF7" w14:textId="77777777" w:rsidTr="00573CFA">
        <w:trPr>
          <w:cantSplit/>
        </w:trPr>
        <w:tc>
          <w:tcPr>
            <w:tcW w:w="2610" w:type="dxa"/>
          </w:tcPr>
          <w:p w14:paraId="792AFCF4" w14:textId="77777777" w:rsidR="00AF11B1" w:rsidRDefault="00AF11B1" w:rsidP="00071A9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Unit of Issue</w:t>
            </w:r>
          </w:p>
        </w:tc>
        <w:tc>
          <w:tcPr>
            <w:tcW w:w="1980" w:type="dxa"/>
          </w:tcPr>
          <w:p w14:paraId="792AFCF5" w14:textId="77777777" w:rsidR="00AF11B1" w:rsidRDefault="00AF11B1" w:rsidP="00071A9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23-24</w:t>
            </w:r>
          </w:p>
        </w:tc>
        <w:tc>
          <w:tcPr>
            <w:tcW w:w="5130" w:type="dxa"/>
          </w:tcPr>
          <w:p w14:paraId="792AFCF6" w14:textId="77777777" w:rsidR="00AF11B1" w:rsidRDefault="00AF11B1" w:rsidP="00071A9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UI of item.</w:t>
            </w:r>
          </w:p>
        </w:tc>
      </w:tr>
      <w:tr w:rsidR="00AF11B1" w14:paraId="792AFCFB" w14:textId="77777777" w:rsidTr="00573CFA">
        <w:trPr>
          <w:cantSplit/>
        </w:trPr>
        <w:tc>
          <w:tcPr>
            <w:tcW w:w="2610" w:type="dxa"/>
          </w:tcPr>
          <w:p w14:paraId="792AFCF8" w14:textId="77777777" w:rsidR="00AF11B1" w:rsidRDefault="00AF11B1" w:rsidP="00071A9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Quantity (Due-In)</w:t>
            </w:r>
          </w:p>
        </w:tc>
        <w:tc>
          <w:tcPr>
            <w:tcW w:w="1980" w:type="dxa"/>
          </w:tcPr>
          <w:p w14:paraId="792AFCF9" w14:textId="77777777" w:rsidR="00AF11B1" w:rsidRDefault="00AF11B1" w:rsidP="00071A9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25-29</w:t>
            </w:r>
          </w:p>
        </w:tc>
        <w:tc>
          <w:tcPr>
            <w:tcW w:w="5130" w:type="dxa"/>
          </w:tcPr>
          <w:p w14:paraId="792AFCFA" w14:textId="1612D9F0" w:rsidR="00AF11B1" w:rsidRDefault="00AF11B1" w:rsidP="00071A9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quantity due-in, preceding significant digits with zeros.</w:t>
            </w:r>
            <w:r>
              <w:rPr>
                <w:rStyle w:val="FootnoteReference"/>
              </w:rPr>
              <w:footnoteReference w:id="1"/>
            </w:r>
            <w:r>
              <w:rPr>
                <w:b/>
                <w:bCs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 xml:space="preserve">/ </w:t>
            </w:r>
            <w:r>
              <w:rPr>
                <w:rStyle w:val="FootnoteReference"/>
              </w:rPr>
              <w:footnoteReference w:id="2"/>
            </w:r>
          </w:p>
        </w:tc>
      </w:tr>
      <w:tr w:rsidR="00481564" w:rsidRPr="00481564" w14:paraId="792AFCFF" w14:textId="77777777" w:rsidTr="00573CFA">
        <w:trPr>
          <w:cantSplit/>
        </w:trPr>
        <w:tc>
          <w:tcPr>
            <w:tcW w:w="2610" w:type="dxa"/>
          </w:tcPr>
          <w:p w14:paraId="792AFCFC" w14:textId="32A0E54D" w:rsidR="00AF11B1" w:rsidRPr="00481564" w:rsidRDefault="00481564" w:rsidP="00071A90">
            <w:pPr>
              <w:spacing w:before="60" w:after="60"/>
              <w:rPr>
                <w:rFonts w:cs="Arial"/>
                <w:szCs w:val="24"/>
              </w:rPr>
            </w:pPr>
            <w:r w:rsidRPr="00481564">
              <w:rPr>
                <w:rFonts w:cs="Arial"/>
              </w:rPr>
              <w:t xml:space="preserve">Procurement Instrument </w:t>
            </w:r>
            <w:r w:rsidRPr="005E323C">
              <w:rPr>
                <w:rFonts w:cs="Arial"/>
              </w:rPr>
              <w:t>Identifier</w:t>
            </w:r>
            <w:r w:rsidRPr="00481564">
              <w:rPr>
                <w:rFonts w:cs="Arial"/>
              </w:rPr>
              <w:t xml:space="preserve"> </w:t>
            </w:r>
            <w:r w:rsidRPr="005E323C">
              <w:rPr>
                <w:rFonts w:cs="Arial"/>
              </w:rPr>
              <w:t>(PIID)</w:t>
            </w:r>
            <w:r w:rsidRPr="00481564">
              <w:rPr>
                <w:rFonts w:cs="Arial"/>
              </w:rPr>
              <w:t xml:space="preserve"> or Due-In Document Number</w:t>
            </w:r>
          </w:p>
        </w:tc>
        <w:tc>
          <w:tcPr>
            <w:tcW w:w="1980" w:type="dxa"/>
          </w:tcPr>
          <w:p w14:paraId="792AFCFD" w14:textId="77777777" w:rsidR="00AF11B1" w:rsidRPr="00481564" w:rsidRDefault="00AF11B1" w:rsidP="00071A90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481564">
              <w:rPr>
                <w:szCs w:val="24"/>
              </w:rPr>
              <w:t>30-43</w:t>
            </w:r>
          </w:p>
        </w:tc>
        <w:tc>
          <w:tcPr>
            <w:tcW w:w="5130" w:type="dxa"/>
          </w:tcPr>
          <w:p w14:paraId="792AFCFE" w14:textId="77777777" w:rsidR="00AF11B1" w:rsidRPr="00481564" w:rsidRDefault="00AF11B1" w:rsidP="00071A90">
            <w:pPr>
              <w:spacing w:before="60" w:after="60"/>
              <w:rPr>
                <w:rFonts w:cs="Arial"/>
                <w:szCs w:val="24"/>
              </w:rPr>
            </w:pPr>
          </w:p>
        </w:tc>
      </w:tr>
      <w:tr w:rsidR="00481564" w:rsidRPr="00481564" w14:paraId="792AFD03" w14:textId="77777777" w:rsidTr="00573CFA">
        <w:trPr>
          <w:cantSplit/>
        </w:trPr>
        <w:tc>
          <w:tcPr>
            <w:tcW w:w="2610" w:type="dxa"/>
          </w:tcPr>
          <w:p w14:paraId="792AFD00" w14:textId="2085D2A3" w:rsidR="00AF11B1" w:rsidRPr="00481564" w:rsidRDefault="00C04911" w:rsidP="00071A90">
            <w:pPr>
              <w:tabs>
                <w:tab w:val="left" w:pos="350"/>
              </w:tabs>
              <w:spacing w:before="60" w:after="60"/>
              <w:rPr>
                <w:rFonts w:cs="Arial"/>
                <w:szCs w:val="24"/>
              </w:rPr>
            </w:pPr>
            <w:r w:rsidRPr="00481564">
              <w:rPr>
                <w:szCs w:val="24"/>
              </w:rPr>
              <w:tab/>
            </w:r>
            <w:r w:rsidR="00481564" w:rsidRPr="005E323C">
              <w:rPr>
                <w:rFonts w:cs="Arial"/>
              </w:rPr>
              <w:t>Procurement Instrument Identifier (PIID)</w:t>
            </w:r>
          </w:p>
        </w:tc>
        <w:tc>
          <w:tcPr>
            <w:tcW w:w="1980" w:type="dxa"/>
          </w:tcPr>
          <w:p w14:paraId="792AFD01" w14:textId="77777777" w:rsidR="00AF11B1" w:rsidRPr="00481564" w:rsidRDefault="00AF11B1" w:rsidP="00071A90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481564">
              <w:rPr>
                <w:szCs w:val="24"/>
              </w:rPr>
              <w:t>(30-42)</w:t>
            </w:r>
          </w:p>
        </w:tc>
        <w:tc>
          <w:tcPr>
            <w:tcW w:w="5130" w:type="dxa"/>
          </w:tcPr>
          <w:p w14:paraId="792AFD02" w14:textId="6931E356" w:rsidR="00AF11B1" w:rsidRPr="00481564" w:rsidRDefault="00481564" w:rsidP="00071A90">
            <w:pPr>
              <w:spacing w:before="60" w:after="60"/>
              <w:rPr>
                <w:rFonts w:cs="Arial"/>
                <w:szCs w:val="24"/>
              </w:rPr>
            </w:pPr>
            <w:r w:rsidRPr="00481564">
              <w:rPr>
                <w:rFonts w:cs="Arial"/>
              </w:rPr>
              <w:t xml:space="preserve">Enter (or perpetuate) </w:t>
            </w:r>
            <w:r w:rsidRPr="005E323C">
              <w:rPr>
                <w:rFonts w:cs="Arial"/>
              </w:rPr>
              <w:t>the PIID or the applicable 13-position call/order number (identified by F in the 9</w:t>
            </w:r>
            <w:r w:rsidRPr="005E323C">
              <w:rPr>
                <w:rFonts w:cs="Arial"/>
                <w:vertAlign w:val="superscript"/>
              </w:rPr>
              <w:t>th</w:t>
            </w:r>
            <w:r w:rsidRPr="005E323C">
              <w:rPr>
                <w:rFonts w:cs="Arial"/>
              </w:rPr>
              <w:t xml:space="preserve"> position</w:t>
            </w:r>
            <w:r w:rsidR="00541DF3" w:rsidRPr="005E323C">
              <w:rPr>
                <w:rFonts w:cs="Arial"/>
              </w:rPr>
              <w:t>)</w:t>
            </w:r>
            <w:r w:rsidRPr="005E323C">
              <w:rPr>
                <w:rFonts w:cs="Arial"/>
              </w:rPr>
              <w:t>.</w:t>
            </w:r>
            <w:r w:rsidRPr="005E323C">
              <w:rPr>
                <w:rFonts w:cs="Arial"/>
                <w:vertAlign w:val="superscript"/>
              </w:rPr>
              <w:footnoteReference w:id="3"/>
            </w:r>
          </w:p>
        </w:tc>
      </w:tr>
      <w:tr w:rsidR="00AF11B1" w14:paraId="792AFD07" w14:textId="77777777" w:rsidTr="00573CFA">
        <w:trPr>
          <w:cantSplit/>
        </w:trPr>
        <w:tc>
          <w:tcPr>
            <w:tcW w:w="2610" w:type="dxa"/>
          </w:tcPr>
          <w:p w14:paraId="792AFD04" w14:textId="77777777" w:rsidR="00AF11B1" w:rsidRDefault="00C04911" w:rsidP="00071A90">
            <w:pPr>
              <w:tabs>
                <w:tab w:val="left" w:pos="350"/>
              </w:tabs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ab/>
            </w:r>
            <w:r w:rsidR="00AF11B1">
              <w:rPr>
                <w:szCs w:val="24"/>
              </w:rPr>
              <w:t>Blank</w:t>
            </w:r>
          </w:p>
        </w:tc>
        <w:tc>
          <w:tcPr>
            <w:tcW w:w="1980" w:type="dxa"/>
          </w:tcPr>
          <w:p w14:paraId="792AFD05" w14:textId="77777777" w:rsidR="00AF11B1" w:rsidRDefault="00AF11B1" w:rsidP="00071A9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(43)</w:t>
            </w:r>
          </w:p>
        </w:tc>
        <w:tc>
          <w:tcPr>
            <w:tcW w:w="5130" w:type="dxa"/>
          </w:tcPr>
          <w:p w14:paraId="792AFD06" w14:textId="77777777" w:rsidR="00AF11B1" w:rsidRDefault="00AF11B1" w:rsidP="00071A9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AF11B1" w14:paraId="792AFD0B" w14:textId="77777777" w:rsidTr="00573CFA">
        <w:trPr>
          <w:cantSplit/>
        </w:trPr>
        <w:tc>
          <w:tcPr>
            <w:tcW w:w="2610" w:type="dxa"/>
          </w:tcPr>
          <w:p w14:paraId="792AFD08" w14:textId="77777777" w:rsidR="00AF11B1" w:rsidRDefault="00C04911" w:rsidP="00071A90">
            <w:pPr>
              <w:tabs>
                <w:tab w:val="left" w:pos="1160"/>
              </w:tabs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ab/>
            </w:r>
            <w:r w:rsidR="00AF11B1">
              <w:rPr>
                <w:szCs w:val="24"/>
              </w:rPr>
              <w:t>or</w:t>
            </w:r>
          </w:p>
        </w:tc>
        <w:tc>
          <w:tcPr>
            <w:tcW w:w="1980" w:type="dxa"/>
          </w:tcPr>
          <w:p w14:paraId="792AFD09" w14:textId="77777777" w:rsidR="00AF11B1" w:rsidRDefault="00AF11B1" w:rsidP="00071A90">
            <w:pPr>
              <w:spacing w:before="60" w:after="60"/>
              <w:jc w:val="center"/>
              <w:rPr>
                <w:rFonts w:cs="Arial"/>
                <w:szCs w:val="24"/>
              </w:rPr>
            </w:pPr>
          </w:p>
        </w:tc>
        <w:tc>
          <w:tcPr>
            <w:tcW w:w="5130" w:type="dxa"/>
          </w:tcPr>
          <w:p w14:paraId="792AFD0A" w14:textId="77777777" w:rsidR="00AF11B1" w:rsidRDefault="00AF11B1" w:rsidP="00071A90">
            <w:pPr>
              <w:spacing w:before="60" w:after="60"/>
              <w:rPr>
                <w:rFonts w:cs="Arial"/>
                <w:szCs w:val="24"/>
              </w:rPr>
            </w:pPr>
          </w:p>
        </w:tc>
      </w:tr>
      <w:tr w:rsidR="00AF11B1" w14:paraId="792AFD0F" w14:textId="77777777" w:rsidTr="00573CFA">
        <w:trPr>
          <w:cantSplit/>
        </w:trPr>
        <w:tc>
          <w:tcPr>
            <w:tcW w:w="2610" w:type="dxa"/>
          </w:tcPr>
          <w:p w14:paraId="792AFD0C" w14:textId="77777777" w:rsidR="00AF11B1" w:rsidRDefault="00C04911" w:rsidP="00071A90">
            <w:pPr>
              <w:tabs>
                <w:tab w:val="left" w:pos="340"/>
              </w:tabs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ab/>
            </w:r>
            <w:r w:rsidR="00AF11B1">
              <w:rPr>
                <w:szCs w:val="24"/>
              </w:rPr>
              <w:t>Document Number</w:t>
            </w:r>
          </w:p>
        </w:tc>
        <w:tc>
          <w:tcPr>
            <w:tcW w:w="1980" w:type="dxa"/>
          </w:tcPr>
          <w:p w14:paraId="792AFD0D" w14:textId="77777777" w:rsidR="00AF11B1" w:rsidRDefault="00AF11B1" w:rsidP="00071A9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(30-43)</w:t>
            </w:r>
          </w:p>
        </w:tc>
        <w:tc>
          <w:tcPr>
            <w:tcW w:w="5130" w:type="dxa"/>
          </w:tcPr>
          <w:p w14:paraId="792AFD0E" w14:textId="77777777" w:rsidR="00AF11B1" w:rsidRDefault="00AF11B1" w:rsidP="00071A9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For intra-Component use only enter (or perpetuate) due-in document number.</w:t>
            </w:r>
          </w:p>
        </w:tc>
      </w:tr>
      <w:tr w:rsidR="00AF11B1" w14:paraId="792AFD13" w14:textId="77777777" w:rsidTr="00573CFA">
        <w:trPr>
          <w:cantSplit/>
        </w:trPr>
        <w:tc>
          <w:tcPr>
            <w:tcW w:w="2610" w:type="dxa"/>
          </w:tcPr>
          <w:p w14:paraId="792AFD10" w14:textId="77777777" w:rsidR="00AF11B1" w:rsidRDefault="00AF11B1" w:rsidP="00071A9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Suffix</w:t>
            </w:r>
          </w:p>
        </w:tc>
        <w:tc>
          <w:tcPr>
            <w:tcW w:w="1980" w:type="dxa"/>
          </w:tcPr>
          <w:p w14:paraId="792AFD11" w14:textId="77777777" w:rsidR="00AF11B1" w:rsidRDefault="00AF11B1" w:rsidP="00071A9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5130" w:type="dxa"/>
          </w:tcPr>
          <w:p w14:paraId="792AFD12" w14:textId="77777777" w:rsidR="00AF11B1" w:rsidRDefault="00AF11B1" w:rsidP="00071A9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consecutive alpha codes A through Z when assignment of suffix codes is necessary.</w:t>
            </w:r>
            <w:r>
              <w:rPr>
                <w:rStyle w:val="FootnoteReference"/>
              </w:rPr>
              <w:footnoteReference w:id="4"/>
            </w:r>
          </w:p>
        </w:tc>
      </w:tr>
      <w:tr w:rsidR="00AF11B1" w14:paraId="792AFD17" w14:textId="77777777" w:rsidTr="00573CFA">
        <w:trPr>
          <w:cantSplit/>
        </w:trPr>
        <w:tc>
          <w:tcPr>
            <w:tcW w:w="2610" w:type="dxa"/>
          </w:tcPr>
          <w:p w14:paraId="792AFD14" w14:textId="77777777" w:rsidR="00AF11B1" w:rsidRDefault="00AF11B1" w:rsidP="00071A9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Item Number</w:t>
            </w:r>
          </w:p>
        </w:tc>
        <w:tc>
          <w:tcPr>
            <w:tcW w:w="1980" w:type="dxa"/>
          </w:tcPr>
          <w:p w14:paraId="792AFD15" w14:textId="77777777" w:rsidR="00AF11B1" w:rsidRDefault="00AF11B1" w:rsidP="00071A9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45-50</w:t>
            </w:r>
          </w:p>
        </w:tc>
        <w:tc>
          <w:tcPr>
            <w:tcW w:w="5130" w:type="dxa"/>
          </w:tcPr>
          <w:p w14:paraId="792AFD16" w14:textId="77777777" w:rsidR="00AF11B1" w:rsidRDefault="00AF11B1" w:rsidP="00071A9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the contract/exhibit line item number or subline item number as follows:</w:t>
            </w:r>
          </w:p>
        </w:tc>
      </w:tr>
      <w:tr w:rsidR="00AF11B1" w14:paraId="792AFD1C" w14:textId="77777777" w:rsidTr="00573CFA">
        <w:trPr>
          <w:cantSplit/>
          <w:trHeight w:val="336"/>
        </w:trPr>
        <w:tc>
          <w:tcPr>
            <w:tcW w:w="2610" w:type="dxa"/>
            <w:vMerge w:val="restart"/>
          </w:tcPr>
          <w:p w14:paraId="792AFD18" w14:textId="77777777" w:rsidR="00AF11B1" w:rsidRDefault="00C04911" w:rsidP="00071A90">
            <w:pPr>
              <w:tabs>
                <w:tab w:val="left" w:pos="350"/>
              </w:tabs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ab/>
            </w:r>
            <w:r w:rsidR="00AF11B1">
              <w:rPr>
                <w:szCs w:val="24"/>
              </w:rPr>
              <w:t>Contract/Exhibit</w:t>
            </w:r>
            <w:r>
              <w:rPr>
                <w:szCs w:val="24"/>
              </w:rPr>
              <w:t xml:space="preserve"> </w:t>
            </w:r>
            <w:r w:rsidR="00AF11B1">
              <w:rPr>
                <w:szCs w:val="24"/>
              </w:rPr>
              <w:lastRenderedPageBreak/>
              <w:t>Line Item Number</w:t>
            </w:r>
          </w:p>
        </w:tc>
        <w:tc>
          <w:tcPr>
            <w:tcW w:w="1980" w:type="dxa"/>
            <w:vMerge w:val="restart"/>
          </w:tcPr>
          <w:p w14:paraId="792AFD19" w14:textId="77777777" w:rsidR="00AF11B1" w:rsidRDefault="00AF11B1" w:rsidP="00071A9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lastRenderedPageBreak/>
              <w:t>(45-48)</w:t>
            </w:r>
          </w:p>
        </w:tc>
        <w:tc>
          <w:tcPr>
            <w:tcW w:w="5130" w:type="dxa"/>
            <w:vMerge w:val="restart"/>
          </w:tcPr>
          <w:p w14:paraId="792AFD1A" w14:textId="77777777" w:rsidR="00AF11B1" w:rsidRDefault="00AF11B1" w:rsidP="00071A9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  <w:u w:val="single"/>
              </w:rPr>
              <w:t>Contract Line Item Number</w:t>
            </w:r>
            <w:r>
              <w:rPr>
                <w:szCs w:val="24"/>
              </w:rPr>
              <w:t xml:space="preserve">:  </w:t>
            </w:r>
          </w:p>
          <w:p w14:paraId="792AFD1B" w14:textId="77777777" w:rsidR="00AF11B1" w:rsidRDefault="00AF11B1" w:rsidP="00071A9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lastRenderedPageBreak/>
              <w:t>Enter the CLIN beginning in record position 48, preceding significant digits with zeros.</w:t>
            </w:r>
          </w:p>
        </w:tc>
      </w:tr>
      <w:tr w:rsidR="00AF11B1" w14:paraId="792AFD20" w14:textId="77777777" w:rsidTr="00573CFA">
        <w:trPr>
          <w:cantSplit/>
          <w:trHeight w:val="436"/>
        </w:trPr>
        <w:tc>
          <w:tcPr>
            <w:tcW w:w="2610" w:type="dxa"/>
            <w:vMerge/>
          </w:tcPr>
          <w:p w14:paraId="792AFD1D" w14:textId="77777777" w:rsidR="00AF11B1" w:rsidRDefault="00AF11B1" w:rsidP="00071A90">
            <w:pPr>
              <w:spacing w:before="60" w:after="60"/>
              <w:rPr>
                <w:rFonts w:cs="Arial"/>
                <w:szCs w:val="24"/>
              </w:rPr>
            </w:pPr>
          </w:p>
        </w:tc>
        <w:tc>
          <w:tcPr>
            <w:tcW w:w="1980" w:type="dxa"/>
            <w:vMerge/>
          </w:tcPr>
          <w:p w14:paraId="792AFD1E" w14:textId="77777777" w:rsidR="00AF11B1" w:rsidRDefault="00AF11B1" w:rsidP="00071A90">
            <w:pPr>
              <w:spacing w:before="60" w:after="60"/>
              <w:jc w:val="center"/>
              <w:rPr>
                <w:rFonts w:cs="Arial"/>
                <w:szCs w:val="24"/>
              </w:rPr>
            </w:pPr>
          </w:p>
        </w:tc>
        <w:tc>
          <w:tcPr>
            <w:tcW w:w="5130" w:type="dxa"/>
            <w:vMerge/>
          </w:tcPr>
          <w:p w14:paraId="792AFD1F" w14:textId="77777777" w:rsidR="00AF11B1" w:rsidRDefault="00AF11B1" w:rsidP="00071A90">
            <w:pPr>
              <w:spacing w:before="60" w:after="60"/>
              <w:rPr>
                <w:rFonts w:cs="Arial"/>
                <w:szCs w:val="24"/>
              </w:rPr>
            </w:pPr>
          </w:p>
        </w:tc>
      </w:tr>
      <w:tr w:rsidR="00AF11B1" w14:paraId="792AFD25" w14:textId="77777777" w:rsidTr="00573CFA">
        <w:trPr>
          <w:cantSplit/>
          <w:trHeight w:val="2042"/>
        </w:trPr>
        <w:tc>
          <w:tcPr>
            <w:tcW w:w="2610" w:type="dxa"/>
            <w:vMerge/>
          </w:tcPr>
          <w:p w14:paraId="792AFD21" w14:textId="77777777" w:rsidR="00AF11B1" w:rsidRDefault="00AF11B1" w:rsidP="00071A90">
            <w:pPr>
              <w:spacing w:before="60" w:after="60"/>
              <w:rPr>
                <w:rFonts w:cs="Arial"/>
                <w:szCs w:val="24"/>
              </w:rPr>
            </w:pPr>
          </w:p>
        </w:tc>
        <w:tc>
          <w:tcPr>
            <w:tcW w:w="1980" w:type="dxa"/>
            <w:vMerge/>
          </w:tcPr>
          <w:p w14:paraId="792AFD22" w14:textId="77777777" w:rsidR="00AF11B1" w:rsidRDefault="00AF11B1" w:rsidP="00071A90">
            <w:pPr>
              <w:spacing w:before="60" w:after="60"/>
              <w:jc w:val="center"/>
              <w:rPr>
                <w:rFonts w:cs="Arial"/>
                <w:szCs w:val="24"/>
              </w:rPr>
            </w:pPr>
          </w:p>
        </w:tc>
        <w:tc>
          <w:tcPr>
            <w:tcW w:w="5130" w:type="dxa"/>
          </w:tcPr>
          <w:p w14:paraId="792AFD23" w14:textId="77777777" w:rsidR="00AF11B1" w:rsidRDefault="00AF11B1" w:rsidP="00071A9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  <w:u w:val="single"/>
              </w:rPr>
              <w:t>Exhibit Line Item Number</w:t>
            </w:r>
            <w:r>
              <w:rPr>
                <w:szCs w:val="24"/>
              </w:rPr>
              <w:t>:</w:t>
            </w:r>
          </w:p>
          <w:p w14:paraId="792AFD24" w14:textId="77777777" w:rsidR="00AF11B1" w:rsidRDefault="00AF11B1" w:rsidP="00071A9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the alphabetic exhibit identifier in record position 45.  Enter the exhibit line number in record positions 46 through 48, beginning with record position 46, preceding significant digits with zeros.</w:t>
            </w:r>
          </w:p>
        </w:tc>
      </w:tr>
      <w:tr w:rsidR="00AF11B1" w14:paraId="792AFD29" w14:textId="77777777" w:rsidTr="00573CFA">
        <w:trPr>
          <w:cantSplit/>
        </w:trPr>
        <w:tc>
          <w:tcPr>
            <w:tcW w:w="2610" w:type="dxa"/>
          </w:tcPr>
          <w:p w14:paraId="792AFD26" w14:textId="77777777" w:rsidR="00AF11B1" w:rsidRDefault="00C04911" w:rsidP="00071A90">
            <w:pPr>
              <w:tabs>
                <w:tab w:val="left" w:pos="350"/>
              </w:tabs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ab/>
            </w:r>
            <w:r w:rsidR="00AF11B1">
              <w:rPr>
                <w:szCs w:val="24"/>
              </w:rPr>
              <w:t>Contract/Exhibit Subline Item Number</w:t>
            </w:r>
          </w:p>
        </w:tc>
        <w:tc>
          <w:tcPr>
            <w:tcW w:w="1980" w:type="dxa"/>
          </w:tcPr>
          <w:p w14:paraId="792AFD27" w14:textId="77777777" w:rsidR="00AF11B1" w:rsidRDefault="00AF11B1" w:rsidP="00071A9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(49-50)</w:t>
            </w:r>
          </w:p>
        </w:tc>
        <w:tc>
          <w:tcPr>
            <w:tcW w:w="5130" w:type="dxa"/>
          </w:tcPr>
          <w:p w14:paraId="792AFD28" w14:textId="77777777" w:rsidR="00AF11B1" w:rsidRDefault="00AF11B1" w:rsidP="00071A9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the contract or exhibit subline item number beginning in record position 50, if applicable; otherwise, zero fill.</w:t>
            </w:r>
          </w:p>
        </w:tc>
      </w:tr>
      <w:tr w:rsidR="00AF11B1" w14:paraId="792AFD2D" w14:textId="77777777" w:rsidTr="00573CFA">
        <w:trPr>
          <w:cantSplit/>
        </w:trPr>
        <w:tc>
          <w:tcPr>
            <w:tcW w:w="2610" w:type="dxa"/>
          </w:tcPr>
          <w:p w14:paraId="792AFD2A" w14:textId="04C98D06" w:rsidR="00AF11B1" w:rsidRDefault="00AF11B1" w:rsidP="00071A9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Identifier </w:t>
            </w:r>
            <w:r w:rsidR="000D3190">
              <w:rPr>
                <w:szCs w:val="24"/>
              </w:rPr>
              <w:t xml:space="preserve">Code </w:t>
            </w:r>
            <w:r>
              <w:rPr>
                <w:szCs w:val="24"/>
              </w:rPr>
              <w:t>(FROM)</w:t>
            </w:r>
          </w:p>
        </w:tc>
        <w:tc>
          <w:tcPr>
            <w:tcW w:w="1980" w:type="dxa"/>
          </w:tcPr>
          <w:p w14:paraId="792AFD2B" w14:textId="77777777" w:rsidR="00AF11B1" w:rsidRDefault="00AF11B1" w:rsidP="00071A9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51-53</w:t>
            </w:r>
          </w:p>
        </w:tc>
        <w:tc>
          <w:tcPr>
            <w:tcW w:w="5130" w:type="dxa"/>
          </w:tcPr>
          <w:p w14:paraId="792AFD2C" w14:textId="7E016C79" w:rsidR="00AF11B1" w:rsidRDefault="00AF11B1" w:rsidP="00071A9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47735A">
              <w:rPr>
                <w:szCs w:val="24"/>
              </w:rPr>
              <w:t>DIC</w:t>
            </w:r>
            <w:r>
              <w:rPr>
                <w:szCs w:val="24"/>
              </w:rPr>
              <w:t xml:space="preserve"> of the </w:t>
            </w:r>
            <w:r w:rsidR="00BC1546">
              <w:rPr>
                <w:szCs w:val="24"/>
              </w:rPr>
              <w:t xml:space="preserve">ICP </w:t>
            </w:r>
            <w:r>
              <w:rPr>
                <w:szCs w:val="24"/>
              </w:rPr>
              <w:t>transmitting this transaction for logistics reassignment due-in; otherwise, leave blank.</w:t>
            </w:r>
          </w:p>
        </w:tc>
      </w:tr>
      <w:tr w:rsidR="00AF11B1" w14:paraId="792AFD31" w14:textId="77777777" w:rsidTr="00573CFA">
        <w:trPr>
          <w:cantSplit/>
        </w:trPr>
        <w:tc>
          <w:tcPr>
            <w:tcW w:w="2610" w:type="dxa"/>
          </w:tcPr>
          <w:p w14:paraId="792AFD2E" w14:textId="77777777" w:rsidR="00AF11B1" w:rsidRDefault="00AF11B1" w:rsidP="00071A9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Distribution</w:t>
            </w:r>
          </w:p>
        </w:tc>
        <w:tc>
          <w:tcPr>
            <w:tcW w:w="1980" w:type="dxa"/>
          </w:tcPr>
          <w:p w14:paraId="792AFD2F" w14:textId="77777777" w:rsidR="00AF11B1" w:rsidRDefault="00AF11B1" w:rsidP="00071A9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54-56</w:t>
            </w:r>
          </w:p>
        </w:tc>
        <w:tc>
          <w:tcPr>
            <w:tcW w:w="5130" w:type="dxa"/>
          </w:tcPr>
          <w:p w14:paraId="792AFD30" w14:textId="77777777" w:rsidR="00AF11B1" w:rsidRDefault="00AF11B1" w:rsidP="00071A9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distribution code; otherwise, leave blank.</w:t>
            </w:r>
          </w:p>
        </w:tc>
      </w:tr>
      <w:tr w:rsidR="00AF11B1" w14:paraId="792AFD36" w14:textId="77777777" w:rsidTr="00573CFA">
        <w:trPr>
          <w:cantSplit/>
        </w:trPr>
        <w:tc>
          <w:tcPr>
            <w:tcW w:w="2610" w:type="dxa"/>
          </w:tcPr>
          <w:p w14:paraId="792AFD32" w14:textId="77777777" w:rsidR="00AF11B1" w:rsidRDefault="00AF11B1" w:rsidP="00071A9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Project</w:t>
            </w:r>
          </w:p>
        </w:tc>
        <w:tc>
          <w:tcPr>
            <w:tcW w:w="1980" w:type="dxa"/>
          </w:tcPr>
          <w:p w14:paraId="792AFD33" w14:textId="77777777" w:rsidR="00AF11B1" w:rsidRDefault="00AF11B1" w:rsidP="00071A9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57-59</w:t>
            </w:r>
          </w:p>
        </w:tc>
        <w:tc>
          <w:tcPr>
            <w:tcW w:w="5130" w:type="dxa"/>
          </w:tcPr>
          <w:p w14:paraId="792AFD35" w14:textId="31333A82" w:rsidR="00AF11B1" w:rsidRDefault="00AF11B1" w:rsidP="00071A9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project code; otherwise, leave</w:t>
            </w:r>
            <w:r w:rsidR="00E85637">
              <w:rPr>
                <w:szCs w:val="24"/>
              </w:rPr>
              <w:t xml:space="preserve"> </w:t>
            </w:r>
            <w:r>
              <w:rPr>
                <w:szCs w:val="24"/>
              </w:rPr>
              <w:t>blank.</w:t>
            </w:r>
          </w:p>
        </w:tc>
      </w:tr>
      <w:tr w:rsidR="00AF11B1" w14:paraId="792AFD3A" w14:textId="77777777" w:rsidTr="00573CFA">
        <w:trPr>
          <w:cantSplit/>
        </w:trPr>
        <w:tc>
          <w:tcPr>
            <w:tcW w:w="2610" w:type="dxa"/>
          </w:tcPr>
          <w:p w14:paraId="792AFD37" w14:textId="77777777" w:rsidR="00AF11B1" w:rsidRDefault="00AF11B1" w:rsidP="00071A9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Unit Price</w:t>
            </w:r>
          </w:p>
        </w:tc>
        <w:tc>
          <w:tcPr>
            <w:tcW w:w="1980" w:type="dxa"/>
          </w:tcPr>
          <w:p w14:paraId="792AFD38" w14:textId="77777777" w:rsidR="00AF11B1" w:rsidRDefault="00AF11B1" w:rsidP="00071A9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60-66</w:t>
            </w:r>
          </w:p>
        </w:tc>
        <w:tc>
          <w:tcPr>
            <w:tcW w:w="5130" w:type="dxa"/>
          </w:tcPr>
          <w:p w14:paraId="792AFD39" w14:textId="77777777" w:rsidR="00AF11B1" w:rsidRDefault="00AF11B1" w:rsidP="00071A9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unit price if prescribed by Component managing the item; otherwise, leave blank.</w:t>
            </w:r>
          </w:p>
        </w:tc>
      </w:tr>
      <w:tr w:rsidR="00AF11B1" w14:paraId="792AFD3E" w14:textId="77777777" w:rsidTr="00573CFA">
        <w:trPr>
          <w:cantSplit/>
        </w:trPr>
        <w:tc>
          <w:tcPr>
            <w:tcW w:w="2610" w:type="dxa"/>
          </w:tcPr>
          <w:p w14:paraId="792AFD3B" w14:textId="4333D4AE" w:rsidR="00AF11B1" w:rsidRDefault="00C04911" w:rsidP="00071A9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Identifier </w:t>
            </w:r>
            <w:r w:rsidR="000D3190">
              <w:rPr>
                <w:szCs w:val="24"/>
              </w:rPr>
              <w:t xml:space="preserve">Code </w:t>
            </w:r>
            <w:r w:rsidR="00AF11B1">
              <w:rPr>
                <w:szCs w:val="24"/>
              </w:rPr>
              <w:t>(Storage Activity)</w:t>
            </w:r>
          </w:p>
        </w:tc>
        <w:tc>
          <w:tcPr>
            <w:tcW w:w="1980" w:type="dxa"/>
          </w:tcPr>
          <w:p w14:paraId="792AFD3C" w14:textId="77777777" w:rsidR="00AF11B1" w:rsidRDefault="00AF11B1" w:rsidP="00071A9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67-69</w:t>
            </w:r>
          </w:p>
        </w:tc>
        <w:tc>
          <w:tcPr>
            <w:tcW w:w="5130" w:type="dxa"/>
          </w:tcPr>
          <w:p w14:paraId="792AFD3D" w14:textId="17AB541F" w:rsidR="00AF11B1" w:rsidRDefault="00AF11B1" w:rsidP="00071A9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47735A">
              <w:rPr>
                <w:szCs w:val="24"/>
              </w:rPr>
              <w:t>DIC</w:t>
            </w:r>
            <w:r>
              <w:rPr>
                <w:szCs w:val="24"/>
              </w:rPr>
              <w:t xml:space="preserve"> of the storage activity to which the item is due-in.</w:t>
            </w:r>
          </w:p>
        </w:tc>
      </w:tr>
      <w:tr w:rsidR="00AF11B1" w14:paraId="792AFD42" w14:textId="77777777" w:rsidTr="00573CFA">
        <w:trPr>
          <w:cantSplit/>
        </w:trPr>
        <w:tc>
          <w:tcPr>
            <w:tcW w:w="2610" w:type="dxa"/>
          </w:tcPr>
          <w:p w14:paraId="792AFD3F" w14:textId="77777777" w:rsidR="00AF11B1" w:rsidRDefault="00AF11B1" w:rsidP="00071A9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Ownership/Purpose</w:t>
            </w:r>
          </w:p>
        </w:tc>
        <w:tc>
          <w:tcPr>
            <w:tcW w:w="1980" w:type="dxa"/>
          </w:tcPr>
          <w:p w14:paraId="792AFD40" w14:textId="77777777" w:rsidR="00AF11B1" w:rsidRDefault="00AF11B1" w:rsidP="00071A9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5130" w:type="dxa"/>
          </w:tcPr>
          <w:p w14:paraId="792AFD41" w14:textId="77777777" w:rsidR="00AF11B1" w:rsidRDefault="00AF11B1" w:rsidP="00071A9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ownership/purpose code of item due-in.</w:t>
            </w:r>
          </w:p>
        </w:tc>
      </w:tr>
      <w:tr w:rsidR="00AF11B1" w14:paraId="792AFD47" w14:textId="77777777" w:rsidTr="00573CFA">
        <w:trPr>
          <w:cantSplit/>
        </w:trPr>
        <w:tc>
          <w:tcPr>
            <w:tcW w:w="2610" w:type="dxa"/>
          </w:tcPr>
          <w:p w14:paraId="792AFD43" w14:textId="77777777" w:rsidR="00AF11B1" w:rsidRDefault="00AF11B1" w:rsidP="00071A90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Multiuse</w:t>
            </w:r>
          </w:p>
          <w:p w14:paraId="792AFD44" w14:textId="77777777" w:rsidR="00AF11B1" w:rsidRDefault="00AF11B1" w:rsidP="00071A90">
            <w:pPr>
              <w:spacing w:before="60" w:after="60"/>
              <w:rPr>
                <w:rFonts w:cs="Arial"/>
                <w:szCs w:val="24"/>
              </w:rPr>
            </w:pPr>
          </w:p>
        </w:tc>
        <w:tc>
          <w:tcPr>
            <w:tcW w:w="1980" w:type="dxa"/>
          </w:tcPr>
          <w:p w14:paraId="792AFD45" w14:textId="77777777" w:rsidR="00AF11B1" w:rsidRDefault="00AF11B1" w:rsidP="00071A9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71-72</w:t>
            </w:r>
          </w:p>
        </w:tc>
        <w:tc>
          <w:tcPr>
            <w:tcW w:w="5130" w:type="dxa"/>
          </w:tcPr>
          <w:p w14:paraId="792AFD46" w14:textId="77777777" w:rsidR="00AF11B1" w:rsidRDefault="00AF11B1" w:rsidP="00071A9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For intra-Component use, enter data prescribed by the Component.  For inter- Component use, leave blank.</w:t>
            </w:r>
            <w:r w:rsidR="00FF0DBC">
              <w:rPr>
                <w:rStyle w:val="FootnoteReference"/>
                <w:szCs w:val="24"/>
              </w:rPr>
              <w:footnoteReference w:id="5"/>
            </w:r>
          </w:p>
        </w:tc>
      </w:tr>
      <w:tr w:rsidR="00AF11B1" w14:paraId="792AFD4C" w14:textId="77777777" w:rsidTr="00573CFA">
        <w:trPr>
          <w:cantSplit/>
        </w:trPr>
        <w:tc>
          <w:tcPr>
            <w:tcW w:w="2610" w:type="dxa"/>
          </w:tcPr>
          <w:p w14:paraId="792AFD48" w14:textId="77777777" w:rsidR="00AF11B1" w:rsidRDefault="00C04911" w:rsidP="00071A9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Date Indicator </w:t>
            </w:r>
            <w:r w:rsidR="00AF11B1">
              <w:rPr>
                <w:szCs w:val="24"/>
              </w:rPr>
              <w:t>(Estimated Delivery)</w:t>
            </w:r>
          </w:p>
        </w:tc>
        <w:tc>
          <w:tcPr>
            <w:tcW w:w="1980" w:type="dxa"/>
          </w:tcPr>
          <w:p w14:paraId="792AFD49" w14:textId="77777777" w:rsidR="00AF11B1" w:rsidRDefault="00AF11B1" w:rsidP="00071A9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73-75</w:t>
            </w:r>
          </w:p>
        </w:tc>
        <w:tc>
          <w:tcPr>
            <w:tcW w:w="5130" w:type="dxa"/>
          </w:tcPr>
          <w:p w14:paraId="792AFD4B" w14:textId="1E483B9B" w:rsidR="00AF11B1" w:rsidRDefault="00AF11B1" w:rsidP="00071A9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last digit of the calendar year and 2-digit month signifying estimated delivery date; e.g., 207 is 2002, month of July.</w:t>
            </w:r>
            <w:r>
              <w:rPr>
                <w:rStyle w:val="FootnoteReference"/>
                <w:szCs w:val="24"/>
              </w:rPr>
              <w:footnoteReference w:id="6"/>
            </w:r>
          </w:p>
        </w:tc>
      </w:tr>
      <w:tr w:rsidR="00AF11B1" w14:paraId="792AFD50" w14:textId="77777777" w:rsidTr="00573CFA">
        <w:trPr>
          <w:cantSplit/>
        </w:trPr>
        <w:tc>
          <w:tcPr>
            <w:tcW w:w="2610" w:type="dxa"/>
          </w:tcPr>
          <w:p w14:paraId="792AFD4D" w14:textId="77777777" w:rsidR="00AF11B1" w:rsidRDefault="00AF11B1" w:rsidP="00071A9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lastRenderedPageBreak/>
              <w:t>Multiuse</w:t>
            </w:r>
          </w:p>
        </w:tc>
        <w:tc>
          <w:tcPr>
            <w:tcW w:w="1980" w:type="dxa"/>
          </w:tcPr>
          <w:p w14:paraId="792AFD4E" w14:textId="77777777" w:rsidR="00AF11B1" w:rsidRDefault="00AF11B1" w:rsidP="00071A9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76</w:t>
            </w:r>
          </w:p>
        </w:tc>
        <w:tc>
          <w:tcPr>
            <w:tcW w:w="5130" w:type="dxa"/>
          </w:tcPr>
          <w:p w14:paraId="792AFD4F" w14:textId="77777777" w:rsidR="00AF11B1" w:rsidRDefault="00AF11B1" w:rsidP="00071A9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For intra-Component use, enter data prescribed by the Component.  For inter- Component use, leave blank.</w:t>
            </w:r>
          </w:p>
        </w:tc>
      </w:tr>
      <w:tr w:rsidR="001365B9" w:rsidRPr="001365B9" w14:paraId="792AFD54" w14:textId="77777777" w:rsidTr="00573CFA">
        <w:trPr>
          <w:cantSplit/>
        </w:trPr>
        <w:tc>
          <w:tcPr>
            <w:tcW w:w="2610" w:type="dxa"/>
          </w:tcPr>
          <w:p w14:paraId="792AFD51" w14:textId="2DC5FCD6" w:rsidR="00AF11B1" w:rsidRPr="001365B9" w:rsidRDefault="00AF11B1" w:rsidP="00071A90">
            <w:pPr>
              <w:spacing w:before="60" w:after="60"/>
              <w:rPr>
                <w:rFonts w:cs="Arial"/>
                <w:szCs w:val="24"/>
              </w:rPr>
            </w:pPr>
            <w:r w:rsidRPr="001365B9">
              <w:rPr>
                <w:szCs w:val="24"/>
              </w:rPr>
              <w:t>Call/Order Number</w:t>
            </w:r>
          </w:p>
        </w:tc>
        <w:tc>
          <w:tcPr>
            <w:tcW w:w="1980" w:type="dxa"/>
          </w:tcPr>
          <w:p w14:paraId="792AFD52" w14:textId="77777777" w:rsidR="00AF11B1" w:rsidRPr="001365B9" w:rsidRDefault="00AF11B1" w:rsidP="00071A90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1365B9">
              <w:rPr>
                <w:szCs w:val="24"/>
              </w:rPr>
              <w:t>77-80</w:t>
            </w:r>
          </w:p>
        </w:tc>
        <w:tc>
          <w:tcPr>
            <w:tcW w:w="5130" w:type="dxa"/>
          </w:tcPr>
          <w:p w14:paraId="792AFD53" w14:textId="69092872" w:rsidR="00AF11B1" w:rsidRPr="001365B9" w:rsidRDefault="00481564" w:rsidP="00071A90">
            <w:pPr>
              <w:spacing w:before="60" w:after="60"/>
              <w:rPr>
                <w:rFonts w:cs="Arial"/>
                <w:szCs w:val="24"/>
              </w:rPr>
            </w:pPr>
            <w:r w:rsidRPr="001365B9">
              <w:rPr>
                <w:rFonts w:cs="Arial"/>
              </w:rPr>
              <w:t xml:space="preserve">Enter applicable </w:t>
            </w:r>
            <w:r w:rsidRPr="005E323C">
              <w:rPr>
                <w:rFonts w:cs="Arial"/>
              </w:rPr>
              <w:t>legacy four-position</w:t>
            </w:r>
            <w:r w:rsidRPr="001365B9">
              <w:rPr>
                <w:rFonts w:cs="Arial"/>
              </w:rPr>
              <w:t xml:space="preserve"> call/order number </w:t>
            </w:r>
            <w:r w:rsidRPr="005E323C">
              <w:rPr>
                <w:rFonts w:cs="Arial"/>
              </w:rPr>
              <w:t>associated with the PIIN</w:t>
            </w:r>
            <w:r w:rsidRPr="001365B9">
              <w:rPr>
                <w:rFonts w:cs="Arial"/>
              </w:rPr>
              <w:t>; otherwise, leave blank</w:t>
            </w:r>
            <w:r w:rsidR="00AF11B1" w:rsidRPr="001365B9">
              <w:rPr>
                <w:szCs w:val="24"/>
              </w:rPr>
              <w:t>.</w:t>
            </w:r>
          </w:p>
        </w:tc>
      </w:tr>
    </w:tbl>
    <w:p w14:paraId="792AFD55" w14:textId="77777777" w:rsidR="00AF11B1" w:rsidRDefault="00AF11B1">
      <w:pPr>
        <w:pStyle w:val="Heading2"/>
      </w:pPr>
    </w:p>
    <w:sectPr w:rsidR="00AF11B1" w:rsidSect="00573CFA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AFD58" w14:textId="77777777" w:rsidR="00317896" w:rsidRDefault="00317896">
      <w:r>
        <w:separator/>
      </w:r>
    </w:p>
  </w:endnote>
  <w:endnote w:type="continuationSeparator" w:id="0">
    <w:p w14:paraId="792AFD59" w14:textId="77777777" w:rsidR="00317896" w:rsidRDefault="0031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AFD5E" w14:textId="77777777" w:rsidR="00E31457" w:rsidRDefault="00D25639" w:rsidP="00AF11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3145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1457">
      <w:rPr>
        <w:rStyle w:val="PageNumber"/>
        <w:noProof/>
      </w:rPr>
      <w:t>2</w:t>
    </w:r>
    <w:r>
      <w:rPr>
        <w:rStyle w:val="PageNumber"/>
      </w:rPr>
      <w:fldChar w:fldCharType="end"/>
    </w:r>
  </w:p>
  <w:p w14:paraId="792AFD5F" w14:textId="77777777" w:rsidR="00AF11B1" w:rsidRDefault="00AF11B1">
    <w:pPr>
      <w:pStyle w:val="Footer"/>
      <w:jc w:val="center"/>
      <w:rPr>
        <w:b/>
      </w:rPr>
    </w:pPr>
    <w:r>
      <w:rPr>
        <w:b/>
      </w:rPr>
      <w:t>AP3.10-</w:t>
    </w:r>
  </w:p>
  <w:p w14:paraId="792AFD60" w14:textId="77777777" w:rsidR="00AF11B1" w:rsidRDefault="00AF11B1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AFD61" w14:textId="20ADEB18" w:rsidR="00E31457" w:rsidRPr="00E31457" w:rsidRDefault="00E31457" w:rsidP="00AF11B1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AP3.10-</w:t>
    </w:r>
    <w:r w:rsidR="00D25639" w:rsidRPr="00E31457">
      <w:rPr>
        <w:rStyle w:val="PageNumber"/>
        <w:b w:val="0"/>
      </w:rPr>
      <w:fldChar w:fldCharType="begin"/>
    </w:r>
    <w:r w:rsidRPr="00E31457">
      <w:rPr>
        <w:rStyle w:val="PageNumber"/>
        <w:b w:val="0"/>
      </w:rPr>
      <w:instrText xml:space="preserve">PAGE  </w:instrText>
    </w:r>
    <w:r w:rsidR="00D25639" w:rsidRPr="00E31457">
      <w:rPr>
        <w:rStyle w:val="PageNumber"/>
        <w:b w:val="0"/>
      </w:rPr>
      <w:fldChar w:fldCharType="separate"/>
    </w:r>
    <w:r w:rsidR="007D7ABE">
      <w:rPr>
        <w:rStyle w:val="PageNumber"/>
        <w:b w:val="0"/>
        <w:noProof/>
      </w:rPr>
      <w:t>1</w:t>
    </w:r>
    <w:r w:rsidR="00D25639" w:rsidRPr="00E31457">
      <w:rPr>
        <w:rStyle w:val="PageNumber"/>
        <w:b w:val="0"/>
      </w:rPr>
      <w:fldChar w:fldCharType="end"/>
    </w:r>
  </w:p>
  <w:p w14:paraId="792AFD62" w14:textId="77777777" w:rsidR="00AF11B1" w:rsidRPr="00E31457" w:rsidRDefault="00E31457" w:rsidP="00E31457">
    <w:pPr>
      <w:pStyle w:val="Footer"/>
      <w:tabs>
        <w:tab w:val="clear" w:pos="4320"/>
        <w:tab w:val="clear" w:pos="8640"/>
      </w:tabs>
      <w:jc w:val="right"/>
    </w:pPr>
    <w:r w:rsidRPr="00E31457">
      <w:t>APPENDIX 3.10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AFD56" w14:textId="77777777" w:rsidR="00317896" w:rsidRDefault="00317896">
      <w:r>
        <w:separator/>
      </w:r>
    </w:p>
  </w:footnote>
  <w:footnote w:type="continuationSeparator" w:id="0">
    <w:p w14:paraId="792AFD57" w14:textId="77777777" w:rsidR="00317896" w:rsidRDefault="00317896">
      <w:r>
        <w:continuationSeparator/>
      </w:r>
    </w:p>
  </w:footnote>
  <w:footnote w:id="1">
    <w:p w14:paraId="792AFD65" w14:textId="77777777" w:rsidR="00AF11B1" w:rsidRDefault="00AF11B1">
      <w:pPr>
        <w:rPr>
          <w:sz w:val="20"/>
        </w:rPr>
      </w:pPr>
      <w:r>
        <w:rPr>
          <w:rStyle w:val="FootnoteReference"/>
          <w:sz w:val="20"/>
        </w:rPr>
        <w:footnoteRef/>
      </w:r>
      <w:r>
        <w:rPr>
          <w:sz w:val="20"/>
        </w:rPr>
        <w:t xml:space="preserve">See Appendix AP3 - Formats Introduction, Paragraph AP3.3.1. </w:t>
      </w:r>
    </w:p>
    <w:p w14:paraId="792AFD66" w14:textId="77777777" w:rsidR="00AF11B1" w:rsidRDefault="00AF11B1">
      <w:pPr>
        <w:rPr>
          <w:sz w:val="8"/>
          <w:szCs w:val="24"/>
        </w:rPr>
      </w:pPr>
    </w:p>
  </w:footnote>
  <w:footnote w:id="2">
    <w:p w14:paraId="792AFD67" w14:textId="77777777" w:rsidR="00AF11B1" w:rsidRDefault="00AF11B1">
      <w:pPr>
        <w:rPr>
          <w:szCs w:val="24"/>
        </w:rPr>
      </w:pPr>
      <w:r>
        <w:rPr>
          <w:rStyle w:val="FootnoteReference"/>
          <w:sz w:val="20"/>
        </w:rPr>
        <w:footnoteRef/>
      </w:r>
      <w:r>
        <w:rPr>
          <w:sz w:val="20"/>
        </w:rPr>
        <w:t>See Appendix AP3 - Formats Introduction, Paragraph AP3.3.2.</w:t>
      </w:r>
      <w:r>
        <w:t xml:space="preserve"> </w:t>
      </w:r>
    </w:p>
  </w:footnote>
  <w:footnote w:id="3">
    <w:p w14:paraId="2C0098FC" w14:textId="71A41987" w:rsidR="00481564" w:rsidRPr="00481564" w:rsidRDefault="00481564" w:rsidP="00481564">
      <w:pPr>
        <w:pStyle w:val="FootnoteText"/>
      </w:pPr>
      <w:r w:rsidRPr="00481564">
        <w:rPr>
          <w:rStyle w:val="FootnoteReference"/>
        </w:rPr>
        <w:footnoteRef/>
      </w:r>
      <w:r w:rsidRPr="00481564">
        <w:t xml:space="preserve"> </w:t>
      </w:r>
      <w:r w:rsidRPr="005E323C">
        <w:rPr>
          <w:rFonts w:cs="Arial"/>
        </w:rPr>
        <w:t xml:space="preserve">Use the legacy PIIN pending transition to the PIID. </w:t>
      </w:r>
      <w:r w:rsidRPr="005E323C" w:rsidDel="004B146B">
        <w:t xml:space="preserve"> </w:t>
      </w:r>
      <w:r w:rsidRPr="005E323C">
        <w:t>Refer to ADC 1161</w:t>
      </w:r>
      <w:r w:rsidR="00E85637" w:rsidRPr="005E323C">
        <w:t>A</w:t>
      </w:r>
      <w:r w:rsidRPr="005E323C">
        <w:t>.</w:t>
      </w:r>
    </w:p>
  </w:footnote>
  <w:footnote w:id="4">
    <w:p w14:paraId="792AFD68" w14:textId="77777777" w:rsidR="00AF11B1" w:rsidRDefault="00AF11B1">
      <w:pPr>
        <w:rPr>
          <w:sz w:val="20"/>
          <w:szCs w:val="24"/>
        </w:rPr>
      </w:pPr>
      <w:r>
        <w:rPr>
          <w:rStyle w:val="FootnoteReference"/>
          <w:sz w:val="20"/>
        </w:rPr>
        <w:footnoteRef/>
      </w:r>
      <w:r>
        <w:rPr>
          <w:sz w:val="20"/>
        </w:rPr>
        <w:t xml:space="preserve">See Appendix AP3 - Formats Introduction, Paragraph AP3.3.3. </w:t>
      </w:r>
    </w:p>
  </w:footnote>
  <w:footnote w:id="5">
    <w:p w14:paraId="792AFD69" w14:textId="22DA41EE" w:rsidR="00FF0DBC" w:rsidRPr="000D3190" w:rsidRDefault="00FF0DBC">
      <w:pPr>
        <w:pStyle w:val="FootnoteText"/>
      </w:pPr>
      <w:r w:rsidRPr="000D3190">
        <w:rPr>
          <w:rStyle w:val="FootnoteReference"/>
        </w:rPr>
        <w:footnoteRef/>
      </w:r>
      <w:r w:rsidRPr="000D3190">
        <w:t xml:space="preserve"> For </w:t>
      </w:r>
      <w:r w:rsidR="0047735A">
        <w:t>DIC</w:t>
      </w:r>
      <w:r w:rsidRPr="000D3190">
        <w:t xml:space="preserve"> DDX, DLA enters the supply condition code in rp 71 on an inter-Component basis based upon trading partner agreement.  All DOD Components must implement use of SCC with DLMS 527D due-in transaction corresponding to MILSTRAP </w:t>
      </w:r>
      <w:r w:rsidR="0047735A">
        <w:t>DIC</w:t>
      </w:r>
      <w:r w:rsidRPr="000D3190">
        <w:t xml:space="preserve"> DD_ functionality, in their modernized systems.  MILSTRAP </w:t>
      </w:r>
      <w:r w:rsidR="0047735A">
        <w:t>DIC</w:t>
      </w:r>
      <w:r w:rsidRPr="000D3190">
        <w:t xml:space="preserve"> DD_ corresponds to DLMS 527D with beginning segment Transaction Type Code DA and use of CS segment for contract number or purchase request number.  DLMS 527D for MILSTRAP </w:t>
      </w:r>
      <w:r w:rsidR="0047735A">
        <w:t>DIC</w:t>
      </w:r>
      <w:r w:rsidRPr="000D3190">
        <w:t xml:space="preserve"> DDX functionality includes LIN01 code T.  Refer to ADC 423.</w:t>
      </w:r>
    </w:p>
  </w:footnote>
  <w:footnote w:id="6">
    <w:p w14:paraId="792AFD6A" w14:textId="77777777" w:rsidR="00AF11B1" w:rsidRDefault="00AF11B1">
      <w:pPr>
        <w:pStyle w:val="FootnoteText"/>
      </w:pPr>
      <w:r>
        <w:rPr>
          <w:rStyle w:val="FootnoteReference"/>
          <w:sz w:val="22"/>
        </w:rPr>
        <w:footnoteRef/>
      </w:r>
      <w:r>
        <w:t xml:space="preserve"> See Appendix AP3 - Formats introduction, Paragraph </w:t>
      </w:r>
      <w:r>
        <w:rPr>
          <w:szCs w:val="24"/>
        </w:rPr>
        <w:t xml:space="preserve">AP3.3.4.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AFD5A" w14:textId="77777777" w:rsidR="00AF11B1" w:rsidRDefault="00AF11B1">
    <w:pPr>
      <w:rPr>
        <w:i/>
      </w:rPr>
    </w:pPr>
  </w:p>
  <w:p w14:paraId="792AFD5B" w14:textId="77777777" w:rsidR="00AF11B1" w:rsidRDefault="00AF11B1">
    <w:pPr>
      <w:pStyle w:val="Header"/>
      <w:jc w:val="left"/>
      <w:rPr>
        <w:b/>
        <w:bCs/>
        <w:u w:val="none"/>
      </w:rPr>
    </w:pPr>
    <w:r>
      <w:rPr>
        <w:b/>
        <w:bCs/>
        <w:u w:val="none"/>
      </w:rPr>
      <w:t>DoD 4000.25-2-M</w:t>
    </w:r>
  </w:p>
  <w:p w14:paraId="792AFD5C" w14:textId="77777777" w:rsidR="00AF11B1" w:rsidRDefault="00AF11B1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EAD0B" w14:textId="49DBAF69" w:rsidR="00940BB0" w:rsidRDefault="00940BB0" w:rsidP="00940BB0">
    <w:pPr>
      <w:pStyle w:val="Header"/>
      <w:tabs>
        <w:tab w:val="left" w:pos="720"/>
      </w:tabs>
      <w:jc w:val="right"/>
      <w:rPr>
        <w:rFonts w:cs="Arial"/>
        <w:i/>
        <w:szCs w:val="24"/>
        <w:u w:val="none"/>
      </w:rPr>
    </w:pPr>
    <w:r>
      <w:rPr>
        <w:rFonts w:cs="Arial"/>
        <w:i/>
        <w:szCs w:val="24"/>
        <w:u w:val="none"/>
      </w:rPr>
      <w:t xml:space="preserve">DLM 4000.25, Volume 2, </w:t>
    </w:r>
    <w:r w:rsidR="007D7ABE">
      <w:rPr>
        <w:rFonts w:cs="Arial"/>
        <w:i/>
        <w:szCs w:val="24"/>
        <w:u w:val="none"/>
      </w:rPr>
      <w:t>November 26</w:t>
    </w:r>
    <w:r>
      <w:rPr>
        <w:rFonts w:cs="Arial"/>
        <w:i/>
        <w:szCs w:val="24"/>
        <w:u w:val="none"/>
      </w:rPr>
      <w:t>, 2019</w:t>
    </w:r>
  </w:p>
  <w:p w14:paraId="08529EC0" w14:textId="5E0DEA2D" w:rsidR="00481564" w:rsidRPr="00481564" w:rsidRDefault="00940BB0" w:rsidP="00940BB0">
    <w:pPr>
      <w:pStyle w:val="Header"/>
      <w:tabs>
        <w:tab w:val="left" w:pos="720"/>
      </w:tabs>
      <w:jc w:val="right"/>
      <w:rPr>
        <w:i/>
      </w:rPr>
    </w:pPr>
    <w:r>
      <w:rPr>
        <w:rFonts w:cs="Arial"/>
        <w:i/>
        <w:szCs w:val="24"/>
        <w:u w:val="none"/>
      </w:rPr>
      <w:t>Change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4E2A085E"/>
    <w:lvl w:ilvl="0">
      <w:start w:val="1"/>
      <w:numFmt w:val="none"/>
      <w:suff w:val="nothing"/>
      <w:lvlText w:val="AP3.10  APPENDIX 3.10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decimal"/>
      <w:suff w:val="nothing"/>
      <w:lvlText w:val="AP%1.%2  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nothing"/>
      <w:lvlText w:val="AP%1.%2.%3  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nothing"/>
      <w:lvlText w:val="AP%1.%2.%3.%4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suff w:val="nothing"/>
      <w:lvlText w:val="AP%1.%2.%3.%4.%5 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nothing"/>
      <w:lvlText w:val="AP%1.%2.%3.%4.%5.%6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suff w:val="nothing"/>
      <w:lvlText w:val="AP%1.%2.%3.%4.%5.%6.%7 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nothing"/>
      <w:lvlText w:val="AP%1.%2.%3.%4.%5.%6.%7.%8 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pStyle w:val="Heading9"/>
      <w:suff w:val="nothing"/>
      <w:lvlText w:val="AP%1.%2.%3.%4.%5.%6.%7.%8.%9 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en-US" w:vendorID="64" w:dllVersion="131077" w:nlCheck="1" w:checkStyle="0"/>
  <w:activeWritingStyle w:appName="MSWord" w:lang="en-US" w:vendorID="64" w:dllVersion="131078" w:nlCheck="1" w:checkStyle="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1457"/>
    <w:rsid w:val="00000DF5"/>
    <w:rsid w:val="00071A90"/>
    <w:rsid w:val="00073C90"/>
    <w:rsid w:val="000D3190"/>
    <w:rsid w:val="000D3FC8"/>
    <w:rsid w:val="001365B9"/>
    <w:rsid w:val="00230491"/>
    <w:rsid w:val="002D203C"/>
    <w:rsid w:val="002D3155"/>
    <w:rsid w:val="00306CB8"/>
    <w:rsid w:val="00317896"/>
    <w:rsid w:val="00437DDC"/>
    <w:rsid w:val="0047735A"/>
    <w:rsid w:val="00481564"/>
    <w:rsid w:val="004C5929"/>
    <w:rsid w:val="00541DF3"/>
    <w:rsid w:val="00557AEC"/>
    <w:rsid w:val="00573CFA"/>
    <w:rsid w:val="005E323C"/>
    <w:rsid w:val="007D7ABE"/>
    <w:rsid w:val="00940BB0"/>
    <w:rsid w:val="009C15E1"/>
    <w:rsid w:val="00AB3344"/>
    <w:rsid w:val="00AF11B1"/>
    <w:rsid w:val="00B535B1"/>
    <w:rsid w:val="00B96110"/>
    <w:rsid w:val="00BC1546"/>
    <w:rsid w:val="00C04911"/>
    <w:rsid w:val="00CE12A7"/>
    <w:rsid w:val="00D25639"/>
    <w:rsid w:val="00D35710"/>
    <w:rsid w:val="00D71644"/>
    <w:rsid w:val="00DD4035"/>
    <w:rsid w:val="00DF5E08"/>
    <w:rsid w:val="00E31457"/>
    <w:rsid w:val="00E623BC"/>
    <w:rsid w:val="00E85637"/>
    <w:rsid w:val="00E86083"/>
    <w:rsid w:val="00F816C2"/>
    <w:rsid w:val="00FF0DBC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92AFCDA"/>
  <w15:docId w15:val="{F5C94E94-B040-4B6E-9746-B35BD215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5E1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9C15E1"/>
    <w:p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9C15E1"/>
    <w:pPr>
      <w:spacing w:before="60" w:after="120"/>
      <w:outlineLvl w:val="1"/>
    </w:pPr>
  </w:style>
  <w:style w:type="paragraph" w:styleId="Heading3">
    <w:name w:val="heading 3"/>
    <w:basedOn w:val="Normal"/>
    <w:qFormat/>
    <w:rsid w:val="009C15E1"/>
    <w:p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9C15E1"/>
    <w:pPr>
      <w:spacing w:before="60" w:after="120"/>
      <w:outlineLvl w:val="3"/>
    </w:pPr>
  </w:style>
  <w:style w:type="paragraph" w:styleId="Heading5">
    <w:name w:val="heading 5"/>
    <w:basedOn w:val="Normal"/>
    <w:qFormat/>
    <w:rsid w:val="009C15E1"/>
    <w:pPr>
      <w:spacing w:before="60" w:after="120"/>
      <w:outlineLvl w:val="4"/>
    </w:pPr>
  </w:style>
  <w:style w:type="paragraph" w:styleId="Heading6">
    <w:name w:val="heading 6"/>
    <w:basedOn w:val="Normal"/>
    <w:qFormat/>
    <w:rsid w:val="009C15E1"/>
    <w:p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9C15E1"/>
    <w:p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9C15E1"/>
    <w:pPr>
      <w:spacing w:before="60" w:after="120"/>
      <w:outlineLvl w:val="7"/>
    </w:pPr>
  </w:style>
  <w:style w:type="paragraph" w:styleId="Heading9">
    <w:name w:val="heading 9"/>
    <w:basedOn w:val="Normal"/>
    <w:qFormat/>
    <w:rsid w:val="009C15E1"/>
    <w:pPr>
      <w:numPr>
        <w:ilvl w:val="8"/>
        <w:numId w:val="1"/>
      </w:num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9C15E1"/>
    <w:rPr>
      <w:vertAlign w:val="superscript"/>
    </w:rPr>
  </w:style>
  <w:style w:type="character" w:styleId="FootnoteReference">
    <w:name w:val="footnote reference"/>
    <w:basedOn w:val="DefaultParagraphFont"/>
    <w:rsid w:val="009C15E1"/>
    <w:rPr>
      <w:vertAlign w:val="superscript"/>
    </w:rPr>
  </w:style>
  <w:style w:type="character" w:styleId="PageNumber">
    <w:name w:val="page number"/>
    <w:basedOn w:val="DefaultParagraphFont"/>
    <w:rsid w:val="009C15E1"/>
    <w:rPr>
      <w:rFonts w:ascii="Arial" w:hAnsi="Arial"/>
      <w:b/>
      <w:sz w:val="24"/>
    </w:rPr>
  </w:style>
  <w:style w:type="paragraph" w:styleId="Footer">
    <w:name w:val="footer"/>
    <w:basedOn w:val="Normal"/>
    <w:rsid w:val="009C15E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9C15E1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aliases w:val="ft"/>
    <w:basedOn w:val="Normal"/>
    <w:link w:val="FootnoteTextChar"/>
    <w:rsid w:val="009C15E1"/>
    <w:rPr>
      <w:sz w:val="20"/>
    </w:rPr>
  </w:style>
  <w:style w:type="paragraph" w:customStyle="1" w:styleId="SubTitle">
    <w:name w:val="Sub Title"/>
    <w:basedOn w:val="Title"/>
    <w:rsid w:val="009C15E1"/>
    <w:rPr>
      <w:u w:val="single"/>
    </w:rPr>
  </w:style>
  <w:style w:type="paragraph" w:styleId="Title">
    <w:name w:val="Title"/>
    <w:basedOn w:val="Normal"/>
    <w:next w:val="Header"/>
    <w:qFormat/>
    <w:rsid w:val="009C15E1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9C15E1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9C15E1"/>
    <w:pPr>
      <w:spacing w:after="160"/>
      <w:ind w:left="1440"/>
    </w:pPr>
  </w:style>
  <w:style w:type="paragraph" w:styleId="BodyText">
    <w:name w:val="Body Text"/>
    <w:basedOn w:val="Normal"/>
    <w:rsid w:val="009C15E1"/>
    <w:pPr>
      <w:spacing w:after="120"/>
    </w:pPr>
  </w:style>
  <w:style w:type="paragraph" w:styleId="ListBullet">
    <w:name w:val="List Bullet"/>
    <w:basedOn w:val="Normal"/>
    <w:rsid w:val="009C15E1"/>
    <w:pPr>
      <w:spacing w:after="120"/>
      <w:ind w:left="360" w:hanging="360"/>
    </w:pPr>
  </w:style>
  <w:style w:type="paragraph" w:styleId="ListBullet2">
    <w:name w:val="List Bullet 2"/>
    <w:basedOn w:val="Normal"/>
    <w:rsid w:val="009C15E1"/>
    <w:pPr>
      <w:ind w:left="720" w:hanging="360"/>
    </w:pPr>
  </w:style>
  <w:style w:type="paragraph" w:styleId="ListBullet3">
    <w:name w:val="List Bullet 3"/>
    <w:basedOn w:val="Normal"/>
    <w:rsid w:val="009C15E1"/>
    <w:pPr>
      <w:ind w:left="1080" w:hanging="360"/>
    </w:pPr>
  </w:style>
  <w:style w:type="paragraph" w:styleId="ListNumber">
    <w:name w:val="List Number"/>
    <w:basedOn w:val="Normal"/>
    <w:rsid w:val="009C15E1"/>
    <w:pPr>
      <w:ind w:left="360" w:hanging="360"/>
    </w:pPr>
  </w:style>
  <w:style w:type="paragraph" w:styleId="ListNumber2">
    <w:name w:val="List Number 2"/>
    <w:basedOn w:val="Normal"/>
    <w:rsid w:val="009C15E1"/>
    <w:pPr>
      <w:ind w:left="720" w:hanging="360"/>
    </w:pPr>
  </w:style>
  <w:style w:type="paragraph" w:styleId="ListNumber3">
    <w:name w:val="List Number 3"/>
    <w:basedOn w:val="Normal"/>
    <w:rsid w:val="009C15E1"/>
    <w:pPr>
      <w:ind w:left="1080" w:hanging="360"/>
    </w:pPr>
  </w:style>
  <w:style w:type="paragraph" w:styleId="DocumentMap">
    <w:name w:val="Document Map"/>
    <w:basedOn w:val="Normal"/>
    <w:semiHidden/>
    <w:rsid w:val="009C15E1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9C15E1"/>
    <w:rPr>
      <w:rFonts w:ascii="Arial" w:hAnsi="Arial"/>
      <w:noProof/>
      <w:sz w:val="24"/>
    </w:rPr>
  </w:style>
  <w:style w:type="paragraph" w:styleId="BalloonText">
    <w:name w:val="Balloon Text"/>
    <w:basedOn w:val="Normal"/>
    <w:link w:val="BalloonTextChar"/>
    <w:rsid w:val="00FF0D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0DBC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ft Char"/>
    <w:basedOn w:val="DefaultParagraphFont"/>
    <w:link w:val="FootnoteText"/>
    <w:rsid w:val="00481564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940BB0"/>
    <w:rPr>
      <w:rFonts w:ascii="Arial" w:hAnsi="Arial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rca0094\Application%20Data\Microsoft\Templates\Manuals\Appendix%20MILSTR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BD4C3-5CD5-4C30-902D-A2F8A31E0D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3635C8-CD58-4A2B-BA89-115E8FF30DD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4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760517C-F10F-4A9A-9D98-F8B7FEF6527E}"/>
</file>

<file path=customXml/itemProps4.xml><?xml version="1.0" encoding="utf-8"?>
<ds:datastoreItem xmlns:ds="http://schemas.openxmlformats.org/officeDocument/2006/customXml" ds:itemID="{E65AA0B5-1508-41DD-9E21-DFAFE9A58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Appendix MILSTRAP.dot</Template>
  <TotalTime>37</TotalTime>
  <Pages>3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3.10  DD_  due-in –procurement instrument source</vt:lpstr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3.10  DD_  due-in –procurement instrument source</dc:title>
  <dc:subject/>
  <dc:creator>DLA</dc:creator>
  <cp:keywords/>
  <cp:lastModifiedBy>Nguyen, Bao X CTR DLA INFO OPERATIONS (USA)</cp:lastModifiedBy>
  <cp:revision>19</cp:revision>
  <cp:lastPrinted>2012-05-03T14:07:00Z</cp:lastPrinted>
  <dcterms:created xsi:type="dcterms:W3CDTF">2011-09-29T13:21:00Z</dcterms:created>
  <dcterms:modified xsi:type="dcterms:W3CDTF">2019-11-26T19:49:00Z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2325100</vt:r8>
  </property>
</Properties>
</file>