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E93E6" w14:textId="0385C2EF" w:rsidR="00085949" w:rsidRPr="004E1552" w:rsidRDefault="00624DD2" w:rsidP="00DE56A3">
      <w:pPr>
        <w:spacing w:before="120" w:after="120"/>
        <w:jc w:val="center"/>
        <w:rPr>
          <w:b/>
          <w:sz w:val="44"/>
          <w:szCs w:val="44"/>
          <w:u w:val="single"/>
        </w:rPr>
      </w:pPr>
      <w:r w:rsidRPr="004E1552">
        <w:rPr>
          <w:b/>
          <w:sz w:val="44"/>
          <w:szCs w:val="44"/>
          <w:u w:val="single"/>
        </w:rPr>
        <w:t>AP3.5</w:t>
      </w:r>
      <w:r w:rsidR="00C34CC0">
        <w:rPr>
          <w:b/>
          <w:sz w:val="44"/>
          <w:szCs w:val="44"/>
          <w:u w:val="single"/>
        </w:rPr>
        <w:t>1</w:t>
      </w:r>
      <w:r w:rsidRPr="004E1552">
        <w:rPr>
          <w:b/>
          <w:sz w:val="44"/>
          <w:szCs w:val="44"/>
          <w:u w:val="single"/>
        </w:rPr>
        <w:t xml:space="preserve">. </w:t>
      </w:r>
      <w:r w:rsidR="00661F73" w:rsidRPr="004E1552">
        <w:rPr>
          <w:b/>
          <w:sz w:val="44"/>
          <w:szCs w:val="44"/>
          <w:u w:val="single"/>
        </w:rPr>
        <w:t>APPENDIX 3.5</w:t>
      </w:r>
      <w:r w:rsidR="00C34CC0">
        <w:rPr>
          <w:b/>
          <w:sz w:val="44"/>
          <w:szCs w:val="44"/>
          <w:u w:val="single"/>
        </w:rPr>
        <w:t>1</w:t>
      </w:r>
    </w:p>
    <w:p w14:paraId="729E93E7" w14:textId="77777777" w:rsidR="00085949" w:rsidRPr="00624DD2" w:rsidRDefault="00624DD2" w:rsidP="00DE56A3">
      <w:pPr>
        <w:spacing w:after="360"/>
        <w:jc w:val="center"/>
        <w:rPr>
          <w:b/>
          <w:sz w:val="36"/>
          <w:szCs w:val="36"/>
          <w:u w:val="single"/>
        </w:rPr>
      </w:pPr>
      <w:r w:rsidRPr="00624DD2">
        <w:rPr>
          <w:b/>
          <w:sz w:val="36"/>
          <w:szCs w:val="36"/>
          <w:u w:val="single"/>
        </w:rPr>
        <w:t>STATUS NOTIFICATION TRANSACTION</w:t>
      </w:r>
    </w:p>
    <w:tbl>
      <w:tblPr>
        <w:tblW w:w="97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2160"/>
        <w:gridCol w:w="4950"/>
      </w:tblGrid>
      <w:tr w:rsidR="00085949" w14:paraId="729E93EF" w14:textId="77777777" w:rsidTr="00DE56A3">
        <w:trPr>
          <w:tblHeader/>
        </w:trPr>
        <w:tc>
          <w:tcPr>
            <w:tcW w:w="2610" w:type="dxa"/>
          </w:tcPr>
          <w:p w14:paraId="729E93E9" w14:textId="7581D6D5" w:rsidR="00085949" w:rsidRDefault="00085949" w:rsidP="001565C6">
            <w:pPr>
              <w:spacing w:before="60" w:after="60"/>
              <w:rPr>
                <w:rFonts w:cs="Arial"/>
                <w:b/>
                <w:bCs/>
              </w:rPr>
            </w:pPr>
          </w:p>
          <w:p w14:paraId="729E93EA" w14:textId="77777777" w:rsidR="00085949" w:rsidRDefault="00085949" w:rsidP="001565C6">
            <w:pPr>
              <w:spacing w:before="60" w:after="6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FIELD LEGEND</w:t>
            </w:r>
          </w:p>
        </w:tc>
        <w:tc>
          <w:tcPr>
            <w:tcW w:w="2160" w:type="dxa"/>
          </w:tcPr>
          <w:p w14:paraId="729E93EB" w14:textId="77777777" w:rsidR="00085949" w:rsidRDefault="00085949" w:rsidP="001565C6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RECORD</w:t>
            </w:r>
          </w:p>
          <w:p w14:paraId="729E93EC" w14:textId="77777777" w:rsidR="00085949" w:rsidRDefault="00085949" w:rsidP="001565C6">
            <w:pPr>
              <w:spacing w:before="60" w:after="60"/>
              <w:jc w:val="center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POSITION(S)</w:t>
            </w:r>
          </w:p>
        </w:tc>
        <w:tc>
          <w:tcPr>
            <w:tcW w:w="4950" w:type="dxa"/>
          </w:tcPr>
          <w:p w14:paraId="729E93ED" w14:textId="77777777" w:rsidR="00085949" w:rsidRDefault="00085949" w:rsidP="001565C6">
            <w:pPr>
              <w:spacing w:before="60" w:after="60"/>
              <w:rPr>
                <w:rFonts w:cs="Arial"/>
                <w:b/>
                <w:bCs/>
              </w:rPr>
            </w:pPr>
          </w:p>
          <w:p w14:paraId="729E93EE" w14:textId="77777777" w:rsidR="00085949" w:rsidRDefault="00085949" w:rsidP="001565C6">
            <w:pPr>
              <w:spacing w:before="60" w:after="6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ENTRY AND INSTRUCTIONS</w:t>
            </w:r>
          </w:p>
        </w:tc>
      </w:tr>
      <w:tr w:rsidR="00085949" w14:paraId="729E93F3" w14:textId="77777777" w:rsidTr="00DE56A3">
        <w:tc>
          <w:tcPr>
            <w:tcW w:w="2610" w:type="dxa"/>
          </w:tcPr>
          <w:p w14:paraId="729E93F0" w14:textId="35CD1733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Document Identifier</w:t>
            </w:r>
            <w:r w:rsidR="001565C6">
              <w:rPr>
                <w:rFonts w:cs="Arial"/>
              </w:rPr>
              <w:t xml:space="preserve"> Code</w:t>
            </w:r>
          </w:p>
        </w:tc>
        <w:tc>
          <w:tcPr>
            <w:tcW w:w="2160" w:type="dxa"/>
          </w:tcPr>
          <w:p w14:paraId="729E93F1" w14:textId="77777777" w:rsidR="00085949" w:rsidRDefault="00085949" w:rsidP="001565C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1-3</w:t>
            </w:r>
          </w:p>
        </w:tc>
        <w:tc>
          <w:tcPr>
            <w:tcW w:w="4950" w:type="dxa"/>
          </w:tcPr>
          <w:p w14:paraId="729E93F2" w14:textId="3D940352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</w:t>
            </w:r>
            <w:r w:rsidR="001565C6">
              <w:rPr>
                <w:rFonts w:cs="Arial"/>
              </w:rPr>
              <w:t>DIC</w:t>
            </w:r>
            <w:r>
              <w:rPr>
                <w:rFonts w:cs="Arial"/>
              </w:rPr>
              <w:t xml:space="preserve"> DZ9.</w:t>
            </w:r>
            <w:bookmarkStart w:id="0" w:name="_GoBack"/>
            <w:bookmarkEnd w:id="0"/>
          </w:p>
        </w:tc>
      </w:tr>
      <w:tr w:rsidR="00085949" w14:paraId="729E93F7" w14:textId="77777777" w:rsidTr="00DE56A3">
        <w:tc>
          <w:tcPr>
            <w:tcW w:w="2610" w:type="dxa"/>
          </w:tcPr>
          <w:p w14:paraId="729E93F4" w14:textId="0AA6C702" w:rsidR="00085949" w:rsidRDefault="00085949" w:rsidP="009C544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Routing Identifier </w:t>
            </w:r>
            <w:r w:rsidR="001565C6">
              <w:rPr>
                <w:rFonts w:cs="Arial"/>
              </w:rPr>
              <w:t xml:space="preserve">Code </w:t>
            </w:r>
            <w:r>
              <w:rPr>
                <w:rFonts w:cs="Arial"/>
              </w:rPr>
              <w:t>(TO)</w:t>
            </w:r>
          </w:p>
        </w:tc>
        <w:tc>
          <w:tcPr>
            <w:tcW w:w="2160" w:type="dxa"/>
          </w:tcPr>
          <w:p w14:paraId="729E93F5" w14:textId="77777777" w:rsidR="00085949" w:rsidRDefault="00085949" w:rsidP="001565C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4-6</w:t>
            </w:r>
          </w:p>
        </w:tc>
        <w:tc>
          <w:tcPr>
            <w:tcW w:w="4950" w:type="dxa"/>
          </w:tcPr>
          <w:p w14:paraId="729E93F6" w14:textId="3B2D58B1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</w:t>
            </w:r>
            <w:r w:rsidR="001565C6">
              <w:rPr>
                <w:rFonts w:cs="Arial"/>
              </w:rPr>
              <w:t>RIC</w:t>
            </w:r>
            <w:r>
              <w:rPr>
                <w:rFonts w:cs="Arial"/>
              </w:rPr>
              <w:t xml:space="preserve"> of the activity which submitted the incoming transaction being rerouted or revised by the </w:t>
            </w:r>
            <w:r w:rsidR="00602643" w:rsidRPr="00602643">
              <w:rPr>
                <w:rFonts w:cs="Arial"/>
              </w:rPr>
              <w:t xml:space="preserve">Defense Automated Addressing System </w:t>
            </w:r>
            <w:r w:rsidR="00602643">
              <w:rPr>
                <w:rFonts w:cs="Arial"/>
              </w:rPr>
              <w:t>(</w:t>
            </w:r>
            <w:r>
              <w:rPr>
                <w:rFonts w:cs="Arial"/>
              </w:rPr>
              <w:t>DAAS</w:t>
            </w:r>
            <w:r w:rsidR="00602643">
              <w:rPr>
                <w:rFonts w:cs="Arial"/>
              </w:rPr>
              <w:t>)</w:t>
            </w:r>
            <w:r>
              <w:rPr>
                <w:rFonts w:cs="Arial"/>
              </w:rPr>
              <w:t>.</w:t>
            </w:r>
          </w:p>
        </w:tc>
      </w:tr>
      <w:tr w:rsidR="00085949" w14:paraId="729E93FB" w14:textId="77777777" w:rsidTr="00DE56A3">
        <w:tc>
          <w:tcPr>
            <w:tcW w:w="2610" w:type="dxa"/>
          </w:tcPr>
          <w:p w14:paraId="729E93F8" w14:textId="77777777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Request</w:t>
            </w:r>
          </w:p>
        </w:tc>
        <w:tc>
          <w:tcPr>
            <w:tcW w:w="2160" w:type="dxa"/>
          </w:tcPr>
          <w:p w14:paraId="729E93F9" w14:textId="77777777" w:rsidR="00085949" w:rsidRDefault="00085949" w:rsidP="001565C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950" w:type="dxa"/>
          </w:tcPr>
          <w:p w14:paraId="729E93FA" w14:textId="77777777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Perpetuate from incoming request.</w:t>
            </w:r>
          </w:p>
        </w:tc>
      </w:tr>
      <w:tr w:rsidR="00085949" w14:paraId="729E93FF" w14:textId="77777777" w:rsidTr="00DE56A3">
        <w:tc>
          <w:tcPr>
            <w:tcW w:w="2610" w:type="dxa"/>
          </w:tcPr>
          <w:p w14:paraId="729E93FC" w14:textId="77777777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Federal Supply Class</w:t>
            </w:r>
          </w:p>
        </w:tc>
        <w:tc>
          <w:tcPr>
            <w:tcW w:w="2160" w:type="dxa"/>
          </w:tcPr>
          <w:p w14:paraId="729E93FD" w14:textId="77777777" w:rsidR="00085949" w:rsidRDefault="00085949" w:rsidP="001565C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8-11</w:t>
            </w:r>
          </w:p>
        </w:tc>
        <w:tc>
          <w:tcPr>
            <w:tcW w:w="4950" w:type="dxa"/>
          </w:tcPr>
          <w:p w14:paraId="729E93FE" w14:textId="4CF4BC20" w:rsidR="00085949" w:rsidRDefault="00085949" w:rsidP="0027748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When MILSTRIP Status Code BG is entered in record positions 79-80, enter the correct FSC for the </w:t>
            </w:r>
            <w:r w:rsidR="00602643" w:rsidRPr="00602643">
              <w:rPr>
                <w:rFonts w:cs="Arial"/>
              </w:rPr>
              <w:t>National Item Identification Number</w:t>
            </w:r>
            <w:r>
              <w:rPr>
                <w:rFonts w:cs="Arial"/>
              </w:rPr>
              <w:t>; otherwise, perpetuate from original transaction.</w:t>
            </w:r>
          </w:p>
        </w:tc>
      </w:tr>
      <w:tr w:rsidR="00085949" w14:paraId="729E9403" w14:textId="77777777" w:rsidTr="00DE56A3">
        <w:tc>
          <w:tcPr>
            <w:tcW w:w="2610" w:type="dxa"/>
          </w:tcPr>
          <w:p w14:paraId="729E9400" w14:textId="77777777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 fields</w:t>
            </w:r>
          </w:p>
        </w:tc>
        <w:tc>
          <w:tcPr>
            <w:tcW w:w="2160" w:type="dxa"/>
          </w:tcPr>
          <w:p w14:paraId="729E9401" w14:textId="77777777" w:rsidR="00085949" w:rsidRDefault="00085949" w:rsidP="001565C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12-56</w:t>
            </w:r>
          </w:p>
        </w:tc>
        <w:tc>
          <w:tcPr>
            <w:tcW w:w="4950" w:type="dxa"/>
          </w:tcPr>
          <w:p w14:paraId="729E9402" w14:textId="77777777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Perpetuate from original transaction.  </w:t>
            </w:r>
          </w:p>
        </w:tc>
      </w:tr>
      <w:tr w:rsidR="00085949" w14:paraId="729E9407" w14:textId="77777777" w:rsidTr="00DE56A3">
        <w:tc>
          <w:tcPr>
            <w:tcW w:w="2610" w:type="dxa"/>
          </w:tcPr>
          <w:p w14:paraId="729E9404" w14:textId="77777777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Routed Document Identification</w:t>
            </w:r>
          </w:p>
        </w:tc>
        <w:tc>
          <w:tcPr>
            <w:tcW w:w="2160" w:type="dxa"/>
          </w:tcPr>
          <w:p w14:paraId="729E9405" w14:textId="77777777" w:rsidR="00085949" w:rsidRDefault="00085949" w:rsidP="001565C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57-59</w:t>
            </w:r>
          </w:p>
        </w:tc>
        <w:tc>
          <w:tcPr>
            <w:tcW w:w="4950" w:type="dxa"/>
          </w:tcPr>
          <w:p w14:paraId="729E9406" w14:textId="250501D2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</w:t>
            </w:r>
            <w:r w:rsidR="001565C6">
              <w:rPr>
                <w:rFonts w:cs="Arial"/>
              </w:rPr>
              <w:t>DIC</w:t>
            </w:r>
            <w:r>
              <w:rPr>
                <w:rFonts w:cs="Arial"/>
              </w:rPr>
              <w:t xml:space="preserve"> identification from record positions 1-3 of the incoming transaction being rerouted or revised by the DAAS.</w:t>
            </w:r>
          </w:p>
        </w:tc>
      </w:tr>
      <w:tr w:rsidR="00085949" w14:paraId="729E940B" w14:textId="77777777" w:rsidTr="00DE56A3">
        <w:tc>
          <w:tcPr>
            <w:tcW w:w="2610" w:type="dxa"/>
          </w:tcPr>
          <w:p w14:paraId="729E9408" w14:textId="77777777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 Fields</w:t>
            </w:r>
          </w:p>
        </w:tc>
        <w:tc>
          <w:tcPr>
            <w:tcW w:w="2160" w:type="dxa"/>
          </w:tcPr>
          <w:p w14:paraId="729E9409" w14:textId="77777777" w:rsidR="00085949" w:rsidRDefault="00085949" w:rsidP="001565C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60-66</w:t>
            </w:r>
          </w:p>
        </w:tc>
        <w:tc>
          <w:tcPr>
            <w:tcW w:w="4950" w:type="dxa"/>
          </w:tcPr>
          <w:p w14:paraId="729E940A" w14:textId="77777777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Perpetuate data from original transaction.</w:t>
            </w:r>
          </w:p>
        </w:tc>
      </w:tr>
      <w:tr w:rsidR="00085949" w14:paraId="729E940F" w14:textId="77777777" w:rsidTr="00DE56A3">
        <w:tc>
          <w:tcPr>
            <w:tcW w:w="2610" w:type="dxa"/>
          </w:tcPr>
          <w:p w14:paraId="729E940C" w14:textId="3F67EB24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Routing Identifier</w:t>
            </w:r>
            <w:r w:rsidR="001565C6">
              <w:rPr>
                <w:rFonts w:cs="Arial"/>
              </w:rPr>
              <w:t xml:space="preserve"> Code </w:t>
            </w:r>
          </w:p>
        </w:tc>
        <w:tc>
          <w:tcPr>
            <w:tcW w:w="2160" w:type="dxa"/>
          </w:tcPr>
          <w:p w14:paraId="729E940D" w14:textId="77777777" w:rsidR="00085949" w:rsidRDefault="00085949" w:rsidP="001565C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67-69</w:t>
            </w:r>
          </w:p>
        </w:tc>
        <w:tc>
          <w:tcPr>
            <w:tcW w:w="4950" w:type="dxa"/>
          </w:tcPr>
          <w:p w14:paraId="729E940E" w14:textId="10B4A557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When MILSTRIP Status Code BM is entered in record positions 79-80, enter </w:t>
            </w:r>
            <w:r w:rsidR="001565C6">
              <w:rPr>
                <w:rFonts w:cs="Arial"/>
              </w:rPr>
              <w:t>RIC</w:t>
            </w:r>
            <w:r>
              <w:rPr>
                <w:rFonts w:cs="Arial"/>
              </w:rPr>
              <w:t xml:space="preserve"> of the source of supply to whom DAAS is rerouting the transaction; otherwise, leave blank.</w:t>
            </w:r>
          </w:p>
        </w:tc>
      </w:tr>
      <w:tr w:rsidR="00085949" w14:paraId="729E9413" w14:textId="77777777" w:rsidTr="00DE56A3">
        <w:tc>
          <w:tcPr>
            <w:tcW w:w="2610" w:type="dxa"/>
          </w:tcPr>
          <w:p w14:paraId="729E9410" w14:textId="77777777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 Fields</w:t>
            </w:r>
          </w:p>
        </w:tc>
        <w:tc>
          <w:tcPr>
            <w:tcW w:w="2160" w:type="dxa"/>
          </w:tcPr>
          <w:p w14:paraId="729E9411" w14:textId="77777777" w:rsidR="00085949" w:rsidRDefault="00085949" w:rsidP="001565C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70-76</w:t>
            </w:r>
          </w:p>
        </w:tc>
        <w:tc>
          <w:tcPr>
            <w:tcW w:w="4950" w:type="dxa"/>
          </w:tcPr>
          <w:p w14:paraId="729E9412" w14:textId="77777777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Perpetuate from original transaction.</w:t>
            </w:r>
          </w:p>
        </w:tc>
      </w:tr>
      <w:tr w:rsidR="00085949" w14:paraId="729E9417" w14:textId="77777777" w:rsidTr="00DE56A3">
        <w:tc>
          <w:tcPr>
            <w:tcW w:w="2610" w:type="dxa"/>
          </w:tcPr>
          <w:p w14:paraId="729E9414" w14:textId="77777777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Blank</w:t>
            </w:r>
          </w:p>
        </w:tc>
        <w:tc>
          <w:tcPr>
            <w:tcW w:w="2160" w:type="dxa"/>
          </w:tcPr>
          <w:p w14:paraId="729E9415" w14:textId="77777777" w:rsidR="00085949" w:rsidRDefault="00085949" w:rsidP="001565C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77-78</w:t>
            </w:r>
          </w:p>
        </w:tc>
        <w:tc>
          <w:tcPr>
            <w:tcW w:w="4950" w:type="dxa"/>
          </w:tcPr>
          <w:p w14:paraId="729E9416" w14:textId="77777777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Leave blank.</w:t>
            </w:r>
          </w:p>
        </w:tc>
      </w:tr>
      <w:tr w:rsidR="00085949" w14:paraId="729E941B" w14:textId="77777777" w:rsidTr="00DE56A3">
        <w:tc>
          <w:tcPr>
            <w:tcW w:w="2610" w:type="dxa"/>
          </w:tcPr>
          <w:p w14:paraId="729E9418" w14:textId="7D37A53C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</w:tc>
        <w:tc>
          <w:tcPr>
            <w:tcW w:w="2160" w:type="dxa"/>
          </w:tcPr>
          <w:p w14:paraId="729E9419" w14:textId="77777777" w:rsidR="00085949" w:rsidRDefault="00085949" w:rsidP="001565C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79-80</w:t>
            </w:r>
          </w:p>
        </w:tc>
        <w:tc>
          <w:tcPr>
            <w:tcW w:w="4950" w:type="dxa"/>
          </w:tcPr>
          <w:p w14:paraId="729E941A" w14:textId="77777777" w:rsidR="00085949" w:rsidRDefault="00085949" w:rsidP="001565C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MILSTRIP Status Code BG when the FSC in the original transaction was revised.  Enter MILSTRIP Status Code BM when the original transaction was rerouted to the co</w:t>
            </w:r>
            <w:r w:rsidR="00624DD2">
              <w:rPr>
                <w:rFonts w:cs="Arial"/>
              </w:rPr>
              <w:t>rrect source of supply.</w:t>
            </w:r>
          </w:p>
        </w:tc>
      </w:tr>
    </w:tbl>
    <w:p w14:paraId="729E941C" w14:textId="77777777" w:rsidR="00085949" w:rsidRDefault="00085949">
      <w:pPr>
        <w:pStyle w:val="Heading2"/>
        <w:numPr>
          <w:ilvl w:val="0"/>
          <w:numId w:val="0"/>
        </w:numPr>
      </w:pPr>
    </w:p>
    <w:sectPr w:rsidR="00085949" w:rsidSect="00DE56A3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E941F" w14:textId="77777777" w:rsidR="009C544A" w:rsidRDefault="009C544A">
      <w:r>
        <w:separator/>
      </w:r>
    </w:p>
  </w:endnote>
  <w:endnote w:type="continuationSeparator" w:id="0">
    <w:p w14:paraId="729E9420" w14:textId="77777777" w:rsidR="009C544A" w:rsidRDefault="009C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9425" w14:textId="77777777" w:rsidR="009C544A" w:rsidRDefault="009C544A" w:rsidP="000859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9E9426" w14:textId="77777777" w:rsidR="009C544A" w:rsidRDefault="009C544A">
    <w:pPr>
      <w:pStyle w:val="Footer"/>
      <w:jc w:val="center"/>
      <w:rPr>
        <w:b/>
      </w:rPr>
    </w:pPr>
    <w:r>
      <w:rPr>
        <w:b/>
      </w:rPr>
      <w:t>AP3.55-</w:t>
    </w:r>
  </w:p>
  <w:p w14:paraId="729E9427" w14:textId="77777777" w:rsidR="009C544A" w:rsidRDefault="009C544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9428" w14:textId="1CFDF39B" w:rsidR="009C544A" w:rsidRPr="00624DD2" w:rsidRDefault="009C544A" w:rsidP="00085949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AP3.51-</w:t>
    </w:r>
    <w:r w:rsidRPr="00624DD2">
      <w:rPr>
        <w:rStyle w:val="PageNumber"/>
        <w:b w:val="0"/>
      </w:rPr>
      <w:fldChar w:fldCharType="begin"/>
    </w:r>
    <w:r w:rsidRPr="00624DD2">
      <w:rPr>
        <w:rStyle w:val="PageNumber"/>
        <w:b w:val="0"/>
      </w:rPr>
      <w:instrText xml:space="preserve">PAGE  </w:instrText>
    </w:r>
    <w:r w:rsidRPr="00624DD2">
      <w:rPr>
        <w:rStyle w:val="PageNumber"/>
        <w:b w:val="0"/>
      </w:rPr>
      <w:fldChar w:fldCharType="separate"/>
    </w:r>
    <w:r w:rsidR="005F7BD2">
      <w:rPr>
        <w:rStyle w:val="PageNumber"/>
        <w:b w:val="0"/>
        <w:noProof/>
      </w:rPr>
      <w:t>1</w:t>
    </w:r>
    <w:r w:rsidRPr="00624DD2">
      <w:rPr>
        <w:rStyle w:val="PageNumber"/>
        <w:b w:val="0"/>
      </w:rPr>
      <w:fldChar w:fldCharType="end"/>
    </w:r>
  </w:p>
  <w:p w14:paraId="729E9429" w14:textId="22C3CF4F" w:rsidR="009C544A" w:rsidRPr="00624DD2" w:rsidRDefault="009C544A" w:rsidP="00624DD2">
    <w:pPr>
      <w:pStyle w:val="Footer"/>
      <w:tabs>
        <w:tab w:val="clear" w:pos="4320"/>
        <w:tab w:val="clear" w:pos="8640"/>
      </w:tabs>
      <w:jc w:val="right"/>
    </w:pPr>
    <w:r>
      <w:t>APPENDIX 3.51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E941D" w14:textId="77777777" w:rsidR="009C544A" w:rsidRDefault="009C544A">
      <w:r>
        <w:separator/>
      </w:r>
    </w:p>
  </w:footnote>
  <w:footnote w:type="continuationSeparator" w:id="0">
    <w:p w14:paraId="729E941E" w14:textId="77777777" w:rsidR="009C544A" w:rsidRDefault="009C5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9421" w14:textId="77777777" w:rsidR="009C544A" w:rsidRDefault="009C544A">
    <w:pPr>
      <w:rPr>
        <w:i/>
      </w:rPr>
    </w:pPr>
    <w:r>
      <w:rPr>
        <w:i/>
      </w:rPr>
      <w:t xml:space="preserve">Aug 2001 DRAFT </w:t>
    </w:r>
  </w:p>
  <w:p w14:paraId="729E9422" w14:textId="77777777" w:rsidR="009C544A" w:rsidRDefault="009C544A">
    <w:pPr>
      <w:pStyle w:val="Header"/>
      <w:jc w:val="left"/>
      <w:rPr>
        <w:u w:val="none"/>
      </w:rPr>
    </w:pPr>
    <w:r>
      <w:rPr>
        <w:u w:val="none"/>
      </w:rPr>
      <w:t>DoD 4000.25-2-M</w:t>
    </w:r>
  </w:p>
  <w:p w14:paraId="729E9423" w14:textId="77777777" w:rsidR="009C544A" w:rsidRDefault="009C544A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016B2" w14:textId="2684B2E9" w:rsidR="00AC7E58" w:rsidRPr="00AC7E58" w:rsidRDefault="00AC7E58" w:rsidP="005F7BD2">
    <w:pPr>
      <w:pStyle w:val="Header"/>
      <w:tabs>
        <w:tab w:val="clear" w:pos="4320"/>
        <w:tab w:val="clear" w:pos="8640"/>
      </w:tabs>
      <w:ind w:left="4320" w:hanging="180"/>
      <w:jc w:val="right"/>
      <w:rPr>
        <w:rFonts w:cs="Arial"/>
        <w:i/>
        <w:iCs/>
        <w:szCs w:val="24"/>
        <w:u w:val="none"/>
      </w:rPr>
    </w:pPr>
    <w:r w:rsidRPr="00AC7E58">
      <w:rPr>
        <w:rFonts w:cs="Arial"/>
        <w:i/>
        <w:iCs/>
        <w:szCs w:val="24"/>
        <w:u w:val="none"/>
      </w:rPr>
      <w:t xml:space="preserve">DLM 4000.25, Volume 2, </w:t>
    </w:r>
    <w:r w:rsidR="005F7BD2" w:rsidRPr="005F7BD2">
      <w:rPr>
        <w:rFonts w:cs="Arial"/>
        <w:i/>
        <w:iCs/>
        <w:szCs w:val="24"/>
        <w:u w:val="none"/>
      </w:rPr>
      <w:t>November 26</w:t>
    </w:r>
    <w:r w:rsidRPr="00AC7E58">
      <w:rPr>
        <w:rFonts w:cs="Arial"/>
        <w:i/>
        <w:iCs/>
        <w:szCs w:val="24"/>
        <w:u w:val="none"/>
      </w:rPr>
      <w:t>, 2019</w:t>
    </w:r>
  </w:p>
  <w:p w14:paraId="729E9424" w14:textId="7FCDF72C" w:rsidR="009C544A" w:rsidRPr="00C34CC0" w:rsidRDefault="00AC7E58" w:rsidP="00AC7E58">
    <w:pPr>
      <w:pStyle w:val="Header"/>
      <w:tabs>
        <w:tab w:val="clear" w:pos="4320"/>
        <w:tab w:val="clear" w:pos="8640"/>
      </w:tabs>
      <w:jc w:val="right"/>
      <w:rPr>
        <w:bCs/>
        <w:u w:val="none"/>
      </w:rPr>
    </w:pPr>
    <w:r w:rsidRPr="00AC7E58">
      <w:rPr>
        <w:rFonts w:cs="Arial"/>
        <w:i/>
        <w:iCs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14E5E88"/>
    <w:lvl w:ilvl="0">
      <w:start w:val="1"/>
      <w:numFmt w:val="none"/>
      <w:pStyle w:val="Heading1"/>
      <w:suff w:val="nothing"/>
      <w:lvlText w:val="AP3.55 APPENDIX 3.55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DD2"/>
    <w:rsid w:val="00085949"/>
    <w:rsid w:val="000A5B3F"/>
    <w:rsid w:val="000C471F"/>
    <w:rsid w:val="000E64D5"/>
    <w:rsid w:val="001565C6"/>
    <w:rsid w:val="0027748B"/>
    <w:rsid w:val="003A61ED"/>
    <w:rsid w:val="003C620D"/>
    <w:rsid w:val="004E1552"/>
    <w:rsid w:val="00520000"/>
    <w:rsid w:val="005D12A8"/>
    <w:rsid w:val="005F7BD2"/>
    <w:rsid w:val="00602643"/>
    <w:rsid w:val="00624DD2"/>
    <w:rsid w:val="00661F73"/>
    <w:rsid w:val="00867B88"/>
    <w:rsid w:val="00880F0C"/>
    <w:rsid w:val="0089313D"/>
    <w:rsid w:val="009C544A"/>
    <w:rsid w:val="00AC7E58"/>
    <w:rsid w:val="00AE133D"/>
    <w:rsid w:val="00AE25D0"/>
    <w:rsid w:val="00C34CC0"/>
    <w:rsid w:val="00C35290"/>
    <w:rsid w:val="00D52705"/>
    <w:rsid w:val="00DE56A3"/>
    <w:rsid w:val="00D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9E93E6"/>
  <w15:docId w15:val="{EE14237D-8542-47B7-90FE-D7F63009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33D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AE133D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AE133D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AE133D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AE133D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AE133D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AE133D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AE133D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AE133D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AE133D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AE133D"/>
    <w:rPr>
      <w:vertAlign w:val="superscript"/>
    </w:rPr>
  </w:style>
  <w:style w:type="character" w:styleId="FootnoteReference">
    <w:name w:val="footnote reference"/>
    <w:semiHidden/>
    <w:rsid w:val="00AE133D"/>
    <w:rPr>
      <w:vertAlign w:val="superscript"/>
    </w:rPr>
  </w:style>
  <w:style w:type="character" w:styleId="PageNumber">
    <w:name w:val="page number"/>
    <w:rsid w:val="00AE133D"/>
    <w:rPr>
      <w:rFonts w:ascii="Arial" w:hAnsi="Arial"/>
      <w:b/>
      <w:sz w:val="24"/>
    </w:rPr>
  </w:style>
  <w:style w:type="paragraph" w:styleId="Footer">
    <w:name w:val="footer"/>
    <w:basedOn w:val="Normal"/>
    <w:rsid w:val="00AE133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E133D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AE133D"/>
    <w:rPr>
      <w:sz w:val="20"/>
    </w:rPr>
  </w:style>
  <w:style w:type="paragraph" w:customStyle="1" w:styleId="SubTitle">
    <w:name w:val="Sub Title"/>
    <w:basedOn w:val="Title"/>
    <w:rsid w:val="00AE133D"/>
    <w:rPr>
      <w:u w:val="single"/>
    </w:rPr>
  </w:style>
  <w:style w:type="paragraph" w:styleId="Title">
    <w:name w:val="Title"/>
    <w:basedOn w:val="Normal"/>
    <w:next w:val="Header"/>
    <w:qFormat/>
    <w:rsid w:val="00AE133D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AE133D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AE133D"/>
    <w:pPr>
      <w:spacing w:after="160"/>
      <w:ind w:left="1440"/>
    </w:pPr>
  </w:style>
  <w:style w:type="paragraph" w:styleId="BodyText">
    <w:name w:val="Body Text"/>
    <w:basedOn w:val="Normal"/>
    <w:rsid w:val="00AE133D"/>
    <w:pPr>
      <w:spacing w:after="120"/>
    </w:pPr>
  </w:style>
  <w:style w:type="paragraph" w:styleId="ListBullet">
    <w:name w:val="List Bullet"/>
    <w:basedOn w:val="Normal"/>
    <w:rsid w:val="00AE133D"/>
    <w:pPr>
      <w:spacing w:after="120"/>
      <w:ind w:left="360" w:hanging="360"/>
    </w:pPr>
  </w:style>
  <w:style w:type="paragraph" w:styleId="ListBullet2">
    <w:name w:val="List Bullet 2"/>
    <w:basedOn w:val="Normal"/>
    <w:rsid w:val="00AE133D"/>
    <w:pPr>
      <w:ind w:left="720" w:hanging="360"/>
    </w:pPr>
  </w:style>
  <w:style w:type="paragraph" w:styleId="ListBullet3">
    <w:name w:val="List Bullet 3"/>
    <w:basedOn w:val="Normal"/>
    <w:rsid w:val="00AE133D"/>
    <w:pPr>
      <w:ind w:left="1080" w:hanging="360"/>
    </w:pPr>
  </w:style>
  <w:style w:type="paragraph" w:styleId="ListNumber">
    <w:name w:val="List Number"/>
    <w:basedOn w:val="Normal"/>
    <w:rsid w:val="00AE133D"/>
    <w:pPr>
      <w:ind w:left="360" w:hanging="360"/>
    </w:pPr>
  </w:style>
  <w:style w:type="paragraph" w:styleId="ListNumber2">
    <w:name w:val="List Number 2"/>
    <w:basedOn w:val="Normal"/>
    <w:rsid w:val="00AE133D"/>
    <w:pPr>
      <w:ind w:left="720" w:hanging="360"/>
    </w:pPr>
  </w:style>
  <w:style w:type="paragraph" w:styleId="ListNumber3">
    <w:name w:val="List Number 3"/>
    <w:basedOn w:val="Normal"/>
    <w:rsid w:val="00AE133D"/>
    <w:pPr>
      <w:ind w:left="1080" w:hanging="360"/>
    </w:pPr>
  </w:style>
  <w:style w:type="paragraph" w:styleId="DocumentMap">
    <w:name w:val="Document Map"/>
    <w:basedOn w:val="Normal"/>
    <w:semiHidden/>
    <w:rsid w:val="00AE133D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AE133D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styleId="CommentReference">
    <w:name w:val="annotation reference"/>
    <w:rsid w:val="00602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2643"/>
    <w:rPr>
      <w:sz w:val="20"/>
    </w:rPr>
  </w:style>
  <w:style w:type="character" w:customStyle="1" w:styleId="CommentTextChar">
    <w:name w:val="Comment Text Char"/>
    <w:link w:val="CommentText"/>
    <w:rsid w:val="006026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02643"/>
    <w:rPr>
      <w:b/>
      <w:bCs/>
    </w:rPr>
  </w:style>
  <w:style w:type="character" w:customStyle="1" w:styleId="CommentSubjectChar">
    <w:name w:val="Comment Subject Char"/>
    <w:link w:val="CommentSubject"/>
    <w:rsid w:val="006026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602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A89F2490-0945-4CF4-A331-943878811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53E7F-7140-4648-88BF-16717EDC44BB}"/>
</file>

<file path=customXml/itemProps3.xml><?xml version="1.0" encoding="utf-8"?>
<ds:datastoreItem xmlns:ds="http://schemas.openxmlformats.org/officeDocument/2006/customXml" ds:itemID="{2BDBA1C1-1309-48D3-AE3F-8D6B3B39B5D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37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AP3.51 DZ9  status notification transaction</vt:lpstr>
    </vt:vector>
  </TitlesOfParts>
  <Company>DLA Logistics Management Standards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AP3.51 DZ9  status notification transaction</dc:title>
  <dc:subject>STATUS NOTIFICATION TRANSACTION</dc:subject>
  <dc:creator>Mary Jane Johnson</dc:creator>
  <cp:keywords/>
  <cp:lastModifiedBy>Nguyen, Bao X CTR DLA INFO OPERATIONS (USA)</cp:lastModifiedBy>
  <cp:revision>12</cp:revision>
  <cp:lastPrinted>2001-08-18T14:28:00Z</cp:lastPrinted>
  <dcterms:created xsi:type="dcterms:W3CDTF">2009-12-16T17:55:00Z</dcterms:created>
  <dcterms:modified xsi:type="dcterms:W3CDTF">2019-11-26T20:28:00Z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2329600</vt:r8>
  </property>
</Properties>
</file>