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B3470" w14:textId="571B8D96" w:rsidR="00D056DB" w:rsidRPr="009833E6" w:rsidRDefault="002F72DA" w:rsidP="00C50FA6">
      <w:pPr>
        <w:pStyle w:val="Title"/>
      </w:pPr>
      <w:r w:rsidRPr="009833E6">
        <w:t>AP</w:t>
      </w:r>
      <w:r>
        <w:t>6</w:t>
      </w:r>
      <w:r w:rsidR="00D056DB" w:rsidRPr="009833E6">
        <w:t>.</w:t>
      </w:r>
      <w:r w:rsidR="00EA34FA" w:rsidRPr="009833E6">
        <w:t>33</w:t>
      </w:r>
      <w:r w:rsidR="0080016C" w:rsidRPr="009833E6">
        <w:t>.</w:t>
      </w:r>
      <w:r w:rsidR="00D056DB" w:rsidRPr="009833E6">
        <w:t xml:space="preserve"> APPENDIX </w:t>
      </w:r>
      <w:r>
        <w:t>6</w:t>
      </w:r>
      <w:r w:rsidR="00D056DB" w:rsidRPr="009833E6">
        <w:t>.</w:t>
      </w:r>
      <w:r w:rsidR="00EA34FA" w:rsidRPr="009833E6">
        <w:t>33</w:t>
      </w:r>
    </w:p>
    <w:p w14:paraId="6F2B3471" w14:textId="2A90D428" w:rsidR="00EA34FA" w:rsidRPr="00CE0B5C" w:rsidRDefault="00EA34FA" w:rsidP="00A9085D">
      <w:pPr>
        <w:pStyle w:val="Level1"/>
        <w:spacing w:after="360"/>
        <w:jc w:val="center"/>
        <w:outlineLvl w:val="9"/>
        <w:rPr>
          <w:b/>
          <w:bCs/>
          <w:sz w:val="36"/>
          <w:szCs w:val="36"/>
          <w:u w:val="single"/>
        </w:rPr>
      </w:pPr>
      <w:r w:rsidRPr="00CE0B5C">
        <w:rPr>
          <w:b/>
          <w:bCs/>
          <w:sz w:val="36"/>
          <w:szCs w:val="36"/>
          <w:u w:val="single"/>
        </w:rPr>
        <w:t>QUARTERLY INTRANSIT TO</w:t>
      </w:r>
      <w:r w:rsidR="003A27A1" w:rsidRPr="00CE0B5C">
        <w:rPr>
          <w:b/>
          <w:bCs/>
          <w:sz w:val="36"/>
          <w:szCs w:val="36"/>
          <w:u w:val="single"/>
        </w:rPr>
        <w:t xml:space="preserve"> DLA DISPOSITION SERVICES FIELD</w:t>
      </w:r>
      <w:r w:rsidRPr="00CE0B5C">
        <w:rPr>
          <w:b/>
          <w:bCs/>
          <w:sz w:val="36"/>
          <w:szCs w:val="36"/>
          <w:u w:val="single"/>
        </w:rPr>
        <w:t xml:space="preserve"> OFFICE REPORT</w:t>
      </w:r>
      <w:r w:rsidR="002F0B76" w:rsidRPr="00CE0B5C">
        <w:rPr>
          <w:rStyle w:val="FootnoteReference"/>
          <w:b/>
          <w:bCs/>
          <w:sz w:val="36"/>
          <w:szCs w:val="36"/>
          <w:u w:val="single"/>
          <w:vertAlign w:val="superscript"/>
        </w:rPr>
        <w:footnoteReference w:id="1"/>
      </w:r>
    </w:p>
    <w:p w14:paraId="6F2B3472" w14:textId="27C98253" w:rsidR="00EA34FA" w:rsidRPr="00CE0B5C" w:rsidRDefault="002F72DA" w:rsidP="00F558F4">
      <w:pPr>
        <w:pStyle w:val="Level1"/>
        <w:tabs>
          <w:tab w:val="left" w:pos="540"/>
          <w:tab w:val="left" w:pos="1080"/>
        </w:tabs>
        <w:spacing w:after="240"/>
        <w:outlineLvl w:val="9"/>
      </w:pPr>
      <w:r>
        <w:t>AP6</w:t>
      </w:r>
      <w:r w:rsidR="00EA34FA" w:rsidRPr="00CE0B5C">
        <w:t xml:space="preserve">.33.1.  </w:t>
      </w:r>
      <w:r w:rsidR="003A27A1" w:rsidRPr="00CE0B5C">
        <w:t xml:space="preserve">A Quarterly Intransit </w:t>
      </w:r>
      <w:r w:rsidR="00F558F4" w:rsidRPr="00CE0B5C">
        <w:t>T</w:t>
      </w:r>
      <w:r w:rsidR="003A27A1" w:rsidRPr="00CE0B5C">
        <w:t>o DLA Disposition Services Field Office Report is produced by DLA Disposition Services upon request.  In addition, an annual report is produced at the end of each fiscal year that includes the previous four totals upon request.  The report is in four parts:</w:t>
      </w:r>
    </w:p>
    <w:p w14:paraId="6F2B3473" w14:textId="7899650B" w:rsidR="00EA34FA" w:rsidRPr="00CE0B5C" w:rsidRDefault="00A9085D" w:rsidP="00F558F4">
      <w:pPr>
        <w:pStyle w:val="Level1"/>
        <w:tabs>
          <w:tab w:val="left" w:pos="540"/>
          <w:tab w:val="left" w:pos="1080"/>
        </w:tabs>
        <w:spacing w:after="240"/>
        <w:outlineLvl w:val="9"/>
      </w:pPr>
      <w:r w:rsidRPr="00CE0B5C">
        <w:tab/>
      </w:r>
      <w:r w:rsidR="002F72DA">
        <w:t>AP6</w:t>
      </w:r>
      <w:r w:rsidR="00EA34FA" w:rsidRPr="00CE0B5C">
        <w:t>.33.1.1.  Total DoD Summary.</w:t>
      </w:r>
      <w:bookmarkStart w:id="0" w:name="_GoBack"/>
      <w:bookmarkEnd w:id="0"/>
    </w:p>
    <w:p w14:paraId="6F2B3474" w14:textId="2FC64E5C" w:rsidR="00EA34FA" w:rsidRPr="00CE0B5C" w:rsidRDefault="00A9085D" w:rsidP="00F558F4">
      <w:pPr>
        <w:pStyle w:val="Level1"/>
        <w:tabs>
          <w:tab w:val="left" w:pos="540"/>
          <w:tab w:val="left" w:pos="1080"/>
        </w:tabs>
        <w:spacing w:after="240"/>
        <w:outlineLvl w:val="9"/>
      </w:pPr>
      <w:r w:rsidRPr="00CE0B5C">
        <w:tab/>
      </w:r>
      <w:r w:rsidR="002F72DA">
        <w:t>AP6</w:t>
      </w:r>
      <w:r w:rsidR="00EA34FA" w:rsidRPr="00CE0B5C">
        <w:t>.33.1.2.  Service Summary.</w:t>
      </w:r>
    </w:p>
    <w:p w14:paraId="6F2B3475" w14:textId="65B8E088" w:rsidR="00EA34FA" w:rsidRPr="00CE0B5C" w:rsidRDefault="00A9085D" w:rsidP="00F558F4">
      <w:pPr>
        <w:pStyle w:val="Level1"/>
        <w:tabs>
          <w:tab w:val="left" w:pos="540"/>
          <w:tab w:val="left" w:pos="1080"/>
        </w:tabs>
        <w:spacing w:after="240"/>
        <w:outlineLvl w:val="9"/>
      </w:pPr>
      <w:r w:rsidRPr="00CE0B5C">
        <w:tab/>
      </w:r>
      <w:r w:rsidR="002F72DA">
        <w:t>AP6</w:t>
      </w:r>
      <w:r w:rsidR="00EA34FA" w:rsidRPr="00CE0B5C">
        <w:t xml:space="preserve">.33.1.3.  DoDAAC breakout (including further subdivision by </w:t>
      </w:r>
      <w:r w:rsidR="003A27A1" w:rsidRPr="00CE0B5C">
        <w:t>DLA Disposition Services Field Office Routing Identifier Code (RIC)</w:t>
      </w:r>
      <w:r w:rsidR="00EA34FA" w:rsidRPr="00CE0B5C">
        <w:t>.</w:t>
      </w:r>
    </w:p>
    <w:p w14:paraId="6F2B3476" w14:textId="008ABBB2" w:rsidR="00EA34FA" w:rsidRPr="00CE0B5C" w:rsidRDefault="00A9085D" w:rsidP="00F558F4">
      <w:pPr>
        <w:pStyle w:val="Level1"/>
        <w:tabs>
          <w:tab w:val="left" w:pos="540"/>
          <w:tab w:val="left" w:pos="1080"/>
        </w:tabs>
        <w:spacing w:after="240"/>
        <w:outlineLvl w:val="9"/>
      </w:pPr>
      <w:r w:rsidRPr="00CE0B5C">
        <w:tab/>
      </w:r>
      <w:r w:rsidR="002F72DA">
        <w:t>AP6</w:t>
      </w:r>
      <w:r w:rsidR="00EA34FA" w:rsidRPr="00CE0B5C">
        <w:t>.33.1.4.  A supplemental invalid DoDAAC report.</w:t>
      </w:r>
    </w:p>
    <w:p w14:paraId="1E689F3E" w14:textId="654F398F" w:rsidR="00445C6C" w:rsidRPr="00CE0B5C" w:rsidRDefault="002F72DA" w:rsidP="00F558F4">
      <w:pPr>
        <w:tabs>
          <w:tab w:val="left" w:pos="540"/>
          <w:tab w:val="left" w:pos="1080"/>
        </w:tabs>
        <w:spacing w:after="240"/>
        <w:rPr>
          <w:sz w:val="28"/>
          <w:szCs w:val="28"/>
        </w:rPr>
      </w:pPr>
      <w:r>
        <w:t>AP6</w:t>
      </w:r>
      <w:r w:rsidR="00EA34FA" w:rsidRPr="00CE0B5C">
        <w:t>.33.2</w:t>
      </w:r>
      <w:r w:rsidR="00445C6C" w:rsidRPr="00CE0B5C">
        <w:t>.  The</w:t>
      </w:r>
      <w:r w:rsidR="00EA34FA" w:rsidRPr="00CE0B5C">
        <w:t xml:space="preserve"> report </w:t>
      </w:r>
      <w:r w:rsidR="0060739B" w:rsidRPr="00CE0B5C">
        <w:t xml:space="preserve">shall be </w:t>
      </w:r>
      <w:r w:rsidR="00EA34FA" w:rsidRPr="00CE0B5C">
        <w:t xml:space="preserve">distributed </w:t>
      </w:r>
      <w:r w:rsidR="00EB1331" w:rsidRPr="00CE0B5C">
        <w:t>upon request.</w:t>
      </w:r>
      <w:r w:rsidR="00445C6C" w:rsidRPr="00CE0B5C">
        <w:t xml:space="preserve">  All copies of the reports are provided to the designated DoD Component MILSTRIP Focal Points.  Further dissemination of the reports is the responsibility of each individual DoD Component.</w:t>
      </w:r>
    </w:p>
    <w:p w14:paraId="119D1F27" w14:textId="2B600F00" w:rsidR="00F558F4" w:rsidRPr="00CE0B5C" w:rsidRDefault="002F72DA" w:rsidP="00F558F4">
      <w:pPr>
        <w:tabs>
          <w:tab w:val="left" w:pos="540"/>
          <w:tab w:val="left" w:pos="1080"/>
        </w:tabs>
        <w:spacing w:after="240"/>
      </w:pPr>
      <w:r>
        <w:t>AP6</w:t>
      </w:r>
      <w:r w:rsidR="00997F30" w:rsidRPr="00CE0B5C">
        <w:t>.33.3</w:t>
      </w:r>
      <w:r w:rsidR="00445C6C" w:rsidRPr="00CE0B5C">
        <w:t xml:space="preserve">.  </w:t>
      </w:r>
      <w:r w:rsidR="00997F30" w:rsidRPr="00CE0B5C">
        <w:t>The format of the report and the explanation of the derivation of the counts are as follows:</w:t>
      </w:r>
    </w:p>
    <w:tbl>
      <w:tblPr>
        <w:tblW w:w="9175"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1530"/>
        <w:gridCol w:w="1295"/>
        <w:gridCol w:w="1376"/>
        <w:gridCol w:w="854"/>
        <w:gridCol w:w="795"/>
        <w:gridCol w:w="775"/>
        <w:gridCol w:w="1565"/>
      </w:tblGrid>
      <w:tr w:rsidR="00024570" w:rsidRPr="00CE0B5C" w14:paraId="6DE4470E" w14:textId="77777777" w:rsidTr="00F558F4">
        <w:trPr>
          <w:trHeight w:val="269"/>
        </w:trPr>
        <w:tc>
          <w:tcPr>
            <w:tcW w:w="9175" w:type="dxa"/>
            <w:gridSpan w:val="8"/>
          </w:tcPr>
          <w:p w14:paraId="4F7F98E2" w14:textId="7030379A" w:rsidR="00024570" w:rsidRPr="00CE0B5C" w:rsidRDefault="00024570" w:rsidP="00F558F4">
            <w:pPr>
              <w:spacing w:after="120"/>
              <w:jc w:val="center"/>
              <w:rPr>
                <w:rFonts w:cs="Arial"/>
                <w:sz w:val="20"/>
                <w:szCs w:val="20"/>
                <w:u w:val="single"/>
              </w:rPr>
            </w:pPr>
            <w:r w:rsidRPr="00CE0B5C">
              <w:rPr>
                <w:sz w:val="20"/>
                <w:szCs w:val="20"/>
              </w:rPr>
              <w:t>QUARTERLY INTRANSIT TO DLA DISPOSITION SERVICES FIELD OFFICE REPORT</w:t>
            </w:r>
          </w:p>
        </w:tc>
      </w:tr>
      <w:tr w:rsidR="00024570" w:rsidRPr="00CE0B5C" w14:paraId="26BA7537" w14:textId="77777777" w:rsidTr="00F558F4">
        <w:tc>
          <w:tcPr>
            <w:tcW w:w="9175" w:type="dxa"/>
            <w:gridSpan w:val="8"/>
          </w:tcPr>
          <w:p w14:paraId="07AD8455" w14:textId="4E5D4DC9" w:rsidR="00024570" w:rsidRPr="00CE0B5C" w:rsidRDefault="00024570" w:rsidP="00024570">
            <w:pPr>
              <w:spacing w:before="60" w:after="60"/>
              <w:jc w:val="center"/>
              <w:rPr>
                <w:rFonts w:cs="Arial"/>
                <w:sz w:val="20"/>
                <w:szCs w:val="20"/>
                <w:u w:val="single"/>
              </w:rPr>
            </w:pPr>
            <w:r w:rsidRPr="00CE0B5C">
              <w:rPr>
                <w:rFonts w:cs="Arial"/>
                <w:sz w:val="20"/>
                <w:szCs w:val="20"/>
              </w:rPr>
              <w:t>Total DoD, Service, or DoDAAC (Clear-text name and address of the DoDAAC will be printed)</w:t>
            </w:r>
          </w:p>
        </w:tc>
      </w:tr>
      <w:tr w:rsidR="00024570" w:rsidRPr="00CE0B5C" w14:paraId="6F2B348F" w14:textId="77777777" w:rsidTr="0060739B">
        <w:tc>
          <w:tcPr>
            <w:tcW w:w="985" w:type="dxa"/>
          </w:tcPr>
          <w:p w14:paraId="6F2B3489" w14:textId="77777777" w:rsidR="00EA34FA" w:rsidRPr="00CE0B5C" w:rsidRDefault="00EA34FA" w:rsidP="00024570">
            <w:pPr>
              <w:spacing w:before="60" w:after="60"/>
              <w:rPr>
                <w:sz w:val="20"/>
                <w:szCs w:val="20"/>
              </w:rPr>
            </w:pPr>
          </w:p>
        </w:tc>
        <w:tc>
          <w:tcPr>
            <w:tcW w:w="1530" w:type="dxa"/>
          </w:tcPr>
          <w:p w14:paraId="6F2B348A" w14:textId="77777777" w:rsidR="00EA34FA" w:rsidRPr="00CE0B5C" w:rsidRDefault="00EA34FA" w:rsidP="00024570">
            <w:pPr>
              <w:spacing w:before="60" w:after="60"/>
              <w:rPr>
                <w:sz w:val="20"/>
                <w:szCs w:val="20"/>
              </w:rPr>
            </w:pPr>
          </w:p>
        </w:tc>
        <w:tc>
          <w:tcPr>
            <w:tcW w:w="1295" w:type="dxa"/>
          </w:tcPr>
          <w:p w14:paraId="6F2B348B" w14:textId="77777777" w:rsidR="00EA34FA" w:rsidRPr="00CE0B5C" w:rsidRDefault="00EA34FA" w:rsidP="0060739B">
            <w:pPr>
              <w:spacing w:before="60" w:after="60"/>
              <w:jc w:val="center"/>
              <w:rPr>
                <w:sz w:val="20"/>
                <w:szCs w:val="20"/>
              </w:rPr>
            </w:pPr>
            <w:r w:rsidRPr="00CE0B5C">
              <w:rPr>
                <w:rFonts w:cs="Arial"/>
                <w:sz w:val="20"/>
                <w:szCs w:val="20"/>
              </w:rPr>
              <w:t>AFX Generated</w:t>
            </w:r>
          </w:p>
        </w:tc>
        <w:tc>
          <w:tcPr>
            <w:tcW w:w="1376" w:type="dxa"/>
          </w:tcPr>
          <w:p w14:paraId="6F2B348C" w14:textId="77777777" w:rsidR="00EA34FA" w:rsidRPr="00CE0B5C" w:rsidRDefault="00EA34FA" w:rsidP="0060739B">
            <w:pPr>
              <w:spacing w:before="60" w:after="60"/>
              <w:jc w:val="center"/>
              <w:rPr>
                <w:sz w:val="20"/>
                <w:szCs w:val="20"/>
              </w:rPr>
            </w:pPr>
            <w:r w:rsidRPr="00CE0B5C">
              <w:rPr>
                <w:rFonts w:cs="Arial"/>
                <w:sz w:val="20"/>
                <w:szCs w:val="20"/>
              </w:rPr>
              <w:t>AFZ Generated</w:t>
            </w:r>
          </w:p>
        </w:tc>
        <w:tc>
          <w:tcPr>
            <w:tcW w:w="2424" w:type="dxa"/>
            <w:gridSpan w:val="3"/>
          </w:tcPr>
          <w:p w14:paraId="6F2B348D" w14:textId="77777777" w:rsidR="00EA34FA" w:rsidRPr="00CE0B5C" w:rsidRDefault="00EA34FA" w:rsidP="00024570">
            <w:pPr>
              <w:spacing w:before="60" w:after="60"/>
              <w:jc w:val="center"/>
              <w:rPr>
                <w:sz w:val="20"/>
                <w:szCs w:val="20"/>
              </w:rPr>
            </w:pPr>
            <w:r w:rsidRPr="00CE0B5C">
              <w:rPr>
                <w:rFonts w:cs="Arial"/>
                <w:sz w:val="20"/>
                <w:szCs w:val="20"/>
              </w:rPr>
              <w:t>No Response to AFZ</w:t>
            </w:r>
          </w:p>
        </w:tc>
        <w:tc>
          <w:tcPr>
            <w:tcW w:w="1565" w:type="dxa"/>
            <w:vMerge w:val="restart"/>
          </w:tcPr>
          <w:p w14:paraId="6F2B348E" w14:textId="064752EC" w:rsidR="00EA34FA" w:rsidRPr="00CE0B5C" w:rsidRDefault="00EA34FA" w:rsidP="0060739B">
            <w:pPr>
              <w:spacing w:before="60" w:after="60"/>
              <w:jc w:val="center"/>
              <w:rPr>
                <w:rFonts w:cs="Arial"/>
                <w:sz w:val="20"/>
                <w:szCs w:val="20"/>
              </w:rPr>
            </w:pPr>
            <w:r w:rsidRPr="00CE0B5C">
              <w:rPr>
                <w:rFonts w:cs="Arial"/>
                <w:sz w:val="20"/>
                <w:szCs w:val="20"/>
              </w:rPr>
              <w:t>Unresolved Discrepancies</w:t>
            </w:r>
            <w:r w:rsidR="00024570" w:rsidRPr="00CE0B5C">
              <w:rPr>
                <w:rFonts w:cs="Arial"/>
                <w:sz w:val="20"/>
                <w:szCs w:val="20"/>
              </w:rPr>
              <w:t xml:space="preserve"> </w:t>
            </w:r>
            <w:r w:rsidRPr="00CE0B5C">
              <w:rPr>
                <w:rFonts w:cs="Arial"/>
                <w:sz w:val="20"/>
                <w:szCs w:val="20"/>
              </w:rPr>
              <w:t>Moved to History</w:t>
            </w:r>
          </w:p>
        </w:tc>
      </w:tr>
      <w:tr w:rsidR="00024570" w:rsidRPr="00CE0B5C" w14:paraId="6F2B3498" w14:textId="77777777" w:rsidTr="0060739B">
        <w:tc>
          <w:tcPr>
            <w:tcW w:w="985" w:type="dxa"/>
            <w:vAlign w:val="center"/>
          </w:tcPr>
          <w:p w14:paraId="6F2B3490" w14:textId="77777777" w:rsidR="00EA34FA" w:rsidRPr="00CE0B5C" w:rsidRDefault="00EA34FA" w:rsidP="00024570">
            <w:pPr>
              <w:spacing w:before="60" w:after="60"/>
              <w:jc w:val="center"/>
              <w:rPr>
                <w:sz w:val="20"/>
                <w:szCs w:val="20"/>
              </w:rPr>
            </w:pPr>
          </w:p>
        </w:tc>
        <w:tc>
          <w:tcPr>
            <w:tcW w:w="1530" w:type="dxa"/>
            <w:vAlign w:val="center"/>
          </w:tcPr>
          <w:p w14:paraId="6F2B3491" w14:textId="77777777" w:rsidR="00EA34FA" w:rsidRPr="00CE0B5C" w:rsidRDefault="00EA34FA" w:rsidP="0002457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60" w:after="60"/>
              <w:jc w:val="center"/>
              <w:rPr>
                <w:rFonts w:cs="Arial"/>
                <w:sz w:val="20"/>
                <w:szCs w:val="20"/>
              </w:rPr>
            </w:pPr>
            <w:r w:rsidRPr="00CE0B5C">
              <w:rPr>
                <w:rFonts w:cs="Arial"/>
                <w:sz w:val="20"/>
                <w:szCs w:val="20"/>
              </w:rPr>
              <w:t>Discrepancies Cleared</w:t>
            </w:r>
          </w:p>
        </w:tc>
        <w:tc>
          <w:tcPr>
            <w:tcW w:w="1295" w:type="dxa"/>
            <w:vAlign w:val="center"/>
          </w:tcPr>
          <w:p w14:paraId="6F2B3492" w14:textId="5FF3EB4C" w:rsidR="00EA34FA" w:rsidRPr="00CE0B5C" w:rsidRDefault="00EA34FA" w:rsidP="0002457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60" w:after="60"/>
              <w:jc w:val="center"/>
              <w:rPr>
                <w:rFonts w:cs="Arial"/>
                <w:sz w:val="20"/>
                <w:szCs w:val="20"/>
              </w:rPr>
            </w:pPr>
            <w:r w:rsidRPr="00CE0B5C">
              <w:rPr>
                <w:rFonts w:cs="Arial"/>
                <w:sz w:val="20"/>
                <w:szCs w:val="20"/>
              </w:rPr>
              <w:t>Advice Code</w:t>
            </w:r>
          </w:p>
        </w:tc>
        <w:tc>
          <w:tcPr>
            <w:tcW w:w="1376" w:type="dxa"/>
            <w:vAlign w:val="center"/>
          </w:tcPr>
          <w:p w14:paraId="6F2B3493" w14:textId="507A85B8" w:rsidR="00EA34FA" w:rsidRPr="00CE0B5C" w:rsidRDefault="00EA34FA" w:rsidP="0002457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60" w:after="60"/>
              <w:jc w:val="center"/>
              <w:rPr>
                <w:rFonts w:cs="Arial"/>
                <w:sz w:val="20"/>
                <w:szCs w:val="20"/>
              </w:rPr>
            </w:pPr>
            <w:r w:rsidRPr="00CE0B5C">
              <w:rPr>
                <w:rFonts w:cs="Arial"/>
                <w:sz w:val="20"/>
                <w:szCs w:val="20"/>
              </w:rPr>
              <w:t>Advice Code</w:t>
            </w:r>
          </w:p>
        </w:tc>
        <w:tc>
          <w:tcPr>
            <w:tcW w:w="854" w:type="dxa"/>
            <w:vAlign w:val="center"/>
          </w:tcPr>
          <w:p w14:paraId="6F2B3494" w14:textId="0768BE70" w:rsidR="00EA34FA" w:rsidRPr="00CE0B5C" w:rsidRDefault="00EA34FA" w:rsidP="0002457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60" w:after="60"/>
              <w:jc w:val="center"/>
              <w:rPr>
                <w:rFonts w:cs="Arial"/>
                <w:sz w:val="20"/>
                <w:szCs w:val="20"/>
              </w:rPr>
            </w:pPr>
            <w:r w:rsidRPr="00CE0B5C">
              <w:rPr>
                <w:rFonts w:cs="Arial"/>
                <w:sz w:val="20"/>
                <w:szCs w:val="20"/>
              </w:rPr>
              <w:t xml:space="preserve">30-60 </w:t>
            </w:r>
            <w:r w:rsidR="00024570" w:rsidRPr="00CE0B5C">
              <w:rPr>
                <w:rFonts w:cs="Arial"/>
                <w:sz w:val="20"/>
                <w:szCs w:val="20"/>
              </w:rPr>
              <w:t>D</w:t>
            </w:r>
            <w:r w:rsidRPr="00CE0B5C">
              <w:rPr>
                <w:rFonts w:cs="Arial"/>
                <w:sz w:val="20"/>
                <w:szCs w:val="20"/>
              </w:rPr>
              <w:t>ays</w:t>
            </w:r>
          </w:p>
        </w:tc>
        <w:tc>
          <w:tcPr>
            <w:tcW w:w="795" w:type="dxa"/>
            <w:vAlign w:val="center"/>
          </w:tcPr>
          <w:p w14:paraId="6F2B3495" w14:textId="585E72F4" w:rsidR="00EA34FA" w:rsidRPr="00CE0B5C" w:rsidRDefault="00EA34FA" w:rsidP="0002457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60" w:after="60"/>
              <w:jc w:val="center"/>
              <w:rPr>
                <w:rFonts w:cs="Arial"/>
                <w:sz w:val="20"/>
                <w:szCs w:val="20"/>
              </w:rPr>
            </w:pPr>
            <w:r w:rsidRPr="00CE0B5C">
              <w:rPr>
                <w:rFonts w:cs="Arial"/>
                <w:sz w:val="20"/>
                <w:szCs w:val="20"/>
              </w:rPr>
              <w:t xml:space="preserve">60-90 </w:t>
            </w:r>
            <w:r w:rsidR="00024570" w:rsidRPr="00CE0B5C">
              <w:rPr>
                <w:rFonts w:cs="Arial"/>
                <w:sz w:val="20"/>
                <w:szCs w:val="20"/>
              </w:rPr>
              <w:t>D</w:t>
            </w:r>
            <w:r w:rsidRPr="00CE0B5C">
              <w:rPr>
                <w:rFonts w:cs="Arial"/>
                <w:sz w:val="20"/>
                <w:szCs w:val="20"/>
              </w:rPr>
              <w:t>ays</w:t>
            </w:r>
          </w:p>
        </w:tc>
        <w:tc>
          <w:tcPr>
            <w:tcW w:w="775" w:type="dxa"/>
            <w:vAlign w:val="center"/>
          </w:tcPr>
          <w:p w14:paraId="6F2B3496" w14:textId="3A6CD12F" w:rsidR="00EA34FA" w:rsidRPr="00CE0B5C" w:rsidRDefault="00EA34FA" w:rsidP="0002457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60" w:after="60"/>
              <w:jc w:val="center"/>
              <w:rPr>
                <w:rFonts w:cs="Arial"/>
                <w:sz w:val="20"/>
                <w:szCs w:val="20"/>
              </w:rPr>
            </w:pPr>
            <w:r w:rsidRPr="00CE0B5C">
              <w:rPr>
                <w:rFonts w:cs="Arial"/>
                <w:sz w:val="20"/>
                <w:szCs w:val="20"/>
              </w:rPr>
              <w:t xml:space="preserve">&gt;90 </w:t>
            </w:r>
            <w:r w:rsidR="00024570" w:rsidRPr="00CE0B5C">
              <w:rPr>
                <w:rFonts w:cs="Arial"/>
                <w:sz w:val="20"/>
                <w:szCs w:val="20"/>
              </w:rPr>
              <w:t>D</w:t>
            </w:r>
            <w:r w:rsidRPr="00CE0B5C">
              <w:rPr>
                <w:rFonts w:cs="Arial"/>
                <w:sz w:val="20"/>
                <w:szCs w:val="20"/>
              </w:rPr>
              <w:t>ays</w:t>
            </w:r>
          </w:p>
        </w:tc>
        <w:tc>
          <w:tcPr>
            <w:tcW w:w="1565" w:type="dxa"/>
            <w:vMerge/>
            <w:vAlign w:val="center"/>
          </w:tcPr>
          <w:p w14:paraId="6F2B3497" w14:textId="77777777" w:rsidR="00EA34FA" w:rsidRPr="00CE0B5C" w:rsidRDefault="00EA34FA" w:rsidP="00024570">
            <w:pPr>
              <w:spacing w:before="60" w:after="60"/>
              <w:jc w:val="center"/>
              <w:rPr>
                <w:sz w:val="20"/>
                <w:szCs w:val="20"/>
              </w:rPr>
            </w:pPr>
          </w:p>
        </w:tc>
      </w:tr>
      <w:tr w:rsidR="00024570" w:rsidRPr="00CE0B5C" w14:paraId="6F2B34A1" w14:textId="77777777" w:rsidTr="0060739B">
        <w:tc>
          <w:tcPr>
            <w:tcW w:w="985" w:type="dxa"/>
          </w:tcPr>
          <w:p w14:paraId="6F2B3499" w14:textId="77777777" w:rsidR="00EA34FA" w:rsidRPr="00CE0B5C" w:rsidRDefault="00EA34FA" w:rsidP="00024570">
            <w:pPr>
              <w:spacing w:before="60" w:after="60"/>
              <w:rPr>
                <w:sz w:val="20"/>
                <w:szCs w:val="20"/>
              </w:rPr>
            </w:pPr>
            <w:r w:rsidRPr="00CE0B5C">
              <w:rPr>
                <w:rFonts w:cs="Arial"/>
                <w:sz w:val="20"/>
                <w:szCs w:val="20"/>
              </w:rPr>
              <w:t>Total Matches</w:t>
            </w:r>
          </w:p>
        </w:tc>
        <w:tc>
          <w:tcPr>
            <w:tcW w:w="1530" w:type="dxa"/>
          </w:tcPr>
          <w:p w14:paraId="6F2B349A" w14:textId="7BA1CA0B" w:rsidR="00EA34FA" w:rsidRPr="00CE0B5C" w:rsidRDefault="00EA34FA" w:rsidP="00F558F4">
            <w:pPr>
              <w:spacing w:before="60" w:after="60"/>
              <w:rPr>
                <w:sz w:val="20"/>
                <w:szCs w:val="20"/>
              </w:rPr>
            </w:pPr>
            <w:r w:rsidRPr="00CE0B5C">
              <w:rPr>
                <w:rFonts w:cs="Arial"/>
                <w:sz w:val="20"/>
                <w:szCs w:val="20"/>
              </w:rPr>
              <w:t>ASZ</w:t>
            </w:r>
            <w:r w:rsidR="0060739B" w:rsidRPr="00CE0B5C">
              <w:rPr>
                <w:rFonts w:cs="Arial"/>
                <w:sz w:val="20"/>
                <w:szCs w:val="20"/>
              </w:rPr>
              <w:t>/AE3</w:t>
            </w:r>
            <w:r w:rsidR="00F558F4" w:rsidRPr="00CE0B5C">
              <w:rPr>
                <w:rFonts w:cs="Arial"/>
                <w:sz w:val="20"/>
                <w:szCs w:val="20"/>
              </w:rPr>
              <w:t xml:space="preserve"> – B</w:t>
            </w:r>
            <w:r w:rsidRPr="00CE0B5C">
              <w:rPr>
                <w:rFonts w:cs="Arial"/>
                <w:sz w:val="20"/>
                <w:szCs w:val="20"/>
              </w:rPr>
              <w:t>F</w:t>
            </w:r>
            <w:r w:rsidR="00F558F4" w:rsidRPr="00CE0B5C">
              <w:rPr>
                <w:rFonts w:cs="Arial"/>
                <w:sz w:val="20"/>
                <w:szCs w:val="20"/>
              </w:rPr>
              <w:t>,</w:t>
            </w:r>
            <w:r w:rsidRPr="00CE0B5C">
              <w:rPr>
                <w:rFonts w:cs="Arial"/>
                <w:sz w:val="20"/>
                <w:szCs w:val="20"/>
              </w:rPr>
              <w:t xml:space="preserve"> DE</w:t>
            </w:r>
            <w:r w:rsidR="00F558F4" w:rsidRPr="00CE0B5C">
              <w:rPr>
                <w:rFonts w:cs="Arial"/>
                <w:sz w:val="20"/>
                <w:szCs w:val="20"/>
              </w:rPr>
              <w:t>,</w:t>
            </w:r>
            <w:r w:rsidRPr="00CE0B5C">
              <w:rPr>
                <w:rFonts w:cs="Arial"/>
                <w:sz w:val="20"/>
                <w:szCs w:val="20"/>
              </w:rPr>
              <w:t xml:space="preserve"> DF</w:t>
            </w:r>
            <w:r w:rsidR="00F558F4" w:rsidRPr="00CE0B5C">
              <w:rPr>
                <w:rFonts w:cs="Arial"/>
                <w:sz w:val="20"/>
                <w:szCs w:val="20"/>
              </w:rPr>
              <w:t>,</w:t>
            </w:r>
            <w:r w:rsidRPr="00CE0B5C">
              <w:rPr>
                <w:rFonts w:cs="Arial"/>
                <w:sz w:val="20"/>
                <w:szCs w:val="20"/>
              </w:rPr>
              <w:t xml:space="preserve"> DG</w:t>
            </w:r>
            <w:r w:rsidR="00F558F4" w:rsidRPr="00CE0B5C">
              <w:rPr>
                <w:rFonts w:cs="Arial"/>
                <w:sz w:val="20"/>
                <w:szCs w:val="20"/>
              </w:rPr>
              <w:t>,</w:t>
            </w:r>
            <w:r w:rsidRPr="00CE0B5C">
              <w:rPr>
                <w:rFonts w:cs="Arial"/>
                <w:sz w:val="20"/>
                <w:szCs w:val="20"/>
              </w:rPr>
              <w:t xml:space="preserve"> DH</w:t>
            </w:r>
          </w:p>
        </w:tc>
        <w:tc>
          <w:tcPr>
            <w:tcW w:w="1295" w:type="dxa"/>
          </w:tcPr>
          <w:p w14:paraId="6F2B349B" w14:textId="08D0FD43" w:rsidR="00EA34FA" w:rsidRPr="00CE0B5C" w:rsidRDefault="00024570" w:rsidP="00F558F4">
            <w:pPr>
              <w:spacing w:before="60" w:after="60"/>
              <w:jc w:val="center"/>
              <w:rPr>
                <w:sz w:val="20"/>
                <w:szCs w:val="20"/>
              </w:rPr>
            </w:pPr>
            <w:r w:rsidRPr="00CE0B5C">
              <w:rPr>
                <w:rFonts w:cs="Arial"/>
                <w:sz w:val="20"/>
                <w:szCs w:val="20"/>
              </w:rPr>
              <w:t xml:space="preserve">36  </w:t>
            </w:r>
            <w:r w:rsidR="00EA34FA" w:rsidRPr="00CE0B5C">
              <w:rPr>
                <w:rFonts w:cs="Arial"/>
                <w:sz w:val="20"/>
                <w:szCs w:val="20"/>
              </w:rPr>
              <w:t>37</w:t>
            </w:r>
          </w:p>
        </w:tc>
        <w:tc>
          <w:tcPr>
            <w:tcW w:w="1376" w:type="dxa"/>
          </w:tcPr>
          <w:p w14:paraId="6F2B349C" w14:textId="5490B128" w:rsidR="00EA34FA" w:rsidRPr="00CE0B5C" w:rsidRDefault="00EA34FA" w:rsidP="00F558F4">
            <w:pPr>
              <w:spacing w:before="60" w:after="60"/>
              <w:jc w:val="center"/>
              <w:rPr>
                <w:sz w:val="20"/>
                <w:szCs w:val="20"/>
              </w:rPr>
            </w:pPr>
            <w:r w:rsidRPr="00CE0B5C">
              <w:rPr>
                <w:rFonts w:cs="Arial"/>
                <w:sz w:val="20"/>
                <w:szCs w:val="20"/>
              </w:rPr>
              <w:t>36</w:t>
            </w:r>
            <w:r w:rsidR="00024570" w:rsidRPr="00CE0B5C">
              <w:rPr>
                <w:rFonts w:cs="Arial"/>
                <w:sz w:val="20"/>
                <w:szCs w:val="20"/>
              </w:rPr>
              <w:t xml:space="preserve">  </w:t>
            </w:r>
            <w:r w:rsidRPr="00CE0B5C">
              <w:rPr>
                <w:rFonts w:cs="Arial"/>
                <w:sz w:val="20"/>
                <w:szCs w:val="20"/>
              </w:rPr>
              <w:t>37</w:t>
            </w:r>
          </w:p>
        </w:tc>
        <w:tc>
          <w:tcPr>
            <w:tcW w:w="854" w:type="dxa"/>
          </w:tcPr>
          <w:p w14:paraId="6F2B349D" w14:textId="4DE91FC0" w:rsidR="00EA34FA" w:rsidRPr="00CE0B5C" w:rsidRDefault="00EA34FA" w:rsidP="00F558F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60" w:after="60"/>
              <w:jc w:val="center"/>
              <w:rPr>
                <w:rFonts w:cs="Arial"/>
                <w:sz w:val="20"/>
                <w:szCs w:val="20"/>
              </w:rPr>
            </w:pPr>
            <w:r w:rsidRPr="00CE0B5C">
              <w:rPr>
                <w:rFonts w:cs="Arial"/>
                <w:sz w:val="20"/>
                <w:szCs w:val="20"/>
              </w:rPr>
              <w:t>36</w:t>
            </w:r>
            <w:r w:rsidR="00024570" w:rsidRPr="00CE0B5C">
              <w:rPr>
                <w:rFonts w:cs="Arial"/>
                <w:sz w:val="20"/>
                <w:szCs w:val="20"/>
              </w:rPr>
              <w:t xml:space="preserve">  </w:t>
            </w:r>
            <w:r w:rsidRPr="00CE0B5C">
              <w:rPr>
                <w:rFonts w:cs="Arial"/>
                <w:sz w:val="20"/>
                <w:szCs w:val="20"/>
              </w:rPr>
              <w:t>37</w:t>
            </w:r>
          </w:p>
        </w:tc>
        <w:tc>
          <w:tcPr>
            <w:tcW w:w="795" w:type="dxa"/>
          </w:tcPr>
          <w:p w14:paraId="6F2B349E" w14:textId="0373E8E3" w:rsidR="00EA34FA" w:rsidRPr="00CE0B5C" w:rsidRDefault="00024570" w:rsidP="00F558F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60" w:after="60"/>
              <w:jc w:val="center"/>
              <w:rPr>
                <w:rFonts w:cs="Arial"/>
                <w:sz w:val="20"/>
                <w:szCs w:val="20"/>
              </w:rPr>
            </w:pPr>
            <w:r w:rsidRPr="00CE0B5C">
              <w:rPr>
                <w:rFonts w:cs="Arial"/>
                <w:sz w:val="20"/>
                <w:szCs w:val="20"/>
              </w:rPr>
              <w:t xml:space="preserve">36  </w:t>
            </w:r>
            <w:r w:rsidR="00EA34FA" w:rsidRPr="00CE0B5C">
              <w:rPr>
                <w:rFonts w:cs="Arial"/>
                <w:sz w:val="20"/>
                <w:szCs w:val="20"/>
              </w:rPr>
              <w:t>37</w:t>
            </w:r>
          </w:p>
        </w:tc>
        <w:tc>
          <w:tcPr>
            <w:tcW w:w="775" w:type="dxa"/>
          </w:tcPr>
          <w:p w14:paraId="6F2B349F" w14:textId="10BA01AB" w:rsidR="00EA34FA" w:rsidRPr="00CE0B5C" w:rsidRDefault="00EA34FA" w:rsidP="00F558F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60" w:after="60"/>
              <w:jc w:val="center"/>
              <w:rPr>
                <w:rFonts w:cs="Arial"/>
                <w:sz w:val="20"/>
                <w:szCs w:val="20"/>
              </w:rPr>
            </w:pPr>
            <w:r w:rsidRPr="00CE0B5C">
              <w:rPr>
                <w:rFonts w:cs="Arial"/>
                <w:sz w:val="20"/>
                <w:szCs w:val="20"/>
              </w:rPr>
              <w:t>36</w:t>
            </w:r>
            <w:r w:rsidR="00024570" w:rsidRPr="00CE0B5C">
              <w:rPr>
                <w:rFonts w:cs="Arial"/>
                <w:sz w:val="20"/>
                <w:szCs w:val="20"/>
              </w:rPr>
              <w:t xml:space="preserve">  </w:t>
            </w:r>
            <w:r w:rsidRPr="00CE0B5C">
              <w:rPr>
                <w:rFonts w:cs="Arial"/>
                <w:sz w:val="20"/>
                <w:szCs w:val="20"/>
              </w:rPr>
              <w:t>37</w:t>
            </w:r>
          </w:p>
        </w:tc>
        <w:tc>
          <w:tcPr>
            <w:tcW w:w="1565" w:type="dxa"/>
          </w:tcPr>
          <w:p w14:paraId="6F2B34A0" w14:textId="4ADEAF3F" w:rsidR="00EA34FA" w:rsidRPr="00CE0B5C" w:rsidRDefault="00EA34FA" w:rsidP="00F558F4">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60" w:after="60"/>
              <w:jc w:val="center"/>
              <w:rPr>
                <w:rFonts w:cs="Arial"/>
                <w:sz w:val="20"/>
                <w:szCs w:val="20"/>
              </w:rPr>
            </w:pPr>
            <w:r w:rsidRPr="00CE0B5C">
              <w:rPr>
                <w:rFonts w:cs="Arial"/>
                <w:sz w:val="20"/>
                <w:szCs w:val="20"/>
              </w:rPr>
              <w:t>36</w:t>
            </w:r>
            <w:r w:rsidR="00F558F4" w:rsidRPr="00CE0B5C">
              <w:rPr>
                <w:rFonts w:cs="Arial"/>
                <w:sz w:val="20"/>
                <w:szCs w:val="20"/>
              </w:rPr>
              <w:t xml:space="preserve">  </w:t>
            </w:r>
            <w:r w:rsidRPr="00CE0B5C">
              <w:rPr>
                <w:rFonts w:cs="Arial"/>
                <w:sz w:val="20"/>
                <w:szCs w:val="20"/>
              </w:rPr>
              <w:t>37</w:t>
            </w:r>
          </w:p>
        </w:tc>
      </w:tr>
      <w:tr w:rsidR="00EA34FA" w:rsidRPr="00CE0B5C" w14:paraId="6F2B34AD" w14:textId="77777777" w:rsidTr="0060739B">
        <w:tc>
          <w:tcPr>
            <w:tcW w:w="985" w:type="dxa"/>
          </w:tcPr>
          <w:p w14:paraId="6F2B34AB" w14:textId="77777777" w:rsidR="00EA34FA" w:rsidRPr="00CE0B5C" w:rsidRDefault="00EA34FA" w:rsidP="00024570">
            <w:pPr>
              <w:spacing w:before="60" w:after="60"/>
              <w:rPr>
                <w:rFonts w:cs="Arial"/>
                <w:sz w:val="20"/>
                <w:szCs w:val="20"/>
              </w:rPr>
            </w:pPr>
            <w:r w:rsidRPr="00CE0B5C">
              <w:rPr>
                <w:rFonts w:cs="Arial"/>
                <w:sz w:val="20"/>
                <w:szCs w:val="20"/>
              </w:rPr>
              <w:t>Note:</w:t>
            </w:r>
          </w:p>
        </w:tc>
        <w:tc>
          <w:tcPr>
            <w:tcW w:w="8190" w:type="dxa"/>
            <w:gridSpan w:val="7"/>
          </w:tcPr>
          <w:p w14:paraId="63721F21" w14:textId="5BF5F195" w:rsidR="00EA34FA" w:rsidRPr="00CE0B5C" w:rsidRDefault="00EA34FA" w:rsidP="00F558F4">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60" w:after="60"/>
              <w:rPr>
                <w:rFonts w:cs="Arial"/>
                <w:sz w:val="20"/>
                <w:szCs w:val="20"/>
              </w:rPr>
            </w:pPr>
            <w:r w:rsidRPr="00CE0B5C">
              <w:rPr>
                <w:rFonts w:cs="Arial"/>
                <w:sz w:val="20"/>
                <w:szCs w:val="20"/>
              </w:rPr>
              <w:t xml:space="preserve">1.  All columns show transaction totals and dollar totals.  Dollars </w:t>
            </w:r>
            <w:r w:rsidR="005E4240" w:rsidRPr="00CE0B5C">
              <w:rPr>
                <w:rFonts w:cs="Arial"/>
                <w:sz w:val="20"/>
                <w:szCs w:val="20"/>
              </w:rPr>
              <w:t>shall</w:t>
            </w:r>
            <w:r w:rsidRPr="00CE0B5C">
              <w:rPr>
                <w:rFonts w:cs="Arial"/>
                <w:sz w:val="20"/>
                <w:szCs w:val="20"/>
              </w:rPr>
              <w:t xml:space="preserve"> be shown in multiples of $100.00</w:t>
            </w:r>
          </w:p>
          <w:p w14:paraId="6F2B34AC" w14:textId="66BB8ACA" w:rsidR="00F558F4" w:rsidRPr="00CE0B5C" w:rsidRDefault="00F558F4" w:rsidP="00F558F4">
            <w:pPr>
              <w:tabs>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60"/>
              <w:rPr>
                <w:rFonts w:cs="Arial"/>
                <w:sz w:val="20"/>
                <w:szCs w:val="20"/>
              </w:rPr>
            </w:pPr>
            <w:r w:rsidRPr="00CE0B5C">
              <w:rPr>
                <w:rFonts w:cs="Arial"/>
                <w:sz w:val="20"/>
                <w:szCs w:val="20"/>
              </w:rPr>
              <w:t>2.  Report prepared in hardcopy shall page break after each distinct record, i.e., after each DoDAAC or Service.</w:t>
            </w:r>
          </w:p>
        </w:tc>
      </w:tr>
    </w:tbl>
    <w:p w14:paraId="462AB8A0" w14:textId="77777777" w:rsidR="00F558F4" w:rsidRDefault="00F558F4" w:rsidP="00F558F4">
      <w:pPr>
        <w:tabs>
          <w:tab w:val="left" w:pos="540"/>
          <w:tab w:val="left" w:pos="1080"/>
        </w:tabs>
        <w:spacing w:after="240"/>
      </w:pPr>
    </w:p>
    <w:p w14:paraId="6F2B34B2" w14:textId="1F2C2F18" w:rsidR="00EA34FA" w:rsidRPr="00CE0B5C" w:rsidRDefault="002F72DA" w:rsidP="00F558F4">
      <w:pPr>
        <w:keepNext/>
        <w:keepLines/>
        <w:widowControl/>
        <w:tabs>
          <w:tab w:val="left" w:pos="540"/>
          <w:tab w:val="left" w:pos="1080"/>
        </w:tabs>
        <w:spacing w:after="240"/>
      </w:pPr>
      <w:r>
        <w:lastRenderedPageBreak/>
        <w:t>AP6</w:t>
      </w:r>
      <w:r w:rsidR="00F74127" w:rsidRPr="00CE0B5C">
        <w:t>.3</w:t>
      </w:r>
      <w:r w:rsidR="00997F30" w:rsidRPr="00CE0B5C">
        <w:t>3</w:t>
      </w:r>
      <w:r w:rsidR="00F74127" w:rsidRPr="00CE0B5C">
        <w:t>.4.</w:t>
      </w:r>
      <w:r w:rsidR="00EA34FA" w:rsidRPr="00CE0B5C">
        <w:t xml:space="preserve">  Explan</w:t>
      </w:r>
      <w:r w:rsidR="00F74127" w:rsidRPr="00CE0B5C">
        <w:t xml:space="preserve">ation of </w:t>
      </w:r>
      <w:r w:rsidR="00EA34FA" w:rsidRPr="00CE0B5C">
        <w:t>colum</w:t>
      </w:r>
      <w:r w:rsidR="00F74127" w:rsidRPr="00CE0B5C">
        <w:t>n</w:t>
      </w:r>
      <w:r w:rsidR="00EA34FA" w:rsidRPr="00CE0B5C">
        <w:t>s</w:t>
      </w:r>
      <w:r w:rsidR="00295CFD" w:rsidRPr="00CE0B5C">
        <w:t xml:space="preserve"> in the report:</w:t>
      </w:r>
    </w:p>
    <w:p w14:paraId="6F2B34B3" w14:textId="7D17791E" w:rsidR="00EA34FA" w:rsidRPr="00CE0B5C" w:rsidRDefault="00A9085D" w:rsidP="00F558F4">
      <w:pPr>
        <w:keepNext/>
        <w:keepLines/>
        <w:widowControl/>
        <w:tabs>
          <w:tab w:val="left" w:pos="540"/>
          <w:tab w:val="left" w:pos="1080"/>
        </w:tabs>
        <w:spacing w:after="240"/>
        <w:rPr>
          <w:rFonts w:cs="Arial"/>
        </w:rPr>
      </w:pPr>
      <w:r w:rsidRPr="00CE0B5C">
        <w:rPr>
          <w:rFonts w:cs="Arial"/>
        </w:rPr>
        <w:tab/>
      </w:r>
      <w:r w:rsidR="002F72DA">
        <w:rPr>
          <w:rFonts w:cs="Arial"/>
        </w:rPr>
        <w:t>AP6</w:t>
      </w:r>
      <w:r w:rsidR="00F74127" w:rsidRPr="00CE0B5C">
        <w:rPr>
          <w:rFonts w:cs="Arial"/>
        </w:rPr>
        <w:t>.3</w:t>
      </w:r>
      <w:r w:rsidR="00997F30" w:rsidRPr="00CE0B5C">
        <w:rPr>
          <w:rFonts w:cs="Arial"/>
        </w:rPr>
        <w:t>3</w:t>
      </w:r>
      <w:r w:rsidR="00F74127" w:rsidRPr="00CE0B5C">
        <w:rPr>
          <w:rFonts w:cs="Arial"/>
        </w:rPr>
        <w:t xml:space="preserve">.4.1.  </w:t>
      </w:r>
      <w:r w:rsidR="00EA34FA" w:rsidRPr="00CE0B5C">
        <w:rPr>
          <w:rFonts w:cs="Arial"/>
          <w:u w:val="single"/>
        </w:rPr>
        <w:t>Total Matches</w:t>
      </w:r>
      <w:r w:rsidR="00EA34FA" w:rsidRPr="00CE0B5C">
        <w:rPr>
          <w:rFonts w:cs="Arial"/>
        </w:rPr>
        <w:t xml:space="preserve">.  Reflects a count of matching </w:t>
      </w:r>
      <w:r w:rsidR="006738C2" w:rsidRPr="00CE0B5C">
        <w:rPr>
          <w:rFonts w:cs="Arial"/>
        </w:rPr>
        <w:t>DIC</w:t>
      </w:r>
      <w:r w:rsidR="00EA34FA" w:rsidRPr="00CE0B5C">
        <w:rPr>
          <w:rFonts w:cs="Arial"/>
        </w:rPr>
        <w:t xml:space="preserve"> AS3 transactions and </w:t>
      </w:r>
      <w:r w:rsidR="006738C2" w:rsidRPr="00CE0B5C">
        <w:rPr>
          <w:rFonts w:cs="Arial"/>
        </w:rPr>
        <w:t xml:space="preserve">DLA Disposition Services Field Office </w:t>
      </w:r>
      <w:r w:rsidR="00EA34FA" w:rsidRPr="00CE0B5C">
        <w:rPr>
          <w:rFonts w:cs="Arial"/>
        </w:rPr>
        <w:t>receipts.  Physical security/controlled inventory item totals required an exact quantity match.  All other items require a quantity match within $800 of an exact match.</w:t>
      </w:r>
    </w:p>
    <w:p w14:paraId="6F2B34B4" w14:textId="59EF534D" w:rsidR="00F74127" w:rsidRPr="00CE0B5C" w:rsidRDefault="00A9085D" w:rsidP="00F558F4">
      <w:pPr>
        <w:tabs>
          <w:tab w:val="left" w:pos="540"/>
          <w:tab w:val="left" w:pos="1080"/>
        </w:tabs>
        <w:spacing w:after="240"/>
        <w:rPr>
          <w:rFonts w:cs="Arial"/>
        </w:rPr>
      </w:pPr>
      <w:r w:rsidRPr="00CE0B5C">
        <w:rPr>
          <w:rFonts w:cs="Arial"/>
        </w:rPr>
        <w:tab/>
      </w:r>
      <w:r w:rsidR="002F72DA">
        <w:rPr>
          <w:rFonts w:cs="Arial"/>
        </w:rPr>
        <w:t>AP6</w:t>
      </w:r>
      <w:r w:rsidR="00295CFD" w:rsidRPr="00CE0B5C">
        <w:rPr>
          <w:rFonts w:cs="Arial"/>
        </w:rPr>
        <w:t>.3</w:t>
      </w:r>
      <w:r w:rsidR="00997F30" w:rsidRPr="00CE0B5C">
        <w:rPr>
          <w:rFonts w:cs="Arial"/>
        </w:rPr>
        <w:t>3</w:t>
      </w:r>
      <w:r w:rsidR="00295CFD" w:rsidRPr="00CE0B5C">
        <w:rPr>
          <w:rFonts w:cs="Arial"/>
        </w:rPr>
        <w:t>.4.2</w:t>
      </w:r>
      <w:r w:rsidR="00F74127" w:rsidRPr="00CE0B5C">
        <w:rPr>
          <w:rFonts w:cs="Arial"/>
        </w:rPr>
        <w:t xml:space="preserve">.  </w:t>
      </w:r>
      <w:r w:rsidR="00F74127" w:rsidRPr="00CE0B5C">
        <w:rPr>
          <w:rFonts w:cs="Arial"/>
          <w:u w:val="single"/>
        </w:rPr>
        <w:t>Discrepancies Cleared</w:t>
      </w:r>
      <w:r w:rsidR="00F74127" w:rsidRPr="00CE0B5C">
        <w:rPr>
          <w:rFonts w:cs="Arial"/>
        </w:rPr>
        <w:t xml:space="preserve">.  Reflects a count of transactions received by </w:t>
      </w:r>
      <w:r w:rsidR="006738C2" w:rsidRPr="00CE0B5C">
        <w:rPr>
          <w:rFonts w:cs="Arial"/>
        </w:rPr>
        <w:t>DLA Disposition Services</w:t>
      </w:r>
      <w:r w:rsidR="00445C6C" w:rsidRPr="00CE0B5C">
        <w:rPr>
          <w:rFonts w:cs="Arial"/>
        </w:rPr>
        <w:t xml:space="preserve"> Field Offices</w:t>
      </w:r>
      <w:r w:rsidR="00F74127" w:rsidRPr="00CE0B5C">
        <w:rPr>
          <w:rFonts w:cs="Arial"/>
        </w:rPr>
        <w:t xml:space="preserve"> in response to </w:t>
      </w:r>
      <w:r w:rsidR="006738C2" w:rsidRPr="00CE0B5C">
        <w:rPr>
          <w:rFonts w:cs="Arial"/>
        </w:rPr>
        <w:t>DIC</w:t>
      </w:r>
      <w:r w:rsidR="00F74127" w:rsidRPr="00CE0B5C">
        <w:rPr>
          <w:rFonts w:cs="Arial"/>
        </w:rPr>
        <w:t xml:space="preserve"> AFX and AFZ </w:t>
      </w:r>
      <w:r w:rsidR="00545499" w:rsidRPr="00CE0B5C">
        <w:rPr>
          <w:rFonts w:cs="Arial"/>
        </w:rPr>
        <w:t>follow-ups</w:t>
      </w:r>
      <w:r w:rsidR="00445C6C" w:rsidRPr="00CE0B5C">
        <w:rPr>
          <w:rFonts w:cs="Arial"/>
        </w:rPr>
        <w:t>, s</w:t>
      </w:r>
      <w:r w:rsidR="00F74127" w:rsidRPr="00CE0B5C">
        <w:rPr>
          <w:rFonts w:cs="Arial"/>
        </w:rPr>
        <w:t xml:space="preserve">ubdivided by type of response; </w:t>
      </w:r>
      <w:r w:rsidR="006738C2" w:rsidRPr="00CE0B5C">
        <w:rPr>
          <w:rFonts w:cs="Arial"/>
        </w:rPr>
        <w:t>DIC</w:t>
      </w:r>
      <w:r w:rsidR="00F74127" w:rsidRPr="00CE0B5C">
        <w:rPr>
          <w:rFonts w:cs="Arial"/>
        </w:rPr>
        <w:t xml:space="preserve"> ASZ or </w:t>
      </w:r>
      <w:r w:rsidR="006738C2" w:rsidRPr="00CE0B5C">
        <w:rPr>
          <w:rFonts w:cs="Arial"/>
        </w:rPr>
        <w:t>DIC</w:t>
      </w:r>
      <w:r w:rsidR="00F74127" w:rsidRPr="00CE0B5C">
        <w:rPr>
          <w:rFonts w:cs="Arial"/>
        </w:rPr>
        <w:t xml:space="preserve"> AE3 with Status Code BF, DE, DF, DG, or DH.</w:t>
      </w:r>
    </w:p>
    <w:p w14:paraId="6F2B34B5" w14:textId="4D5B8DBC" w:rsidR="00F74127" w:rsidRPr="00CE0B5C" w:rsidRDefault="00A9085D" w:rsidP="00F558F4">
      <w:pPr>
        <w:tabs>
          <w:tab w:val="left" w:pos="540"/>
          <w:tab w:val="left" w:pos="1080"/>
        </w:tabs>
        <w:spacing w:after="240"/>
        <w:rPr>
          <w:rFonts w:cs="Arial"/>
        </w:rPr>
      </w:pPr>
      <w:r w:rsidRPr="00CE0B5C">
        <w:tab/>
      </w:r>
      <w:r w:rsidR="002F72DA">
        <w:t>AP6</w:t>
      </w:r>
      <w:r w:rsidR="00295CFD" w:rsidRPr="00CE0B5C">
        <w:t>.3</w:t>
      </w:r>
      <w:r w:rsidR="00997F30" w:rsidRPr="00CE0B5C">
        <w:t>3</w:t>
      </w:r>
      <w:r w:rsidR="00295CFD" w:rsidRPr="00CE0B5C">
        <w:t xml:space="preserve">.4.3.  </w:t>
      </w:r>
      <w:r w:rsidR="00F74127" w:rsidRPr="00CE0B5C">
        <w:rPr>
          <w:u w:val="single"/>
        </w:rPr>
        <w:t>AFX Generated</w:t>
      </w:r>
      <w:r w:rsidR="00F74127" w:rsidRPr="00CE0B5C">
        <w:t xml:space="preserve">.  Reflects a count of </w:t>
      </w:r>
      <w:r w:rsidR="006738C2" w:rsidRPr="00CE0B5C">
        <w:t>DIC</w:t>
      </w:r>
      <w:r w:rsidR="00F74127" w:rsidRPr="00CE0B5C">
        <w:t xml:space="preserve"> AFX transactions generated during the period</w:t>
      </w:r>
      <w:r w:rsidR="00F74127" w:rsidRPr="00CE0B5C">
        <w:rPr>
          <w:rFonts w:cs="Arial"/>
        </w:rPr>
        <w:t xml:space="preserve"> (quarter or fiscal year) by </w:t>
      </w:r>
      <w:r w:rsidR="006738C2" w:rsidRPr="00CE0B5C">
        <w:rPr>
          <w:rFonts w:cs="Arial"/>
        </w:rPr>
        <w:t>DLA Disposition Services</w:t>
      </w:r>
      <w:r w:rsidR="00445C6C" w:rsidRPr="00CE0B5C">
        <w:rPr>
          <w:rFonts w:cs="Arial"/>
        </w:rPr>
        <w:t>, s</w:t>
      </w:r>
      <w:r w:rsidR="00F74127" w:rsidRPr="00CE0B5C">
        <w:rPr>
          <w:rFonts w:cs="Arial"/>
        </w:rPr>
        <w:t xml:space="preserve">ubdivided by the type of condition causing a mismatch between the </w:t>
      </w:r>
      <w:r w:rsidR="006738C2" w:rsidRPr="00CE0B5C">
        <w:rPr>
          <w:rFonts w:cs="Arial"/>
        </w:rPr>
        <w:t>DIC</w:t>
      </w:r>
      <w:r w:rsidR="00F74127" w:rsidRPr="00CE0B5C">
        <w:rPr>
          <w:rFonts w:cs="Arial"/>
        </w:rPr>
        <w:t xml:space="preserve"> AS3 and the </w:t>
      </w:r>
      <w:r w:rsidR="006738C2" w:rsidRPr="00CE0B5C">
        <w:rPr>
          <w:rFonts w:cs="Arial"/>
        </w:rPr>
        <w:t>DLA Disposition Services Field Office</w:t>
      </w:r>
      <w:r w:rsidR="00F74127" w:rsidRPr="00CE0B5C">
        <w:rPr>
          <w:rFonts w:cs="Arial"/>
        </w:rPr>
        <w:t xml:space="preserve"> receipt.</w:t>
      </w:r>
    </w:p>
    <w:p w14:paraId="6F2B34B6" w14:textId="4C593A31" w:rsidR="00295CFD" w:rsidRPr="00CE0B5C" w:rsidRDefault="00A9085D" w:rsidP="00F558F4">
      <w:pPr>
        <w:tabs>
          <w:tab w:val="left" w:pos="540"/>
          <w:tab w:val="left" w:pos="1080"/>
        </w:tabs>
        <w:spacing w:after="240"/>
        <w:rPr>
          <w:rFonts w:cs="Arial"/>
        </w:rPr>
      </w:pPr>
      <w:r w:rsidRPr="00CE0B5C">
        <w:rPr>
          <w:rFonts w:cs="Arial"/>
        </w:rPr>
        <w:tab/>
      </w:r>
      <w:r w:rsidR="002F72DA">
        <w:rPr>
          <w:rFonts w:cs="Arial"/>
        </w:rPr>
        <w:t>AP6</w:t>
      </w:r>
      <w:r w:rsidR="00295CFD" w:rsidRPr="00CE0B5C">
        <w:rPr>
          <w:rFonts w:cs="Arial"/>
        </w:rPr>
        <w:t>.3</w:t>
      </w:r>
      <w:r w:rsidR="00997F30" w:rsidRPr="00CE0B5C">
        <w:rPr>
          <w:rFonts w:cs="Arial"/>
        </w:rPr>
        <w:t>3</w:t>
      </w:r>
      <w:r w:rsidR="00295CFD" w:rsidRPr="00CE0B5C">
        <w:rPr>
          <w:rFonts w:cs="Arial"/>
        </w:rPr>
        <w:t xml:space="preserve">.4.4.  </w:t>
      </w:r>
      <w:r w:rsidR="00295CFD" w:rsidRPr="00CE0B5C">
        <w:rPr>
          <w:bCs/>
          <w:u w:val="single"/>
        </w:rPr>
        <w:t>AFZ Generated</w:t>
      </w:r>
      <w:r w:rsidR="00295CFD" w:rsidRPr="00CE0B5C">
        <w:rPr>
          <w:bCs/>
        </w:rPr>
        <w:t xml:space="preserve">.  Reflects a count of the </w:t>
      </w:r>
      <w:r w:rsidR="006738C2" w:rsidRPr="00CE0B5C">
        <w:rPr>
          <w:bCs/>
        </w:rPr>
        <w:t>DIC</w:t>
      </w:r>
      <w:r w:rsidR="00295CFD" w:rsidRPr="00CE0B5C">
        <w:rPr>
          <w:bCs/>
        </w:rPr>
        <w:t xml:space="preserve"> AFZ transaction generated during the period</w:t>
      </w:r>
      <w:r w:rsidR="00295CFD" w:rsidRPr="00CE0B5C">
        <w:rPr>
          <w:rFonts w:cs="Arial"/>
        </w:rPr>
        <w:t xml:space="preserve"> (quarter or fiscal year) by </w:t>
      </w:r>
      <w:r w:rsidR="006738C2" w:rsidRPr="00CE0B5C">
        <w:rPr>
          <w:rFonts w:cs="Arial"/>
        </w:rPr>
        <w:t>DLA Disposition Services</w:t>
      </w:r>
      <w:r w:rsidR="00445C6C" w:rsidRPr="00CE0B5C">
        <w:rPr>
          <w:rFonts w:cs="Arial"/>
        </w:rPr>
        <w:t>, s</w:t>
      </w:r>
      <w:r w:rsidR="00295CFD" w:rsidRPr="00CE0B5C">
        <w:rPr>
          <w:rFonts w:cs="Arial"/>
        </w:rPr>
        <w:t xml:space="preserve">ubdivided by type of condition causing a mismatch between the </w:t>
      </w:r>
      <w:r w:rsidR="006738C2" w:rsidRPr="00CE0B5C">
        <w:rPr>
          <w:rFonts w:cs="Arial"/>
        </w:rPr>
        <w:t>DIC</w:t>
      </w:r>
      <w:r w:rsidR="00295CFD" w:rsidRPr="00CE0B5C">
        <w:rPr>
          <w:rFonts w:cs="Arial"/>
        </w:rPr>
        <w:t xml:space="preserve"> AS3 and the </w:t>
      </w:r>
      <w:r w:rsidR="006738C2" w:rsidRPr="00CE0B5C">
        <w:rPr>
          <w:rFonts w:cs="Arial"/>
        </w:rPr>
        <w:t>DLA Disposition Services Field Office</w:t>
      </w:r>
      <w:r w:rsidR="00295CFD" w:rsidRPr="00CE0B5C">
        <w:rPr>
          <w:rFonts w:cs="Arial"/>
        </w:rPr>
        <w:t xml:space="preserve"> receipt.</w:t>
      </w:r>
    </w:p>
    <w:p w14:paraId="6F2B34B7" w14:textId="161A3BED" w:rsidR="00295CFD" w:rsidRPr="00CE0B5C" w:rsidRDefault="00A9085D" w:rsidP="00F558F4">
      <w:pPr>
        <w:tabs>
          <w:tab w:val="left" w:pos="540"/>
          <w:tab w:val="left" w:pos="1080"/>
        </w:tabs>
        <w:spacing w:after="240"/>
        <w:rPr>
          <w:rFonts w:cs="Arial"/>
        </w:rPr>
      </w:pPr>
      <w:r w:rsidRPr="00CE0B5C">
        <w:rPr>
          <w:rFonts w:cs="Arial"/>
        </w:rPr>
        <w:tab/>
      </w:r>
      <w:r w:rsidR="002F72DA">
        <w:rPr>
          <w:rFonts w:cs="Arial"/>
        </w:rPr>
        <w:t>AP6</w:t>
      </w:r>
      <w:r w:rsidR="00295CFD" w:rsidRPr="00CE0B5C">
        <w:rPr>
          <w:rFonts w:cs="Arial"/>
        </w:rPr>
        <w:t>.3</w:t>
      </w:r>
      <w:r w:rsidR="00997F30" w:rsidRPr="00CE0B5C">
        <w:rPr>
          <w:rFonts w:cs="Arial"/>
        </w:rPr>
        <w:t>3</w:t>
      </w:r>
      <w:r w:rsidR="00295CFD" w:rsidRPr="00CE0B5C">
        <w:rPr>
          <w:rFonts w:cs="Arial"/>
        </w:rPr>
        <w:t xml:space="preserve">.4.5.  </w:t>
      </w:r>
      <w:r w:rsidR="00295CFD" w:rsidRPr="00CE0B5C">
        <w:rPr>
          <w:bCs/>
          <w:u w:val="single"/>
        </w:rPr>
        <w:t>No response to AFZ</w:t>
      </w:r>
      <w:r w:rsidR="00295CFD" w:rsidRPr="00CE0B5C">
        <w:rPr>
          <w:bCs/>
        </w:rPr>
        <w:t xml:space="preserve">.  Reflects a count of the </w:t>
      </w:r>
      <w:r w:rsidR="006738C2" w:rsidRPr="00CE0B5C">
        <w:rPr>
          <w:bCs/>
        </w:rPr>
        <w:t>DIC</w:t>
      </w:r>
      <w:r w:rsidR="00295CFD" w:rsidRPr="00CE0B5C">
        <w:rPr>
          <w:bCs/>
        </w:rPr>
        <w:t xml:space="preserve"> AFZ transactions to which there has been no</w:t>
      </w:r>
      <w:r w:rsidR="00295CFD" w:rsidRPr="00CE0B5C">
        <w:rPr>
          <w:rFonts w:cs="Arial"/>
        </w:rPr>
        <w:t xml:space="preserve"> response</w:t>
      </w:r>
      <w:r w:rsidR="006738C2" w:rsidRPr="00CE0B5C">
        <w:rPr>
          <w:rFonts w:cs="Arial"/>
        </w:rPr>
        <w:t>,</w:t>
      </w:r>
      <w:r w:rsidR="00295CFD" w:rsidRPr="00CE0B5C">
        <w:rPr>
          <w:rFonts w:cs="Arial"/>
        </w:rPr>
        <w:t xml:space="preserve"> </w:t>
      </w:r>
      <w:r w:rsidR="006738C2" w:rsidRPr="00CE0B5C">
        <w:rPr>
          <w:rFonts w:cs="Arial"/>
        </w:rPr>
        <w:t>s</w:t>
      </w:r>
      <w:r w:rsidR="00295CFD" w:rsidRPr="00CE0B5C">
        <w:rPr>
          <w:rFonts w:cs="Arial"/>
        </w:rPr>
        <w:t xml:space="preserve">ubdivided by number of days since the </w:t>
      </w:r>
      <w:r w:rsidR="006738C2" w:rsidRPr="00CE0B5C">
        <w:rPr>
          <w:rFonts w:cs="Arial"/>
        </w:rPr>
        <w:t>DIC</w:t>
      </w:r>
      <w:r w:rsidR="00295CFD" w:rsidRPr="00CE0B5C">
        <w:rPr>
          <w:rFonts w:cs="Arial"/>
        </w:rPr>
        <w:t xml:space="preserve"> AFZ transaction was generated prior to the report preparation cutoff date</w:t>
      </w:r>
      <w:r w:rsidR="006738C2" w:rsidRPr="00CE0B5C">
        <w:rPr>
          <w:rFonts w:cs="Arial"/>
        </w:rPr>
        <w:t>;</w:t>
      </w:r>
      <w:r w:rsidR="00295CFD" w:rsidRPr="00CE0B5C">
        <w:rPr>
          <w:rFonts w:cs="Arial"/>
        </w:rPr>
        <w:t xml:space="preserve"> </w:t>
      </w:r>
      <w:r w:rsidR="006738C2" w:rsidRPr="00CE0B5C">
        <w:rPr>
          <w:rFonts w:cs="Arial"/>
        </w:rPr>
        <w:t>f</w:t>
      </w:r>
      <w:r w:rsidR="00295CFD" w:rsidRPr="00CE0B5C">
        <w:rPr>
          <w:rFonts w:cs="Arial"/>
        </w:rPr>
        <w:t xml:space="preserve">urther subdivided by type of condition causing </w:t>
      </w:r>
      <w:r w:rsidR="00045B35" w:rsidRPr="00CE0B5C">
        <w:rPr>
          <w:rFonts w:cs="Arial"/>
        </w:rPr>
        <w:t xml:space="preserve">a </w:t>
      </w:r>
      <w:r w:rsidR="00295CFD" w:rsidRPr="00CE0B5C">
        <w:rPr>
          <w:rFonts w:cs="Arial"/>
        </w:rPr>
        <w:t xml:space="preserve">mismatch of the </w:t>
      </w:r>
      <w:r w:rsidR="006738C2" w:rsidRPr="00CE0B5C">
        <w:rPr>
          <w:rFonts w:cs="Arial"/>
        </w:rPr>
        <w:t>DIC</w:t>
      </w:r>
      <w:r w:rsidR="00295CFD" w:rsidRPr="00CE0B5C">
        <w:rPr>
          <w:rFonts w:cs="Arial"/>
        </w:rPr>
        <w:t xml:space="preserve"> AS3 and the </w:t>
      </w:r>
      <w:r w:rsidR="006738C2" w:rsidRPr="00CE0B5C">
        <w:rPr>
          <w:rFonts w:cs="Arial"/>
        </w:rPr>
        <w:t>DLA Disposition Services Field Office</w:t>
      </w:r>
      <w:r w:rsidR="00295CFD" w:rsidRPr="00CE0B5C">
        <w:rPr>
          <w:rFonts w:cs="Arial"/>
        </w:rPr>
        <w:t xml:space="preserve"> receipt.</w:t>
      </w:r>
    </w:p>
    <w:p w14:paraId="6F2B34B8" w14:textId="0779A993" w:rsidR="00997F30" w:rsidRPr="00CE0B5C" w:rsidRDefault="00A9085D" w:rsidP="00F558F4">
      <w:pPr>
        <w:tabs>
          <w:tab w:val="left" w:pos="540"/>
          <w:tab w:val="left" w:pos="1080"/>
        </w:tabs>
        <w:spacing w:after="240"/>
        <w:rPr>
          <w:rFonts w:cs="Arial"/>
        </w:rPr>
      </w:pPr>
      <w:r w:rsidRPr="00CE0B5C">
        <w:rPr>
          <w:bCs/>
        </w:rPr>
        <w:tab/>
      </w:r>
      <w:r w:rsidR="002F72DA">
        <w:rPr>
          <w:bCs/>
        </w:rPr>
        <w:t>AP6</w:t>
      </w:r>
      <w:r w:rsidR="00295CFD" w:rsidRPr="00CE0B5C">
        <w:rPr>
          <w:bCs/>
        </w:rPr>
        <w:t>.3</w:t>
      </w:r>
      <w:r w:rsidR="00997F30" w:rsidRPr="00CE0B5C">
        <w:rPr>
          <w:bCs/>
        </w:rPr>
        <w:t>3</w:t>
      </w:r>
      <w:r w:rsidR="00295CFD" w:rsidRPr="00CE0B5C">
        <w:rPr>
          <w:bCs/>
        </w:rPr>
        <w:t xml:space="preserve">.4.6.  </w:t>
      </w:r>
      <w:r w:rsidR="00295CFD" w:rsidRPr="00CE0B5C">
        <w:rPr>
          <w:bCs/>
          <w:u w:val="single"/>
        </w:rPr>
        <w:t>Unresolved Discrepancies Moved to History</w:t>
      </w:r>
      <w:r w:rsidR="00295CFD" w:rsidRPr="00CE0B5C">
        <w:rPr>
          <w:bCs/>
        </w:rPr>
        <w:t>.  Count of the transactions (records) moved from</w:t>
      </w:r>
      <w:r w:rsidR="00295CFD" w:rsidRPr="00CE0B5C">
        <w:rPr>
          <w:rFonts w:cs="Arial"/>
        </w:rPr>
        <w:t xml:space="preserve"> the active file to history during the period (quarter of fiscal year) </w:t>
      </w:r>
      <w:r w:rsidR="00045B35" w:rsidRPr="00CE0B5C">
        <w:rPr>
          <w:rFonts w:cs="Arial"/>
        </w:rPr>
        <w:t xml:space="preserve">that </w:t>
      </w:r>
      <w:r w:rsidR="00295CFD" w:rsidRPr="00CE0B5C">
        <w:rPr>
          <w:rFonts w:cs="Arial"/>
        </w:rPr>
        <w:t xml:space="preserve">has no resolution of the </w:t>
      </w:r>
      <w:r w:rsidR="00295CFD" w:rsidRPr="00CE0B5C">
        <w:rPr>
          <w:bCs/>
        </w:rPr>
        <w:t xml:space="preserve">discrepant condition.  Documents (records) are removed from the active file to history, </w:t>
      </w:r>
      <w:r w:rsidR="00024570" w:rsidRPr="00CE0B5C">
        <w:rPr>
          <w:bCs/>
        </w:rPr>
        <w:t xml:space="preserve">one </w:t>
      </w:r>
      <w:r w:rsidR="00295CFD" w:rsidRPr="00CE0B5C">
        <w:rPr>
          <w:bCs/>
        </w:rPr>
        <w:t>year</w:t>
      </w:r>
      <w:r w:rsidR="00295CFD" w:rsidRPr="00CE0B5C">
        <w:rPr>
          <w:rFonts w:cs="Arial"/>
        </w:rPr>
        <w:t xml:space="preserve"> from the date of receipt of the first transaction in the record (either a </w:t>
      </w:r>
      <w:r w:rsidR="006738C2" w:rsidRPr="00CE0B5C">
        <w:rPr>
          <w:rFonts w:cs="Arial"/>
        </w:rPr>
        <w:t>DIC</w:t>
      </w:r>
      <w:r w:rsidR="00295CFD" w:rsidRPr="00CE0B5C">
        <w:rPr>
          <w:rFonts w:cs="Arial"/>
        </w:rPr>
        <w:t xml:space="preserve"> AS3 or a</w:t>
      </w:r>
      <w:r w:rsidR="006738C2" w:rsidRPr="00CE0B5C">
        <w:t xml:space="preserve"> </w:t>
      </w:r>
      <w:r w:rsidR="006738C2" w:rsidRPr="00CE0B5C">
        <w:rPr>
          <w:rFonts w:cs="Arial"/>
        </w:rPr>
        <w:t>DLA Disposition Services Field Office</w:t>
      </w:r>
      <w:r w:rsidR="00295CFD" w:rsidRPr="00CE0B5C">
        <w:rPr>
          <w:rFonts w:cs="Arial"/>
        </w:rPr>
        <w:t xml:space="preserve"> receipt transaction).</w:t>
      </w:r>
    </w:p>
    <w:sectPr w:rsidR="00997F30" w:rsidRPr="00CE0B5C" w:rsidSect="00A9085D">
      <w:headerReference w:type="even" r:id="rId11"/>
      <w:headerReference w:type="default" r:id="rId12"/>
      <w:footerReference w:type="even" r:id="rId13"/>
      <w:footerReference w:type="default" r:id="rId14"/>
      <w:type w:val="continuous"/>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B34BB" w14:textId="77777777" w:rsidR="002F72DA" w:rsidRDefault="002F72DA">
      <w:r>
        <w:separator/>
      </w:r>
    </w:p>
  </w:endnote>
  <w:endnote w:type="continuationSeparator" w:id="0">
    <w:p w14:paraId="6F2B34BC" w14:textId="77777777" w:rsidR="002F72DA" w:rsidRDefault="002F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B34C0" w14:textId="77777777" w:rsidR="002F72DA" w:rsidRPr="002A7098" w:rsidRDefault="002F72DA" w:rsidP="00397EF3">
    <w:pPr>
      <w:pStyle w:val="Footer"/>
      <w:framePr w:wrap="around" w:vAnchor="text" w:hAnchor="margin" w:xAlign="center" w:y="1"/>
      <w:rPr>
        <w:rStyle w:val="PageNumber"/>
      </w:rPr>
    </w:pPr>
    <w:r w:rsidRPr="002A7098">
      <w:rPr>
        <w:rStyle w:val="PageNumber"/>
      </w:rPr>
      <w:fldChar w:fldCharType="begin"/>
    </w:r>
    <w:r w:rsidRPr="002A7098">
      <w:rPr>
        <w:rStyle w:val="PageNumber"/>
      </w:rPr>
      <w:instrText xml:space="preserve">PAGE  </w:instrText>
    </w:r>
    <w:r w:rsidRPr="002A7098">
      <w:rPr>
        <w:rStyle w:val="PageNumber"/>
      </w:rPr>
      <w:fldChar w:fldCharType="separate"/>
    </w:r>
    <w:r w:rsidRPr="002A7098">
      <w:rPr>
        <w:rStyle w:val="PageNumber"/>
        <w:noProof/>
      </w:rPr>
      <w:t>2</w:t>
    </w:r>
    <w:r w:rsidRPr="002A7098">
      <w:rPr>
        <w:rStyle w:val="PageNumber"/>
      </w:rPr>
      <w:fldChar w:fldCharType="end"/>
    </w:r>
  </w:p>
  <w:p w14:paraId="6F2B34C1" w14:textId="77777777" w:rsidR="002F72DA" w:rsidRDefault="002F72DA" w:rsidP="008F1B33">
    <w:pPr>
      <w:pStyle w:val="Footer"/>
      <w:jc w:val="right"/>
    </w:pPr>
    <w:r>
      <w:t>APPENDIX 1.33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B34C2" w14:textId="38A37418" w:rsidR="002F72DA" w:rsidRPr="00A9085D" w:rsidRDefault="002F72DA" w:rsidP="00397EF3">
    <w:pPr>
      <w:pStyle w:val="Footer"/>
      <w:framePr w:wrap="around" w:vAnchor="text" w:hAnchor="margin" w:xAlign="center" w:y="1"/>
      <w:rPr>
        <w:rStyle w:val="PageNumber"/>
      </w:rPr>
    </w:pPr>
    <w:r>
      <w:rPr>
        <w:rStyle w:val="PageNumber"/>
      </w:rPr>
      <w:t>AP6.33-</w:t>
    </w:r>
    <w:r w:rsidRPr="00A9085D">
      <w:rPr>
        <w:rStyle w:val="PageNumber"/>
      </w:rPr>
      <w:fldChar w:fldCharType="begin"/>
    </w:r>
    <w:r w:rsidRPr="00A9085D">
      <w:rPr>
        <w:rStyle w:val="PageNumber"/>
      </w:rPr>
      <w:instrText xml:space="preserve">PAGE  </w:instrText>
    </w:r>
    <w:r w:rsidRPr="00A9085D">
      <w:rPr>
        <w:rStyle w:val="PageNumber"/>
      </w:rPr>
      <w:fldChar w:fldCharType="separate"/>
    </w:r>
    <w:r w:rsidR="00342CDA">
      <w:rPr>
        <w:rStyle w:val="PageNumber"/>
        <w:noProof/>
      </w:rPr>
      <w:t>1</w:t>
    </w:r>
    <w:r w:rsidRPr="00A9085D">
      <w:rPr>
        <w:rStyle w:val="PageNumber"/>
      </w:rPr>
      <w:fldChar w:fldCharType="end"/>
    </w:r>
  </w:p>
  <w:p w14:paraId="6F2B34C3" w14:textId="660068EB" w:rsidR="002F72DA" w:rsidRDefault="002F72DA" w:rsidP="00A9085D">
    <w:pPr>
      <w:jc w:val="right"/>
    </w:pPr>
    <w:r>
      <w:t>APPENDIX 6.33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B34B9" w14:textId="77777777" w:rsidR="002F72DA" w:rsidRDefault="002F72DA">
      <w:r>
        <w:separator/>
      </w:r>
    </w:p>
  </w:footnote>
  <w:footnote w:type="continuationSeparator" w:id="0">
    <w:p w14:paraId="6F2B34BA" w14:textId="77777777" w:rsidR="002F72DA" w:rsidRDefault="002F72DA">
      <w:r>
        <w:continuationSeparator/>
      </w:r>
    </w:p>
  </w:footnote>
  <w:footnote w:id="1">
    <w:p w14:paraId="6F2B34C7" w14:textId="357E35C5" w:rsidR="002F72DA" w:rsidRPr="00CE0B5C" w:rsidRDefault="002F72DA">
      <w:pPr>
        <w:pStyle w:val="FootnoteText"/>
      </w:pPr>
      <w:r w:rsidRPr="00CE0B5C">
        <w:rPr>
          <w:rStyle w:val="FootnoteReference"/>
          <w:vertAlign w:val="superscript"/>
        </w:rPr>
        <w:footnoteRef/>
      </w:r>
      <w:r w:rsidRPr="00CE0B5C">
        <w:t xml:space="preserve"> </w:t>
      </w:r>
      <w:r w:rsidRPr="00CE0B5C">
        <w:rPr>
          <w:bCs/>
          <w:iCs/>
        </w:rPr>
        <w:t>Establishing intransit control procedures for shipments to DLA Disposition Services Field Offices last reported as not implemented by USAF and USMC.  Refer AMCL 158B.</w:t>
      </w:r>
      <w:r w:rsidRPr="00CE0B5C" w:rsidDel="00F558F4">
        <w:rPr>
          <w:bCs/>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B34BD" w14:textId="77777777" w:rsidR="002F72DA" w:rsidRDefault="002F72DA" w:rsidP="0030041D">
    <w:pPr>
      <w:pStyle w:val="Header"/>
      <w:jc w:val="right"/>
      <w:rPr>
        <w:i/>
      </w:rPr>
    </w:pPr>
    <w:r w:rsidRPr="00D4458D">
      <w:rPr>
        <w:i/>
      </w:rPr>
      <w:t xml:space="preserve">DoD 4000.25-1-M, </w:t>
    </w:r>
    <w:r>
      <w:rPr>
        <w:i/>
      </w:rPr>
      <w:t>January, 2006</w:t>
    </w:r>
  </w:p>
  <w:p w14:paraId="6F2B34BE" w14:textId="77777777" w:rsidR="002F72DA" w:rsidRPr="00D4458D" w:rsidRDefault="002F72DA" w:rsidP="0030041D">
    <w:pPr>
      <w:pStyle w:val="Header"/>
      <w:jc w:val="right"/>
      <w:rPr>
        <w:i/>
      </w:rPr>
    </w:pPr>
    <w:r>
      <w:rPr>
        <w:i/>
      </w:rPr>
      <w:t>Change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683D2" w14:textId="39A083BA" w:rsidR="002F72DA" w:rsidRPr="002F72DA" w:rsidRDefault="002F72DA" w:rsidP="002F72DA">
    <w:pPr>
      <w:pStyle w:val="Header"/>
      <w:jc w:val="right"/>
      <w:rPr>
        <w:i/>
      </w:rPr>
    </w:pPr>
    <w:r w:rsidRPr="002F72DA">
      <w:rPr>
        <w:i/>
      </w:rPr>
      <w:t xml:space="preserve">DLM 4000.25, Volume 2, </w:t>
    </w:r>
    <w:r w:rsidR="00342CDA">
      <w:rPr>
        <w:rFonts w:cs="Arial"/>
        <w:i/>
      </w:rPr>
      <w:t>November 26</w:t>
    </w:r>
    <w:r w:rsidRPr="002F72DA">
      <w:rPr>
        <w:i/>
      </w:rPr>
      <w:t>, 2019</w:t>
    </w:r>
  </w:p>
  <w:p w14:paraId="6F2B34BF" w14:textId="4D90CA5C" w:rsidR="002F72DA" w:rsidRPr="00F558F4" w:rsidRDefault="002F72DA" w:rsidP="002F72DA">
    <w:pPr>
      <w:pStyle w:val="Header"/>
      <w:tabs>
        <w:tab w:val="clear" w:pos="8640"/>
      </w:tabs>
      <w:jc w:val="right"/>
    </w:pPr>
    <w:r w:rsidRPr="002F72DA">
      <w:rPr>
        <w:i/>
      </w:rPr>
      <w:t>Change 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MANUAL Par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
      <w:lvlJc w:val="left"/>
    </w:lvl>
    <w:lvl w:ilvl="8">
      <w:numFmt w:val="decimal"/>
      <w:lvlText w:val=""/>
      <w:lvlJc w:val="left"/>
    </w:lvl>
  </w:abstractNum>
  <w:abstractNum w:abstractNumId="1" w15:restartNumberingAfterBreak="0">
    <w:nsid w:val="01A248E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
      <w:lvlJc w:val="left"/>
    </w:lvl>
    <w:lvl w:ilvl="8">
      <w:numFmt w:val="decimal"/>
      <w:lvlText w:val=""/>
      <w:lvlJc w:val="left"/>
    </w:lvl>
  </w:abstractNum>
  <w:abstractNum w:abstractNumId="2" w15:restartNumberingAfterBreak="0">
    <w:nsid w:val="1A3A4FC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
      <w:lvlJc w:val="left"/>
    </w:lvl>
    <w:lvl w:ilvl="8">
      <w:numFmt w:val="decimal"/>
      <w:lvlText w:val=""/>
      <w:lvlJc w:val="left"/>
    </w:lvl>
  </w:abstractNum>
  <w:abstractNum w:abstractNumId="3" w15:restartNumberingAfterBreak="0">
    <w:nsid w:val="2D5433A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
      <w:lvlJc w:val="left"/>
    </w:lvl>
    <w:lvl w:ilvl="8">
      <w:numFmt w:val="decimal"/>
      <w:lvlText w:val=""/>
      <w:lvlJc w:val="left"/>
    </w:lvl>
  </w:abstractNum>
  <w:abstractNum w:abstractNumId="4" w15:restartNumberingAfterBreak="0">
    <w:nsid w:val="37560AF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
      <w:lvlJc w:val="left"/>
    </w:lvl>
    <w:lvl w:ilvl="8">
      <w:numFmt w:val="decimal"/>
      <w:lvlText w:val=""/>
      <w:lvlJc w:val="left"/>
    </w:lvl>
  </w:abstractNum>
  <w:abstractNum w:abstractNumId="5" w15:restartNumberingAfterBreak="0">
    <w:nsid w:val="412C072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
      <w:lvlJc w:val="left"/>
    </w:lvl>
    <w:lvl w:ilvl="8">
      <w:numFmt w:val="decimal"/>
      <w:lvlText w:val=""/>
      <w:lvlJc w:val="left"/>
    </w:lvl>
  </w:abstractNum>
  <w:abstractNum w:abstractNumId="6" w15:restartNumberingAfterBreak="0">
    <w:nsid w:val="5CC65734"/>
    <w:multiLevelType w:val="multilevel"/>
    <w:tmpl w:val="485C7412"/>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0"/>
    <w:lvlOverride w:ilvl="0">
      <w:lvl w:ilvl="0">
        <w:start w:val="1"/>
        <w:numFmt w:val="decimal"/>
        <w:lvlText w:val="AP1.%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
    <w:abstractNumId w:val="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
    <w:abstractNumId w:val="0"/>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4">
    <w:abstractNumId w:val="0"/>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5">
    <w:abstractNumId w:val="0"/>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6">
    <w:abstractNumId w:val="0"/>
    <w:lvlOverride w:ilvl="0">
      <w:startOverride w:val="9"/>
      <w:lvl w:ilvl="0">
        <w:start w:val="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7">
    <w:abstractNumId w:val="0"/>
    <w:lvlOverride w:ilvl="0">
      <w:startOverride w:val="12"/>
      <w:lvl w:ilvl="0">
        <w:start w:val="1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8">
    <w:abstractNumId w:val="0"/>
    <w:lvlOverride w:ilvl="0">
      <w:startOverride w:val="13"/>
      <w:lvl w:ilvl="0">
        <w:start w:val="1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9">
    <w:abstractNumId w:val="0"/>
    <w:lvlOverride w:ilvl="0">
      <w:startOverride w:val="15"/>
      <w:lvl w:ilvl="0">
        <w:start w:val="1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0">
    <w:abstractNumId w:val="0"/>
    <w:lvlOverride w:ilvl="0">
      <w:startOverride w:val="16"/>
      <w:lvl w:ilvl="0">
        <w:start w:val="1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1">
    <w:abstractNumId w:val="0"/>
    <w:lvlOverride w:ilvl="0">
      <w:startOverride w:val="17"/>
      <w:lvl w:ilvl="0">
        <w:start w:val="1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2">
    <w:abstractNumId w:val="0"/>
    <w:lvlOverride w:ilvl="0">
      <w:startOverride w:val="18"/>
      <w:lvl w:ilvl="0">
        <w:start w:val="1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3">
    <w:abstractNumId w:val="0"/>
    <w:lvlOverride w:ilvl="0">
      <w:startOverride w:val="19"/>
      <w:lvl w:ilvl="0">
        <w:start w:val="1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4">
    <w:abstractNumId w:val="0"/>
    <w:lvlOverride w:ilvl="0">
      <w:startOverride w:val="20"/>
      <w:lvl w:ilvl="0">
        <w:start w:val="2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5">
    <w:abstractNumId w:val="0"/>
    <w:lvlOverride w:ilvl="0">
      <w:startOverride w:val="21"/>
      <w:lvl w:ilvl="0">
        <w:start w:val="2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6">
    <w:abstractNumId w:val="0"/>
    <w:lvlOverride w:ilvl="0">
      <w:startOverride w:val="22"/>
      <w:lvl w:ilvl="0">
        <w:start w:val="2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7">
    <w:abstractNumId w:val="0"/>
    <w:lvlOverride w:ilvl="0">
      <w:startOverride w:val="23"/>
      <w:lvl w:ilvl="0">
        <w:start w:val="2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8">
    <w:abstractNumId w:val="0"/>
    <w:lvlOverride w:ilvl="0">
      <w:startOverride w:val="24"/>
      <w:lvl w:ilvl="0">
        <w:start w:val="2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19">
    <w:abstractNumId w:val="0"/>
    <w:lvlOverride w:ilvl="0">
      <w:startOverride w:val="25"/>
      <w:lvl w:ilvl="0">
        <w:start w:val="2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0">
    <w:abstractNumId w:val="0"/>
    <w:lvlOverride w:ilvl="0">
      <w:startOverride w:val="26"/>
      <w:lvl w:ilvl="0">
        <w:start w:val="2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1">
    <w:abstractNumId w:val="0"/>
    <w:lvlOverride w:ilvl="0">
      <w:startOverride w:val="27"/>
      <w:lvl w:ilvl="0">
        <w:start w:val="2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2">
    <w:abstractNumId w:val="0"/>
    <w:lvlOverride w:ilvl="0">
      <w:startOverride w:val="28"/>
      <w:lvl w:ilvl="0">
        <w:start w:val="2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3">
    <w:abstractNumId w:val="0"/>
    <w:lvlOverride w:ilvl="0">
      <w:startOverride w:val="29"/>
      <w:lvl w:ilvl="0">
        <w:start w:val="2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4">
    <w:abstractNumId w:val="0"/>
    <w:lvlOverride w:ilvl="0">
      <w:startOverride w:val="30"/>
      <w:lvl w:ilvl="0">
        <w:start w:val="3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5">
    <w:abstractNumId w:val="0"/>
    <w:lvlOverride w:ilvl="0">
      <w:startOverride w:val="31"/>
      <w:lvl w:ilvl="0">
        <w:start w:val="3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6">
    <w:abstractNumId w:val="0"/>
    <w:lvlOverride w:ilvl="0">
      <w:startOverride w:val="32"/>
      <w:lvl w:ilvl="0">
        <w:start w:val="3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7">
    <w:abstractNumId w:val="0"/>
    <w:lvlOverride w:ilvl="0">
      <w:startOverride w:val="33"/>
      <w:lvl w:ilvl="0">
        <w:start w:val="3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8">
    <w:abstractNumId w:val="0"/>
    <w:lvlOverride w:ilvl="0">
      <w:startOverride w:val="34"/>
      <w:lvl w:ilvl="0">
        <w:start w:val="3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29">
    <w:abstractNumId w:val="0"/>
    <w:lvlOverride w:ilvl="0">
      <w:startOverride w:val="35"/>
      <w:lvl w:ilvl="0">
        <w:start w:val="3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0">
    <w:abstractNumId w:val="0"/>
    <w:lvlOverride w:ilvl="0">
      <w:startOverride w:val="38"/>
      <w:lvl w:ilvl="0">
        <w:start w:val="3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1">
    <w:abstractNumId w:val="0"/>
    <w:lvlOverride w:ilvl="0">
      <w:startOverride w:val="39"/>
      <w:lvl w:ilvl="0">
        <w:start w:val="3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2">
    <w:abstractNumId w:val="0"/>
    <w:lvlOverride w:ilvl="0">
      <w:startOverride w:val="40"/>
      <w:lvl w:ilvl="0">
        <w:start w:val="4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3">
    <w:abstractNumId w:val="0"/>
    <w:lvlOverride w:ilvl="0">
      <w:startOverride w:val="41"/>
      <w:lvl w:ilvl="0">
        <w:start w:val="4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4">
    <w:abstractNumId w:val="0"/>
    <w:lvlOverride w:ilvl="0">
      <w:startOverride w:val="42"/>
      <w:lvl w:ilvl="0">
        <w:start w:val="4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5">
    <w:abstractNumId w:val="0"/>
    <w:lvlOverride w:ilvl="0">
      <w:startOverride w:val="43"/>
      <w:lvl w:ilvl="0">
        <w:start w:val="4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6">
    <w:abstractNumId w:val="0"/>
    <w:lvlOverride w:ilvl="0">
      <w:startOverride w:val="44"/>
      <w:lvl w:ilvl="0">
        <w:start w:val="4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7">
    <w:abstractNumId w:val="0"/>
    <w:lvlOverride w:ilvl="0">
      <w:startOverride w:val="45"/>
      <w:lvl w:ilvl="0">
        <w:start w:val="4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8">
    <w:abstractNumId w:val="0"/>
    <w:lvlOverride w:ilvl="0">
      <w:startOverride w:val="46"/>
      <w:lvl w:ilvl="0">
        <w:start w:val="46"/>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39">
    <w:abstractNumId w:val="0"/>
    <w:lvlOverride w:ilvl="0">
      <w:startOverride w:val="47"/>
      <w:lvl w:ilvl="0">
        <w:start w:val="4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40">
    <w:abstractNumId w:val="0"/>
    <w:lvlOverride w:ilvl="0">
      <w:startOverride w:val="48"/>
      <w:lvl w:ilvl="0">
        <w:start w:val="4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41">
    <w:abstractNumId w:val="0"/>
    <w:lvlOverride w:ilvl="0">
      <w:startOverride w:val="49"/>
      <w:lvl w:ilvl="0">
        <w:start w:val="49"/>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42">
    <w:abstractNumId w:val="0"/>
    <w:lvlOverride w:ilvl="0">
      <w:startOverride w:val="50"/>
      <w:lvl w:ilvl="0">
        <w:start w:val="50"/>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43">
    <w:abstractNumId w:val="0"/>
    <w:lvlOverride w:ilvl="0">
      <w:startOverride w:val="51"/>
      <w:lvl w:ilvl="0">
        <w:start w:val="5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
        <w:lvlJc w:val="left"/>
      </w:lvl>
    </w:lvlOverride>
  </w:num>
  <w:num w:numId="44">
    <w:abstractNumId w:val="4"/>
  </w:num>
  <w:num w:numId="45">
    <w:abstractNumId w:val="1"/>
  </w:num>
  <w:num w:numId="46">
    <w:abstractNumId w:val="0"/>
    <w:lvlOverride w:ilvl="0">
      <w:lvl w:ilvl="0">
        <w:start w:val="1"/>
        <w:numFmt w:val="decimal"/>
        <w:lvlText w:val="AP1.%1"/>
        <w:lvlJc w:val="left"/>
        <w:pPr>
          <w:tabs>
            <w:tab w:val="num" w:pos="432"/>
          </w:tabs>
          <w:ind w:left="432" w:hanging="432"/>
        </w:pPr>
        <w:rPr>
          <w:rFonts w:ascii="Arial" w:hAnsi="Arial" w:hint="default"/>
        </w:rPr>
      </w:lvl>
    </w:lvlOverride>
    <w:lvlOverride w:ilvl="1">
      <w:lvl w:ilvl="1">
        <w:start w:val="1"/>
        <w:numFmt w:val="decimal"/>
        <w:lvlText w:val="AP1.1.%1.%2"/>
        <w:lvlJc w:val="left"/>
        <w:pPr>
          <w:tabs>
            <w:tab w:val="num" w:pos="576"/>
          </w:tabs>
          <w:ind w:left="0" w:firstLine="0"/>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numFmt w:val="decimal"/>
        <w:lvlText w:val="%1.%2.%3.%4.%5.%6.%7.%8.%9"/>
        <w:lvlJc w:val="left"/>
        <w:pPr>
          <w:tabs>
            <w:tab w:val="num" w:pos="1584"/>
          </w:tabs>
          <w:ind w:left="1584" w:hanging="1584"/>
        </w:pPr>
        <w:rPr>
          <w:rFonts w:hint="default"/>
        </w:rPr>
      </w:lvl>
    </w:lvlOverride>
  </w:num>
  <w:num w:numId="47">
    <w:abstractNumId w:val="3"/>
  </w:num>
  <w:num w:numId="48">
    <w:abstractNumId w:val="5"/>
  </w:num>
  <w:num w:numId="49">
    <w:abstractNumId w:val="2"/>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o:colormenu v:ext="edit" strokecolor="none"/>
    </o:shapedefaults>
  </w:hdrShapeDefault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6DB"/>
    <w:rsid w:val="00004209"/>
    <w:rsid w:val="000129D2"/>
    <w:rsid w:val="00024570"/>
    <w:rsid w:val="00031DA8"/>
    <w:rsid w:val="00032EFB"/>
    <w:rsid w:val="00045B35"/>
    <w:rsid w:val="00085609"/>
    <w:rsid w:val="000E2D70"/>
    <w:rsid w:val="000F02A1"/>
    <w:rsid w:val="000F2C0A"/>
    <w:rsid w:val="00106356"/>
    <w:rsid w:val="001664C8"/>
    <w:rsid w:val="001940C8"/>
    <w:rsid w:val="001958CD"/>
    <w:rsid w:val="001C40FE"/>
    <w:rsid w:val="001E48A8"/>
    <w:rsid w:val="00245B4D"/>
    <w:rsid w:val="00295CFD"/>
    <w:rsid w:val="002A5412"/>
    <w:rsid w:val="002A5CAA"/>
    <w:rsid w:val="002A7098"/>
    <w:rsid w:val="002B5EF9"/>
    <w:rsid w:val="002C3EAD"/>
    <w:rsid w:val="002F0B76"/>
    <w:rsid w:val="002F72DA"/>
    <w:rsid w:val="0030041D"/>
    <w:rsid w:val="0032695A"/>
    <w:rsid w:val="0032743B"/>
    <w:rsid w:val="00336A06"/>
    <w:rsid w:val="00342CDA"/>
    <w:rsid w:val="00390450"/>
    <w:rsid w:val="00397EF3"/>
    <w:rsid w:val="003A19BC"/>
    <w:rsid w:val="003A2043"/>
    <w:rsid w:val="003A27A1"/>
    <w:rsid w:val="003B553A"/>
    <w:rsid w:val="003C28EE"/>
    <w:rsid w:val="003E6905"/>
    <w:rsid w:val="00404B3A"/>
    <w:rsid w:val="0044238F"/>
    <w:rsid w:val="00445C6C"/>
    <w:rsid w:val="004642F3"/>
    <w:rsid w:val="004E5B9C"/>
    <w:rsid w:val="00510BBA"/>
    <w:rsid w:val="00515E80"/>
    <w:rsid w:val="00525845"/>
    <w:rsid w:val="00545499"/>
    <w:rsid w:val="00572D2E"/>
    <w:rsid w:val="005D7B98"/>
    <w:rsid w:val="005E4240"/>
    <w:rsid w:val="005E4EF0"/>
    <w:rsid w:val="0060224B"/>
    <w:rsid w:val="0060739B"/>
    <w:rsid w:val="006738C2"/>
    <w:rsid w:val="00677511"/>
    <w:rsid w:val="006F082F"/>
    <w:rsid w:val="006F3CC5"/>
    <w:rsid w:val="00714C9D"/>
    <w:rsid w:val="00725C17"/>
    <w:rsid w:val="00774770"/>
    <w:rsid w:val="0080016C"/>
    <w:rsid w:val="00821FB8"/>
    <w:rsid w:val="008423CE"/>
    <w:rsid w:val="00847EFE"/>
    <w:rsid w:val="008542F2"/>
    <w:rsid w:val="008C7C85"/>
    <w:rsid w:val="008F1B33"/>
    <w:rsid w:val="009115D5"/>
    <w:rsid w:val="00913FC5"/>
    <w:rsid w:val="009177CE"/>
    <w:rsid w:val="00933978"/>
    <w:rsid w:val="00956A44"/>
    <w:rsid w:val="009833E6"/>
    <w:rsid w:val="00984E7A"/>
    <w:rsid w:val="00997F30"/>
    <w:rsid w:val="009A3EB5"/>
    <w:rsid w:val="009D725F"/>
    <w:rsid w:val="009F2570"/>
    <w:rsid w:val="00A31A33"/>
    <w:rsid w:val="00A358C2"/>
    <w:rsid w:val="00A40797"/>
    <w:rsid w:val="00A41244"/>
    <w:rsid w:val="00A8272D"/>
    <w:rsid w:val="00A9085D"/>
    <w:rsid w:val="00A93A86"/>
    <w:rsid w:val="00A94DAB"/>
    <w:rsid w:val="00AD637F"/>
    <w:rsid w:val="00B133E6"/>
    <w:rsid w:val="00B31D77"/>
    <w:rsid w:val="00B6266F"/>
    <w:rsid w:val="00B67F55"/>
    <w:rsid w:val="00B8672F"/>
    <w:rsid w:val="00BB6032"/>
    <w:rsid w:val="00BD65BC"/>
    <w:rsid w:val="00BD7A8A"/>
    <w:rsid w:val="00BF5758"/>
    <w:rsid w:val="00C206BE"/>
    <w:rsid w:val="00C22613"/>
    <w:rsid w:val="00C27A35"/>
    <w:rsid w:val="00C3676D"/>
    <w:rsid w:val="00C50FA6"/>
    <w:rsid w:val="00C52206"/>
    <w:rsid w:val="00C92E4A"/>
    <w:rsid w:val="00C9572C"/>
    <w:rsid w:val="00CA15CC"/>
    <w:rsid w:val="00CB36D9"/>
    <w:rsid w:val="00CB5976"/>
    <w:rsid w:val="00CB7457"/>
    <w:rsid w:val="00CE0B5C"/>
    <w:rsid w:val="00CF6296"/>
    <w:rsid w:val="00D056DB"/>
    <w:rsid w:val="00D4458D"/>
    <w:rsid w:val="00D54C04"/>
    <w:rsid w:val="00D715A5"/>
    <w:rsid w:val="00D80E81"/>
    <w:rsid w:val="00DB0C8C"/>
    <w:rsid w:val="00DE79E1"/>
    <w:rsid w:val="00E141BE"/>
    <w:rsid w:val="00E56953"/>
    <w:rsid w:val="00EA34FA"/>
    <w:rsid w:val="00EA446B"/>
    <w:rsid w:val="00EA543C"/>
    <w:rsid w:val="00EA61F7"/>
    <w:rsid w:val="00EB1331"/>
    <w:rsid w:val="00EB4A74"/>
    <w:rsid w:val="00EF24BF"/>
    <w:rsid w:val="00EF3397"/>
    <w:rsid w:val="00F2715C"/>
    <w:rsid w:val="00F558F4"/>
    <w:rsid w:val="00F74127"/>
    <w:rsid w:val="00F90CAE"/>
    <w:rsid w:val="00FB4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enu v:ext="edit" strokecolor="none"/>
    </o:shapedefaults>
    <o:shapelayout v:ext="edit">
      <o:idmap v:ext="edit" data="1"/>
    </o:shapelayout>
  </w:shapeDefaults>
  <w:doNotEmbedSmartTags/>
  <w:decimalSymbol w:val="."/>
  <w:listSeparator w:val=","/>
  <w14:docId w14:val="6F2B3470"/>
  <w15:docId w15:val="{1414582B-A71B-49CC-9923-9F735D6A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C17"/>
    <w:pPr>
      <w:widowControl w:val="0"/>
      <w:autoSpaceDE w:val="0"/>
      <w:autoSpaceDN w:val="0"/>
      <w:adjustRightInd w:val="0"/>
    </w:pPr>
    <w:rPr>
      <w:rFonts w:ascii="Arial" w:hAnsi="Arial"/>
      <w:sz w:val="24"/>
      <w:szCs w:val="24"/>
    </w:rPr>
  </w:style>
  <w:style w:type="paragraph" w:styleId="Heading1">
    <w:name w:val="heading 1"/>
    <w:basedOn w:val="Normal"/>
    <w:next w:val="Normal"/>
    <w:qFormat/>
    <w:rsid w:val="00085609"/>
    <w:pPr>
      <w:keepNext/>
      <w:spacing w:before="240" w:after="60"/>
      <w:outlineLvl w:val="0"/>
    </w:pPr>
    <w:rPr>
      <w:rFonts w:cs="Arial"/>
      <w:b/>
      <w:bCs/>
      <w:kern w:val="32"/>
      <w:sz w:val="32"/>
      <w:szCs w:val="32"/>
    </w:rPr>
  </w:style>
  <w:style w:type="paragraph" w:styleId="Heading2">
    <w:name w:val="heading 2"/>
    <w:basedOn w:val="Normal"/>
    <w:next w:val="Normal"/>
    <w:qFormat/>
    <w:rsid w:val="00085609"/>
    <w:pPr>
      <w:keepNext/>
      <w:spacing w:before="240" w:after="60"/>
      <w:outlineLvl w:val="1"/>
    </w:pPr>
    <w:rPr>
      <w:rFonts w:cs="Arial"/>
      <w:b/>
      <w:bCs/>
      <w:i/>
      <w:iCs/>
      <w:sz w:val="28"/>
      <w:szCs w:val="28"/>
    </w:rPr>
  </w:style>
  <w:style w:type="paragraph" w:styleId="Heading3">
    <w:name w:val="heading 3"/>
    <w:basedOn w:val="Normal"/>
    <w:next w:val="Normal"/>
    <w:qFormat/>
    <w:rsid w:val="00085609"/>
    <w:pPr>
      <w:keepNext/>
      <w:spacing w:before="240" w:after="60"/>
      <w:outlineLvl w:val="2"/>
    </w:pPr>
    <w:rPr>
      <w:rFonts w:cs="Arial"/>
      <w:b/>
      <w:bCs/>
      <w:sz w:val="26"/>
      <w:szCs w:val="26"/>
    </w:rPr>
  </w:style>
  <w:style w:type="paragraph" w:styleId="Heading4">
    <w:name w:val="heading 4"/>
    <w:basedOn w:val="Normal"/>
    <w:next w:val="Normal"/>
    <w:qFormat/>
    <w:rsid w:val="00085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85609"/>
    <w:pPr>
      <w:spacing w:before="240" w:after="60"/>
      <w:outlineLvl w:val="4"/>
    </w:pPr>
    <w:rPr>
      <w:b/>
      <w:bCs/>
      <w:i/>
      <w:iCs/>
      <w:sz w:val="26"/>
      <w:szCs w:val="26"/>
    </w:rPr>
  </w:style>
  <w:style w:type="paragraph" w:styleId="Heading6">
    <w:name w:val="heading 6"/>
    <w:basedOn w:val="Normal"/>
    <w:next w:val="Normal"/>
    <w:qFormat/>
    <w:rsid w:val="00085609"/>
    <w:pPr>
      <w:spacing w:before="240" w:after="60"/>
      <w:outlineLvl w:val="5"/>
    </w:pPr>
    <w:rPr>
      <w:rFonts w:ascii="Times New Roman" w:hAnsi="Times New Roman"/>
      <w:b/>
      <w:bCs/>
      <w:sz w:val="22"/>
      <w:szCs w:val="22"/>
    </w:rPr>
  </w:style>
  <w:style w:type="paragraph" w:styleId="Heading7">
    <w:name w:val="heading 7"/>
    <w:basedOn w:val="Normal"/>
    <w:next w:val="Normal"/>
    <w:qFormat/>
    <w:rsid w:val="00085609"/>
    <w:pPr>
      <w:spacing w:before="240" w:after="60"/>
      <w:outlineLvl w:val="6"/>
    </w:pPr>
    <w:rPr>
      <w:rFonts w:ascii="Times New Roman" w:hAnsi="Times New Roman"/>
    </w:rPr>
  </w:style>
  <w:style w:type="paragraph" w:styleId="Heading8">
    <w:name w:val="heading 8"/>
    <w:basedOn w:val="Normal"/>
    <w:next w:val="Normal"/>
    <w:qFormat/>
    <w:rsid w:val="00085609"/>
    <w:pPr>
      <w:spacing w:before="240" w:after="60"/>
      <w:outlineLvl w:val="7"/>
    </w:pPr>
    <w:rPr>
      <w:rFonts w:ascii="Times New Roman" w:hAnsi="Times New Roman"/>
      <w:i/>
      <w:iCs/>
    </w:rPr>
  </w:style>
  <w:style w:type="paragraph" w:styleId="Heading9">
    <w:name w:val="heading 9"/>
    <w:basedOn w:val="Normal"/>
    <w:next w:val="Normal"/>
    <w:qFormat/>
    <w:rsid w:val="0008560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25C17"/>
  </w:style>
  <w:style w:type="paragraph" w:customStyle="1" w:styleId="Level1">
    <w:name w:val="Level 1"/>
    <w:basedOn w:val="Normal"/>
    <w:rsid w:val="00725C17"/>
    <w:pPr>
      <w:outlineLvl w:val="0"/>
    </w:pPr>
  </w:style>
  <w:style w:type="character" w:customStyle="1" w:styleId="Hypertext">
    <w:name w:val="Hypertext"/>
    <w:rsid w:val="00725C17"/>
    <w:rPr>
      <w:color w:val="0000FF"/>
      <w:u w:val="single"/>
    </w:rPr>
  </w:style>
  <w:style w:type="paragraph" w:customStyle="1" w:styleId="Level2">
    <w:name w:val="Level 2"/>
    <w:basedOn w:val="Normal"/>
    <w:rsid w:val="00725C17"/>
    <w:pPr>
      <w:ind w:firstLine="360"/>
      <w:outlineLvl w:val="1"/>
    </w:pPr>
  </w:style>
  <w:style w:type="paragraph" w:customStyle="1" w:styleId="Level8">
    <w:name w:val="Level 8"/>
    <w:basedOn w:val="Normal"/>
    <w:rsid w:val="00725C17"/>
    <w:pPr>
      <w:ind w:firstLine="720"/>
    </w:pPr>
  </w:style>
  <w:style w:type="paragraph" w:customStyle="1" w:styleId="Level4">
    <w:name w:val="Level 4"/>
    <w:basedOn w:val="Normal"/>
    <w:rsid w:val="00725C17"/>
    <w:pPr>
      <w:ind w:firstLine="1080"/>
      <w:outlineLvl w:val="3"/>
    </w:pPr>
  </w:style>
  <w:style w:type="paragraph" w:styleId="Header">
    <w:name w:val="header"/>
    <w:basedOn w:val="Normal"/>
    <w:rsid w:val="00A41244"/>
    <w:pPr>
      <w:tabs>
        <w:tab w:val="center" w:pos="4320"/>
        <w:tab w:val="right" w:pos="8640"/>
      </w:tabs>
    </w:pPr>
  </w:style>
  <w:style w:type="paragraph" w:styleId="Footer">
    <w:name w:val="footer"/>
    <w:basedOn w:val="Normal"/>
    <w:rsid w:val="00A41244"/>
    <w:pPr>
      <w:tabs>
        <w:tab w:val="center" w:pos="4320"/>
        <w:tab w:val="right" w:pos="8640"/>
      </w:tabs>
    </w:pPr>
  </w:style>
  <w:style w:type="paragraph" w:styleId="BalloonText">
    <w:name w:val="Balloon Text"/>
    <w:basedOn w:val="Normal"/>
    <w:semiHidden/>
    <w:rsid w:val="00821FB8"/>
    <w:rPr>
      <w:rFonts w:ascii="Tahoma" w:hAnsi="Tahoma" w:cs="Tahoma"/>
      <w:sz w:val="16"/>
      <w:szCs w:val="16"/>
    </w:rPr>
  </w:style>
  <w:style w:type="table" w:styleId="TableGrid">
    <w:name w:val="Table Grid"/>
    <w:basedOn w:val="TableNormal"/>
    <w:rsid w:val="00DE79E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2F0B76"/>
    <w:rPr>
      <w:sz w:val="20"/>
      <w:szCs w:val="20"/>
    </w:rPr>
  </w:style>
  <w:style w:type="character" w:styleId="PageNumber">
    <w:name w:val="page number"/>
    <w:basedOn w:val="DefaultParagraphFont"/>
    <w:rsid w:val="00997F30"/>
  </w:style>
  <w:style w:type="paragraph" w:styleId="Title">
    <w:name w:val="Title"/>
    <w:basedOn w:val="Normal"/>
    <w:next w:val="Normal"/>
    <w:link w:val="TitleChar"/>
    <w:qFormat/>
    <w:rsid w:val="00C50FA6"/>
    <w:pPr>
      <w:spacing w:after="240"/>
      <w:jc w:val="center"/>
    </w:pPr>
    <w:rPr>
      <w:rFonts w:cs="Arial"/>
      <w:b/>
      <w:bCs/>
      <w:sz w:val="44"/>
      <w:szCs w:val="48"/>
      <w:u w:val="single"/>
    </w:rPr>
  </w:style>
  <w:style w:type="character" w:customStyle="1" w:styleId="TitleChar">
    <w:name w:val="Title Char"/>
    <w:link w:val="Title"/>
    <w:rsid w:val="00C50FA6"/>
    <w:rPr>
      <w:rFonts w:ascii="Arial" w:hAnsi="Arial" w:cs="Arial"/>
      <w:b/>
      <w:bCs/>
      <w:sz w:val="44"/>
      <w:szCs w:val="48"/>
      <w:u w:val="single"/>
    </w:rPr>
  </w:style>
  <w:style w:type="character" w:styleId="CommentReference">
    <w:name w:val="annotation reference"/>
    <w:rsid w:val="00445C6C"/>
    <w:rPr>
      <w:sz w:val="16"/>
      <w:szCs w:val="16"/>
    </w:rPr>
  </w:style>
  <w:style w:type="paragraph" w:styleId="CommentText">
    <w:name w:val="annotation text"/>
    <w:basedOn w:val="Normal"/>
    <w:link w:val="CommentTextChar"/>
    <w:rsid w:val="00445C6C"/>
    <w:rPr>
      <w:sz w:val="20"/>
      <w:szCs w:val="20"/>
    </w:rPr>
  </w:style>
  <w:style w:type="character" w:customStyle="1" w:styleId="CommentTextChar">
    <w:name w:val="Comment Text Char"/>
    <w:link w:val="CommentText"/>
    <w:rsid w:val="00445C6C"/>
    <w:rPr>
      <w:rFonts w:ascii="Arial" w:hAnsi="Arial"/>
    </w:rPr>
  </w:style>
  <w:style w:type="paragraph" w:styleId="CommentSubject">
    <w:name w:val="annotation subject"/>
    <w:basedOn w:val="CommentText"/>
    <w:next w:val="CommentText"/>
    <w:link w:val="CommentSubjectChar"/>
    <w:rsid w:val="00445C6C"/>
    <w:rPr>
      <w:b/>
      <w:bCs/>
    </w:rPr>
  </w:style>
  <w:style w:type="character" w:customStyle="1" w:styleId="CommentSubjectChar">
    <w:name w:val="Comment Subject Char"/>
    <w:link w:val="CommentSubject"/>
    <w:rsid w:val="00445C6C"/>
    <w:rPr>
      <w:rFonts w:ascii="Arial" w:hAnsi="Arial"/>
      <w:b/>
      <w:bCs/>
    </w:rPr>
  </w:style>
  <w:style w:type="paragraph" w:styleId="Revision">
    <w:name w:val="Revision"/>
    <w:hidden/>
    <w:uiPriority w:val="99"/>
    <w:semiHidden/>
    <w:rsid w:val="00445C6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8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29044-6280-40AF-A50B-2AB5EF3E65DF}"/>
</file>

<file path=customXml/itemProps2.xml><?xml version="1.0" encoding="utf-8"?>
<ds:datastoreItem xmlns:ds="http://schemas.openxmlformats.org/officeDocument/2006/customXml" ds:itemID="{956353A9-30D0-4F78-AD5C-562FE33612F9}">
  <ds:schemaRefs>
    <ds:schemaRef ds:uri="http://schemas.microsoft.com/sharepoint/v3"/>
    <ds:schemaRef ds:uri="http://schemas.microsoft.com/sharepoint/v4"/>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597F428-B4D7-48F7-8A49-393F726E85F5}">
  <ds:schemaRefs>
    <ds:schemaRef ds:uri="http://schemas.microsoft.com/sharepoint/v3/contenttype/forms"/>
  </ds:schemaRefs>
</ds:datastoreItem>
</file>

<file path=customXml/itemProps4.xml><?xml version="1.0" encoding="utf-8"?>
<ds:datastoreItem xmlns:ds="http://schemas.openxmlformats.org/officeDocument/2006/customXml" ds:itemID="{34F0D892-7702-423D-B859-EB234F5D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2BF25DB7.dotm</Template>
  <TotalTime>84</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Appendix 6.33 - Quarterly Intransit to DLA Disposition Services Field Office Report</vt:lpstr>
    </vt:vector>
  </TitlesOfParts>
  <Company>DLA Logistics Managment Standards Office</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6.33 - Quarterly Intransit to DLA Disposition Services Field Office Report</dc:title>
  <dc:subject/>
  <dc:creator>Heidi Daverede</dc:creator>
  <cp:keywords/>
  <dc:description/>
  <cp:lastModifiedBy>Nguyen, Bao X CTR DLA INFO OPERATIONS (USA)</cp:lastModifiedBy>
  <cp:revision>20</cp:revision>
  <cp:lastPrinted>2010-05-26T12:28:00Z</cp:lastPrinted>
  <dcterms:created xsi:type="dcterms:W3CDTF">2010-05-26T13:16:00Z</dcterms:created>
  <dcterms:modified xsi:type="dcterms:W3CDTF">2019-11-26T21:15:00Z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2298700</vt:r8>
  </property>
</Properties>
</file>