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769E5" w14:textId="44275BA0" w:rsidR="00914AF8" w:rsidRPr="0027203C" w:rsidRDefault="00F27BCA" w:rsidP="007C1B61">
      <w:pPr>
        <w:spacing w:after="240"/>
        <w:jc w:val="center"/>
        <w:rPr>
          <w:b/>
          <w:sz w:val="48"/>
          <w:szCs w:val="48"/>
          <w:u w:val="single"/>
        </w:rPr>
      </w:pPr>
      <w:r w:rsidRPr="0027203C">
        <w:rPr>
          <w:b/>
          <w:sz w:val="48"/>
          <w:szCs w:val="48"/>
          <w:u w:val="single"/>
        </w:rPr>
        <w:t>AP</w:t>
      </w:r>
      <w:r>
        <w:rPr>
          <w:b/>
          <w:sz w:val="48"/>
          <w:szCs w:val="48"/>
          <w:u w:val="single"/>
        </w:rPr>
        <w:t>7</w:t>
      </w:r>
      <w:r w:rsidR="00C05110" w:rsidRPr="0027203C">
        <w:rPr>
          <w:b/>
          <w:sz w:val="48"/>
          <w:szCs w:val="48"/>
          <w:u w:val="single"/>
        </w:rPr>
        <w:t>.4</w:t>
      </w:r>
      <w:r w:rsidR="004A661E" w:rsidRPr="0027203C">
        <w:rPr>
          <w:b/>
          <w:sz w:val="48"/>
          <w:szCs w:val="48"/>
          <w:u w:val="single"/>
        </w:rPr>
        <w:t>.</w:t>
      </w:r>
      <w:r w:rsidR="00C05110" w:rsidRPr="0027203C">
        <w:rPr>
          <w:b/>
          <w:sz w:val="48"/>
          <w:szCs w:val="48"/>
          <w:u w:val="single"/>
        </w:rPr>
        <w:t xml:space="preserve"> APPENDIX</w:t>
      </w:r>
      <w:r w:rsidR="00F1083D" w:rsidRPr="0027203C">
        <w:rPr>
          <w:b/>
          <w:sz w:val="48"/>
          <w:szCs w:val="48"/>
          <w:u w:val="single"/>
        </w:rPr>
        <w:t xml:space="preserve"> </w:t>
      </w:r>
      <w:r>
        <w:rPr>
          <w:b/>
          <w:sz w:val="48"/>
          <w:szCs w:val="48"/>
          <w:u w:val="single"/>
        </w:rPr>
        <w:t>7</w:t>
      </w:r>
      <w:r w:rsidR="00F1083D" w:rsidRPr="0027203C">
        <w:rPr>
          <w:b/>
          <w:sz w:val="48"/>
          <w:szCs w:val="48"/>
          <w:u w:val="single"/>
        </w:rPr>
        <w:t>.4</w:t>
      </w:r>
    </w:p>
    <w:p w14:paraId="269769E6" w14:textId="77777777" w:rsidR="003F7E08" w:rsidRPr="00F926F1" w:rsidRDefault="003F7E08" w:rsidP="00B66BFE">
      <w:pPr>
        <w:spacing w:after="360"/>
        <w:jc w:val="center"/>
        <w:rPr>
          <w:b/>
          <w:bCs/>
          <w:sz w:val="28"/>
          <w:szCs w:val="28"/>
          <w:u w:val="single"/>
        </w:rPr>
      </w:pPr>
      <w:r w:rsidRPr="00C05110">
        <w:rPr>
          <w:b/>
          <w:bCs/>
          <w:sz w:val="36"/>
          <w:szCs w:val="36"/>
          <w:u w:val="single"/>
        </w:rPr>
        <w:t>MEDIA AND STATUS CODES</w:t>
      </w:r>
    </w:p>
    <w:p w14:paraId="5AFC3DBD" w14:textId="31171F65" w:rsidR="00285907" w:rsidRPr="00BD2E8C" w:rsidRDefault="00F27BCA" w:rsidP="00FE51CC">
      <w:pPr>
        <w:tabs>
          <w:tab w:val="left" w:pos="540"/>
          <w:tab w:val="left" w:pos="1080"/>
          <w:tab w:val="left" w:pos="1620"/>
        </w:tabs>
        <w:spacing w:after="240"/>
        <w:rPr>
          <w:rFonts w:cs="Arial"/>
          <w:szCs w:val="24"/>
        </w:rPr>
      </w:pPr>
      <w:r>
        <w:t>AP7</w:t>
      </w:r>
      <w:r w:rsidR="00F1083D">
        <w:t xml:space="preserve">.4.1.  </w:t>
      </w:r>
      <w:r w:rsidR="00285907" w:rsidRPr="00BD2E8C">
        <w:rPr>
          <w:rFonts w:cs="Arial"/>
          <w:szCs w:val="24"/>
        </w:rPr>
        <w:t>General.</w:t>
      </w:r>
      <w:r w:rsidR="00285907" w:rsidRPr="00285907">
        <w:rPr>
          <w:rFonts w:cs="Arial"/>
          <w:szCs w:val="24"/>
        </w:rPr>
        <w:t xml:space="preserve">  </w:t>
      </w:r>
      <w:r w:rsidR="00285907" w:rsidRPr="00BD2E8C">
        <w:rPr>
          <w:rFonts w:cs="Arial"/>
          <w:szCs w:val="24"/>
        </w:rPr>
        <w:t>This appendix</w:t>
      </w:r>
      <w:r w:rsidR="00285907" w:rsidRPr="00285907">
        <w:rPr>
          <w:rFonts w:cs="Arial"/>
          <w:szCs w:val="24"/>
        </w:rPr>
        <w:t xml:space="preserve"> </w:t>
      </w:r>
      <w:r w:rsidR="00285907" w:rsidRPr="00BD2E8C">
        <w:rPr>
          <w:rFonts w:cs="Arial"/>
          <w:szCs w:val="24"/>
        </w:rPr>
        <w:t>delineates business rules for</w:t>
      </w:r>
      <w:r w:rsidR="00285907" w:rsidRPr="00285907">
        <w:rPr>
          <w:rFonts w:cs="Arial"/>
          <w:szCs w:val="24"/>
        </w:rPr>
        <w:t xml:space="preserve"> furnishing status on </w:t>
      </w:r>
      <w:r w:rsidR="00705CB4">
        <w:rPr>
          <w:rFonts w:cs="Arial"/>
          <w:szCs w:val="24"/>
        </w:rPr>
        <w:t>DLMS</w:t>
      </w:r>
      <w:r w:rsidR="00705CB4" w:rsidRPr="00285907">
        <w:rPr>
          <w:rFonts w:cs="Arial"/>
          <w:szCs w:val="24"/>
        </w:rPr>
        <w:t xml:space="preserve"> </w:t>
      </w:r>
      <w:r w:rsidR="00285907" w:rsidRPr="00285907">
        <w:rPr>
          <w:rFonts w:cs="Arial"/>
          <w:szCs w:val="24"/>
        </w:rPr>
        <w:t>requisition</w:t>
      </w:r>
      <w:r w:rsidR="00285907" w:rsidRPr="00BD2E8C">
        <w:rPr>
          <w:rFonts w:cs="Arial"/>
          <w:szCs w:val="24"/>
        </w:rPr>
        <w:t>s</w:t>
      </w:r>
      <w:r w:rsidR="00285907" w:rsidRPr="00285907">
        <w:rPr>
          <w:rFonts w:cs="Arial"/>
          <w:szCs w:val="24"/>
        </w:rPr>
        <w:t xml:space="preserve">, </w:t>
      </w:r>
      <w:r w:rsidR="00285907" w:rsidRPr="00BD2E8C">
        <w:rPr>
          <w:rFonts w:cs="Arial"/>
          <w:szCs w:val="24"/>
        </w:rPr>
        <w:t>M</w:t>
      </w:r>
      <w:r w:rsidR="00285907" w:rsidRPr="00285907">
        <w:rPr>
          <w:rFonts w:cs="Arial"/>
          <w:szCs w:val="24"/>
        </w:rPr>
        <w:t xml:space="preserve">ateriel </w:t>
      </w:r>
      <w:r w:rsidR="00285907" w:rsidRPr="00BD2E8C">
        <w:rPr>
          <w:rFonts w:cs="Arial"/>
          <w:szCs w:val="24"/>
        </w:rPr>
        <w:t>R</w:t>
      </w:r>
      <w:r w:rsidR="00285907" w:rsidRPr="00285907">
        <w:rPr>
          <w:rFonts w:cs="Arial"/>
          <w:szCs w:val="24"/>
        </w:rPr>
        <w:t xml:space="preserve">eturns </w:t>
      </w:r>
      <w:r w:rsidR="00285907" w:rsidRPr="00BD2E8C">
        <w:rPr>
          <w:rFonts w:cs="Arial"/>
          <w:szCs w:val="24"/>
        </w:rPr>
        <w:t>P</w:t>
      </w:r>
      <w:r w:rsidR="00285907" w:rsidRPr="00285907">
        <w:rPr>
          <w:rFonts w:cs="Arial"/>
          <w:szCs w:val="24"/>
        </w:rPr>
        <w:t xml:space="preserve">rogram (MRP), and related transactions </w:t>
      </w:r>
      <w:r w:rsidR="00285907" w:rsidRPr="00BD2E8C">
        <w:rPr>
          <w:rFonts w:cs="Arial"/>
          <w:szCs w:val="24"/>
        </w:rPr>
        <w:t>based upon the Media and Status (M&amp;S) code</w:t>
      </w:r>
      <w:r w:rsidR="00285907" w:rsidRPr="00285907">
        <w:rPr>
          <w:rFonts w:cs="Arial"/>
          <w:szCs w:val="24"/>
        </w:rPr>
        <w:t xml:space="preserve">.  </w:t>
      </w:r>
      <w:r w:rsidR="00285907" w:rsidRPr="00BD2E8C">
        <w:rPr>
          <w:rFonts w:cs="Arial"/>
          <w:szCs w:val="24"/>
        </w:rPr>
        <w:t>The M&amp;S code is populate</w:t>
      </w:r>
      <w:bookmarkStart w:id="0" w:name="_GoBack"/>
      <w:bookmarkEnd w:id="0"/>
      <w:r w:rsidR="00285907" w:rsidRPr="00BD2E8C">
        <w:rPr>
          <w:rFonts w:cs="Arial"/>
          <w:szCs w:val="24"/>
        </w:rPr>
        <w:t>d on the initiating transaction to identify the desired status recipient(s) and the type of status to be provided.</w:t>
      </w:r>
      <w:r w:rsidR="00285907" w:rsidRPr="00285907">
        <w:rPr>
          <w:rFonts w:cs="Arial"/>
          <w:szCs w:val="24"/>
        </w:rPr>
        <w:t xml:space="preserve">  </w:t>
      </w:r>
      <w:r w:rsidR="00285907" w:rsidRPr="00BD2E8C">
        <w:rPr>
          <w:rFonts w:cs="Arial"/>
          <w:szCs w:val="24"/>
        </w:rPr>
        <w:t xml:space="preserve">Once assigned, the M&amp;S code is perpetuated to subsequent transactions.  </w:t>
      </w:r>
    </w:p>
    <w:p w14:paraId="19D95307" w14:textId="656CEA3A" w:rsidR="00285907" w:rsidRPr="00BD2E8C" w:rsidRDefault="00285907" w:rsidP="00FE51CC">
      <w:pPr>
        <w:tabs>
          <w:tab w:val="left" w:pos="540"/>
          <w:tab w:val="left" w:pos="1080"/>
          <w:tab w:val="left" w:pos="1620"/>
        </w:tabs>
        <w:spacing w:after="240"/>
        <w:rPr>
          <w:rFonts w:cs="Arial"/>
          <w:szCs w:val="24"/>
        </w:rPr>
      </w:pPr>
      <w:r w:rsidRPr="00285907">
        <w:rPr>
          <w:rFonts w:cs="Arial"/>
          <w:szCs w:val="24"/>
        </w:rPr>
        <w:tab/>
      </w:r>
      <w:r w:rsidR="00F27BCA">
        <w:rPr>
          <w:rFonts w:cs="Arial"/>
          <w:szCs w:val="24"/>
        </w:rPr>
        <w:t>AP7</w:t>
      </w:r>
      <w:r w:rsidRPr="00BD2E8C">
        <w:rPr>
          <w:rFonts w:cs="Arial"/>
          <w:szCs w:val="24"/>
        </w:rPr>
        <w:t>.4.1.1.</w:t>
      </w:r>
      <w:r w:rsidRPr="00285907">
        <w:rPr>
          <w:rFonts w:cs="Arial"/>
          <w:szCs w:val="24"/>
        </w:rPr>
        <w:t xml:space="preserve">  </w:t>
      </w:r>
      <w:r w:rsidRPr="00BD2E8C">
        <w:rPr>
          <w:rFonts w:cs="Arial"/>
          <w:szCs w:val="24"/>
        </w:rPr>
        <w:t>Based upon the status recipient profile, DLA Transaction Service’s Defense Automatic Addressing System (DAAS) will determine the appropriate communication process/format, e.g., Defense Information System Network (</w:t>
      </w:r>
      <w:r w:rsidRPr="00BD2E8C">
        <w:rPr>
          <w:rFonts w:cs="Arial"/>
          <w:bCs/>
          <w:szCs w:val="24"/>
        </w:rPr>
        <w:t>DISN</w:t>
      </w:r>
      <w:r w:rsidRPr="00BD2E8C">
        <w:rPr>
          <w:rFonts w:cs="Arial"/>
          <w:szCs w:val="24"/>
        </w:rPr>
        <w:t xml:space="preserve">) using DLMS (X12/XML) or the legacy 80 record position (rp) format, or </w:t>
      </w:r>
      <w:r w:rsidRPr="00BD2E8C">
        <w:rPr>
          <w:rFonts w:cs="Arial"/>
          <w:bCs/>
          <w:szCs w:val="24"/>
        </w:rPr>
        <w:t xml:space="preserve">DLA Transaction Services Automatic Message Exchange System (DAMES).  </w:t>
      </w:r>
      <w:r w:rsidRPr="00BD2E8C">
        <w:rPr>
          <w:rFonts w:cs="Arial"/>
          <w:szCs w:val="24"/>
        </w:rPr>
        <w:t>The original M&amp;S code set defined the media for communication of status, as well as the type of status and required recipients.  However, with the substitution of web portals for viewing status where transactional exchange is not available, document mailing has been terminated, thus eliminating the option for the user to specify a communication media by M&amp;S code.  Requisitioners without communication services supported by DAAS may use various web portals for supply and shipment status.  Web portals include:</w:t>
      </w:r>
    </w:p>
    <w:p w14:paraId="41530571" w14:textId="5D48B9F6" w:rsidR="00285907" w:rsidRPr="00BD2E8C" w:rsidRDefault="00285907" w:rsidP="00FE51CC">
      <w:pPr>
        <w:numPr>
          <w:ilvl w:val="0"/>
          <w:numId w:val="23"/>
        </w:numPr>
        <w:tabs>
          <w:tab w:val="left" w:pos="540"/>
          <w:tab w:val="left" w:pos="1080"/>
          <w:tab w:val="left" w:pos="1620"/>
        </w:tabs>
        <w:spacing w:after="240"/>
        <w:contextualSpacing/>
        <w:rPr>
          <w:rFonts w:cs="Arial"/>
          <w:szCs w:val="24"/>
        </w:rPr>
      </w:pPr>
      <w:r w:rsidRPr="00BD2E8C">
        <w:rPr>
          <w:rFonts w:cs="Arial"/>
          <w:szCs w:val="24"/>
        </w:rPr>
        <w:t xml:space="preserve">DoD EMALL - registration required; provides visibility of status for orders sourced by DLA, </w:t>
      </w:r>
    </w:p>
    <w:p w14:paraId="290487FC" w14:textId="4315EE38" w:rsidR="00285907" w:rsidRPr="00BD2E8C" w:rsidRDefault="00285907" w:rsidP="00FE51CC">
      <w:pPr>
        <w:numPr>
          <w:ilvl w:val="0"/>
          <w:numId w:val="23"/>
        </w:numPr>
        <w:tabs>
          <w:tab w:val="left" w:pos="540"/>
          <w:tab w:val="left" w:pos="1080"/>
          <w:tab w:val="left" w:pos="1620"/>
        </w:tabs>
        <w:spacing w:after="240"/>
        <w:contextualSpacing/>
        <w:rPr>
          <w:rFonts w:cs="Arial"/>
          <w:szCs w:val="24"/>
        </w:rPr>
      </w:pPr>
      <w:r w:rsidRPr="00BD2E8C">
        <w:rPr>
          <w:rFonts w:cs="Arial"/>
          <w:szCs w:val="24"/>
        </w:rPr>
        <w:t xml:space="preserve">GSA Advantage Requisition Status - no registration required; visibility of status on orders sourced by GSA or provided by any source via DAAS to civil agency customers, and </w:t>
      </w:r>
    </w:p>
    <w:p w14:paraId="2DE19069" w14:textId="49A3BA64" w:rsidR="00285907" w:rsidRPr="00BD2E8C" w:rsidRDefault="00285907" w:rsidP="00FE51CC">
      <w:pPr>
        <w:numPr>
          <w:ilvl w:val="0"/>
          <w:numId w:val="23"/>
        </w:numPr>
        <w:tabs>
          <w:tab w:val="left" w:pos="540"/>
          <w:tab w:val="left" w:pos="1080"/>
          <w:tab w:val="left" w:pos="1620"/>
        </w:tabs>
        <w:spacing w:after="240"/>
        <w:rPr>
          <w:rFonts w:cs="Arial"/>
          <w:szCs w:val="24"/>
        </w:rPr>
      </w:pPr>
      <w:r w:rsidRPr="00BD2E8C">
        <w:rPr>
          <w:rFonts w:cs="Arial"/>
          <w:bCs/>
          <w:szCs w:val="24"/>
        </w:rPr>
        <w:t>Web Visual Logistics Information and Processing System (WebVLIPS) - registration required; provides visibility of status processed via DAAS for all sources of supply</w:t>
      </w:r>
      <w:r w:rsidRPr="00BD2E8C">
        <w:rPr>
          <w:rFonts w:cs="Arial"/>
          <w:szCs w:val="24"/>
        </w:rPr>
        <w:t>.</w:t>
      </w:r>
    </w:p>
    <w:p w14:paraId="269769E7" w14:textId="49BE2A89" w:rsidR="003F7E08" w:rsidRPr="00BD2E8C" w:rsidRDefault="00285907" w:rsidP="00FE51CC">
      <w:pPr>
        <w:tabs>
          <w:tab w:val="left" w:pos="540"/>
          <w:tab w:val="left" w:pos="1080"/>
          <w:tab w:val="left" w:pos="1620"/>
        </w:tabs>
        <w:spacing w:after="240"/>
        <w:rPr>
          <w:rFonts w:cs="Arial"/>
          <w:sz w:val="22"/>
          <w:szCs w:val="22"/>
        </w:rPr>
      </w:pPr>
      <w:r w:rsidRPr="00BD2E8C">
        <w:rPr>
          <w:rFonts w:cs="Arial"/>
          <w:szCs w:val="24"/>
        </w:rPr>
        <w:tab/>
      </w:r>
      <w:r w:rsidR="00F27BCA">
        <w:rPr>
          <w:rFonts w:cs="Arial"/>
          <w:szCs w:val="24"/>
        </w:rPr>
        <w:t>AP7</w:t>
      </w:r>
      <w:r w:rsidRPr="00BD2E8C">
        <w:rPr>
          <w:rFonts w:cs="Arial"/>
          <w:szCs w:val="24"/>
        </w:rPr>
        <w:t xml:space="preserve">.4.1.2.  Selected requisition-related and MRP transactions that identify status recipients and are applicable to the procedures discussed in this appendix are identified in Table </w:t>
      </w:r>
      <w:r w:rsidR="00F27BCA">
        <w:rPr>
          <w:rFonts w:cs="Arial"/>
          <w:szCs w:val="24"/>
        </w:rPr>
        <w:t>AP7</w:t>
      </w:r>
      <w:r w:rsidRPr="00BD2E8C">
        <w:rPr>
          <w:rFonts w:cs="Arial"/>
          <w:szCs w:val="24"/>
        </w:rPr>
        <w:t xml:space="preserve">.4.T1. </w:t>
      </w:r>
      <w:r w:rsidRPr="00BD2E8C">
        <w:rPr>
          <w:rFonts w:cs="Arial"/>
          <w:sz w:val="22"/>
          <w:szCs w:val="22"/>
        </w:rPr>
        <w:t xml:space="preserve">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60"/>
        <w:gridCol w:w="4740"/>
        <w:gridCol w:w="1980"/>
      </w:tblGrid>
      <w:tr w:rsidR="00FE51CC" w:rsidRPr="009636A9" w14:paraId="2761C992" w14:textId="77777777" w:rsidTr="00227C40">
        <w:trPr>
          <w:cantSplit/>
          <w:trHeight w:val="403"/>
          <w:jc w:val="center"/>
        </w:trPr>
        <w:tc>
          <w:tcPr>
            <w:tcW w:w="10080" w:type="dxa"/>
            <w:gridSpan w:val="3"/>
          </w:tcPr>
          <w:p w14:paraId="35AF767F" w14:textId="1F72A21D" w:rsidR="00FE51CC" w:rsidRPr="00BD2E8C" w:rsidRDefault="00FE51CC" w:rsidP="00E44883">
            <w:pPr>
              <w:keepNext/>
              <w:spacing w:before="60" w:after="60"/>
              <w:jc w:val="center"/>
              <w:rPr>
                <w:bCs/>
                <w:szCs w:val="24"/>
                <w:u w:val="single"/>
              </w:rPr>
            </w:pPr>
            <w:r w:rsidRPr="00BD2E8C">
              <w:rPr>
                <w:bCs/>
                <w:szCs w:val="24"/>
                <w:u w:val="single"/>
              </w:rPr>
              <w:t xml:space="preserve">Table </w:t>
            </w:r>
            <w:r w:rsidR="00F27BCA">
              <w:rPr>
                <w:bCs/>
                <w:szCs w:val="24"/>
                <w:u w:val="single"/>
              </w:rPr>
              <w:t>AP7</w:t>
            </w:r>
            <w:r w:rsidRPr="00BD2E8C">
              <w:rPr>
                <w:bCs/>
                <w:szCs w:val="24"/>
                <w:u w:val="single"/>
              </w:rPr>
              <w:t>.4.T1.  Transactions Used for Identification of Status Recipients</w:t>
            </w:r>
          </w:p>
        </w:tc>
      </w:tr>
      <w:tr w:rsidR="00FE51CC" w:rsidRPr="009636A9" w14:paraId="12476584" w14:textId="77777777" w:rsidTr="00227C40">
        <w:trPr>
          <w:cantSplit/>
          <w:trHeight w:val="403"/>
          <w:jc w:val="center"/>
        </w:trPr>
        <w:tc>
          <w:tcPr>
            <w:tcW w:w="3360" w:type="dxa"/>
            <w:vAlign w:val="center"/>
          </w:tcPr>
          <w:p w14:paraId="6F38A761" w14:textId="586D64F6" w:rsidR="00FE51CC" w:rsidRPr="00FE51CC" w:rsidRDefault="00FE51CC" w:rsidP="00E44883">
            <w:pPr>
              <w:keepNext/>
              <w:spacing w:before="60" w:after="60"/>
              <w:jc w:val="center"/>
              <w:rPr>
                <w:rFonts w:cs="Arial"/>
                <w:szCs w:val="24"/>
              </w:rPr>
            </w:pPr>
            <w:r w:rsidRPr="00BD2E8C">
              <w:t>Transaction Name</w:t>
            </w:r>
          </w:p>
        </w:tc>
        <w:tc>
          <w:tcPr>
            <w:tcW w:w="4740" w:type="dxa"/>
            <w:vAlign w:val="center"/>
          </w:tcPr>
          <w:p w14:paraId="6B7A1CC3" w14:textId="0D1AE46E" w:rsidR="00FE51CC" w:rsidRPr="00FE51CC" w:rsidRDefault="00FE51CC" w:rsidP="00E44883">
            <w:pPr>
              <w:keepNext/>
              <w:spacing w:before="60" w:after="60"/>
              <w:jc w:val="center"/>
              <w:rPr>
                <w:rFonts w:cs="Arial"/>
                <w:szCs w:val="24"/>
              </w:rPr>
            </w:pPr>
            <w:r w:rsidRPr="00BD2E8C">
              <w:t>DLMS Transaction</w:t>
            </w:r>
          </w:p>
        </w:tc>
        <w:tc>
          <w:tcPr>
            <w:tcW w:w="1980" w:type="dxa"/>
            <w:vAlign w:val="center"/>
          </w:tcPr>
          <w:p w14:paraId="2D0ACC2B" w14:textId="2BE2BE74" w:rsidR="00FE51CC" w:rsidRPr="00FE51CC" w:rsidRDefault="00FE51CC" w:rsidP="00E44883">
            <w:pPr>
              <w:keepNext/>
              <w:spacing w:before="60" w:after="60"/>
              <w:jc w:val="center"/>
              <w:rPr>
                <w:rFonts w:cs="Arial"/>
                <w:szCs w:val="24"/>
              </w:rPr>
            </w:pPr>
            <w:r w:rsidRPr="00BD2E8C">
              <w:t>Document Identifier Code (DIC)</w:t>
            </w:r>
          </w:p>
        </w:tc>
      </w:tr>
      <w:tr w:rsidR="00FE51CC" w:rsidRPr="009636A9" w14:paraId="292ABEE9" w14:textId="77777777" w:rsidTr="00227C40">
        <w:trPr>
          <w:cantSplit/>
          <w:trHeight w:val="403"/>
          <w:jc w:val="center"/>
        </w:trPr>
        <w:tc>
          <w:tcPr>
            <w:tcW w:w="10080" w:type="dxa"/>
            <w:gridSpan w:val="3"/>
            <w:vAlign w:val="center"/>
          </w:tcPr>
          <w:p w14:paraId="2AD42F63" w14:textId="120D908C" w:rsidR="00FE51CC" w:rsidRPr="00BD2E8C" w:rsidRDefault="00FE51CC" w:rsidP="00E44883">
            <w:pPr>
              <w:keepNext/>
              <w:spacing w:before="60" w:after="60"/>
              <w:jc w:val="center"/>
            </w:pPr>
            <w:r w:rsidRPr="00BD2E8C">
              <w:t>Transaction Category:  Requisition-Related</w:t>
            </w:r>
          </w:p>
        </w:tc>
      </w:tr>
      <w:tr w:rsidR="00FE51CC" w:rsidRPr="009636A9" w14:paraId="61817DB1" w14:textId="77777777" w:rsidTr="00227C40">
        <w:trPr>
          <w:cantSplit/>
          <w:trHeight w:val="403"/>
          <w:jc w:val="center"/>
        </w:trPr>
        <w:tc>
          <w:tcPr>
            <w:tcW w:w="3360" w:type="dxa"/>
          </w:tcPr>
          <w:p w14:paraId="299EB627" w14:textId="63934766" w:rsidR="00FE51CC" w:rsidRPr="00D75EC5" w:rsidRDefault="00FE51CC" w:rsidP="00FE51CC">
            <w:pPr>
              <w:spacing w:before="60" w:after="60"/>
              <w:rPr>
                <w:szCs w:val="24"/>
              </w:rPr>
            </w:pPr>
            <w:r w:rsidRPr="00BD2E8C">
              <w:rPr>
                <w:szCs w:val="24"/>
              </w:rPr>
              <w:t>Requisition/</w:t>
            </w:r>
            <w:r w:rsidRPr="00BD2E8C">
              <w:rPr>
                <w:szCs w:val="24"/>
              </w:rPr>
              <w:br/>
              <w:t>Requisition Passing Order/ Requisition Referral Order</w:t>
            </w:r>
          </w:p>
        </w:tc>
        <w:tc>
          <w:tcPr>
            <w:tcW w:w="4740" w:type="dxa"/>
          </w:tcPr>
          <w:p w14:paraId="48BECC69" w14:textId="153B4FFC" w:rsidR="00FE51CC" w:rsidRPr="00D75EC5" w:rsidRDefault="00FE51CC" w:rsidP="00FE51CC">
            <w:pPr>
              <w:spacing w:before="60" w:after="60"/>
              <w:rPr>
                <w:szCs w:val="24"/>
              </w:rPr>
            </w:pPr>
            <w:r w:rsidRPr="00BD2E8C">
              <w:rPr>
                <w:szCs w:val="24"/>
              </w:rPr>
              <w:t>511</w:t>
            </w:r>
            <w:r w:rsidR="00E44883" w:rsidRPr="00BD2E8C">
              <w:rPr>
                <w:szCs w:val="24"/>
              </w:rPr>
              <w:t xml:space="preserve">R with Transaction Type Code AN </w:t>
            </w:r>
            <w:r w:rsidRPr="00BD2E8C">
              <w:rPr>
                <w:szCs w:val="24"/>
              </w:rPr>
              <w:t>511R with Transaction Type Code BM</w:t>
            </w:r>
            <w:r w:rsidR="00E44883" w:rsidRPr="00BD2E8C">
              <w:rPr>
                <w:szCs w:val="24"/>
              </w:rPr>
              <w:t xml:space="preserve"> </w:t>
            </w:r>
            <w:r w:rsidRPr="00BD2E8C">
              <w:rPr>
                <w:szCs w:val="24"/>
              </w:rPr>
              <w:t>511R with Transaction Type Code BN</w:t>
            </w:r>
          </w:p>
        </w:tc>
        <w:tc>
          <w:tcPr>
            <w:tcW w:w="1980" w:type="dxa"/>
          </w:tcPr>
          <w:p w14:paraId="5AB4B49B" w14:textId="3AE7DAF1" w:rsidR="00FE51CC" w:rsidRPr="00BD2E8C" w:rsidRDefault="00FE51CC" w:rsidP="00FE51CC">
            <w:pPr>
              <w:spacing w:before="60" w:after="60"/>
              <w:jc w:val="center"/>
              <w:rPr>
                <w:szCs w:val="24"/>
              </w:rPr>
            </w:pPr>
            <w:r w:rsidRPr="00BD2E8C">
              <w:rPr>
                <w:szCs w:val="24"/>
              </w:rPr>
              <w:t>A0_</w:t>
            </w:r>
            <w:r w:rsidRPr="00BD2E8C">
              <w:rPr>
                <w:szCs w:val="24"/>
              </w:rPr>
              <w:br/>
              <w:t>A3_</w:t>
            </w:r>
            <w:r w:rsidRPr="00BD2E8C">
              <w:rPr>
                <w:szCs w:val="24"/>
              </w:rPr>
              <w:br/>
              <w:t>A4_</w:t>
            </w:r>
          </w:p>
        </w:tc>
      </w:tr>
      <w:tr w:rsidR="00E44883" w:rsidRPr="009636A9" w14:paraId="4BFC9E38" w14:textId="77777777" w:rsidTr="00227C40">
        <w:trPr>
          <w:cantSplit/>
          <w:trHeight w:val="403"/>
          <w:jc w:val="center"/>
        </w:trPr>
        <w:tc>
          <w:tcPr>
            <w:tcW w:w="3360" w:type="dxa"/>
          </w:tcPr>
          <w:p w14:paraId="231F95BE" w14:textId="062E5F08" w:rsidR="00E44883" w:rsidRPr="00D75EC5" w:rsidRDefault="00E44883" w:rsidP="00FE51CC">
            <w:pPr>
              <w:spacing w:before="60" w:after="60"/>
              <w:rPr>
                <w:szCs w:val="24"/>
              </w:rPr>
            </w:pPr>
            <w:r w:rsidRPr="00BD2E8C">
              <w:lastRenderedPageBreak/>
              <w:t>Requisition Modification</w:t>
            </w:r>
          </w:p>
        </w:tc>
        <w:tc>
          <w:tcPr>
            <w:tcW w:w="4740" w:type="dxa"/>
          </w:tcPr>
          <w:p w14:paraId="0DC0505A" w14:textId="794A5594" w:rsidR="00E44883" w:rsidRPr="00D75EC5" w:rsidRDefault="00E44883" w:rsidP="00FE51CC">
            <w:pPr>
              <w:spacing w:before="60" w:after="60"/>
              <w:rPr>
                <w:szCs w:val="24"/>
              </w:rPr>
            </w:pPr>
            <w:r w:rsidRPr="00BD2E8C">
              <w:t xml:space="preserve">511M </w:t>
            </w:r>
          </w:p>
        </w:tc>
        <w:tc>
          <w:tcPr>
            <w:tcW w:w="1980" w:type="dxa"/>
          </w:tcPr>
          <w:p w14:paraId="25D73442" w14:textId="368014F2" w:rsidR="00E44883" w:rsidRPr="00BD2E8C" w:rsidRDefault="00E44883" w:rsidP="00E44883">
            <w:pPr>
              <w:tabs>
                <w:tab w:val="left" w:pos="495"/>
                <w:tab w:val="center" w:pos="870"/>
              </w:tabs>
              <w:spacing w:before="60" w:after="60"/>
              <w:jc w:val="center"/>
              <w:rPr>
                <w:szCs w:val="24"/>
              </w:rPr>
            </w:pPr>
            <w:r w:rsidRPr="00BD2E8C">
              <w:t>AM_</w:t>
            </w:r>
          </w:p>
        </w:tc>
      </w:tr>
      <w:tr w:rsidR="00E44883" w:rsidRPr="009636A9" w14:paraId="5A28863D" w14:textId="77777777" w:rsidTr="00227C40">
        <w:trPr>
          <w:cantSplit/>
          <w:trHeight w:val="403"/>
          <w:jc w:val="center"/>
        </w:trPr>
        <w:tc>
          <w:tcPr>
            <w:tcW w:w="3360" w:type="dxa"/>
          </w:tcPr>
          <w:p w14:paraId="4B271F9D" w14:textId="08ABC28D" w:rsidR="00E44883" w:rsidRPr="00D75EC5" w:rsidRDefault="00E44883" w:rsidP="00FE51CC">
            <w:pPr>
              <w:spacing w:before="60" w:after="60"/>
              <w:rPr>
                <w:szCs w:val="24"/>
              </w:rPr>
            </w:pPr>
            <w:r w:rsidRPr="00BD2E8C">
              <w:t>Requisition Follow-Up</w:t>
            </w:r>
          </w:p>
        </w:tc>
        <w:tc>
          <w:tcPr>
            <w:tcW w:w="4740" w:type="dxa"/>
          </w:tcPr>
          <w:p w14:paraId="36F4B3FC" w14:textId="56949F7C" w:rsidR="00E44883" w:rsidRPr="00D75EC5" w:rsidRDefault="00E44883" w:rsidP="00FE51CC">
            <w:pPr>
              <w:spacing w:before="60" w:after="60"/>
              <w:rPr>
                <w:szCs w:val="24"/>
              </w:rPr>
            </w:pPr>
            <w:r w:rsidRPr="00BD2E8C">
              <w:t>869F</w:t>
            </w:r>
          </w:p>
        </w:tc>
        <w:tc>
          <w:tcPr>
            <w:tcW w:w="1980" w:type="dxa"/>
          </w:tcPr>
          <w:p w14:paraId="64A99E3D" w14:textId="74CB0597" w:rsidR="00E44883" w:rsidRPr="00BD2E8C" w:rsidRDefault="00E44883" w:rsidP="00FE51CC">
            <w:pPr>
              <w:spacing w:before="60" w:after="60"/>
              <w:jc w:val="center"/>
              <w:rPr>
                <w:szCs w:val="24"/>
              </w:rPr>
            </w:pPr>
            <w:r w:rsidRPr="00BD2E8C">
              <w:t>AT_</w:t>
            </w:r>
          </w:p>
        </w:tc>
      </w:tr>
      <w:tr w:rsidR="00E44883" w:rsidRPr="009636A9" w14:paraId="3D71B4C7" w14:textId="77777777" w:rsidTr="00227C40">
        <w:trPr>
          <w:cantSplit/>
          <w:trHeight w:val="403"/>
          <w:jc w:val="center"/>
        </w:trPr>
        <w:tc>
          <w:tcPr>
            <w:tcW w:w="3360" w:type="dxa"/>
          </w:tcPr>
          <w:p w14:paraId="132C3B45" w14:textId="18EC68B3" w:rsidR="00E44883" w:rsidRPr="00D75EC5" w:rsidRDefault="00E44883" w:rsidP="00FE51CC">
            <w:pPr>
              <w:spacing w:before="60" w:after="60"/>
              <w:rPr>
                <w:szCs w:val="24"/>
              </w:rPr>
            </w:pPr>
            <w:r w:rsidRPr="00BD2E8C">
              <w:t>Materiel Obligation Validation (MOV) Requisition Reinstatement Request</w:t>
            </w:r>
          </w:p>
        </w:tc>
        <w:tc>
          <w:tcPr>
            <w:tcW w:w="4740" w:type="dxa"/>
          </w:tcPr>
          <w:p w14:paraId="22EA7905" w14:textId="0AD9449D" w:rsidR="00E44883" w:rsidRPr="00D75EC5" w:rsidRDefault="00E44883" w:rsidP="00FE51CC">
            <w:pPr>
              <w:spacing w:before="60" w:after="60"/>
              <w:rPr>
                <w:szCs w:val="24"/>
              </w:rPr>
            </w:pPr>
            <w:r w:rsidRPr="00BD2E8C">
              <w:t xml:space="preserve">517M with Transaction Type Code AW  </w:t>
            </w:r>
          </w:p>
        </w:tc>
        <w:tc>
          <w:tcPr>
            <w:tcW w:w="1980" w:type="dxa"/>
          </w:tcPr>
          <w:p w14:paraId="18317C13" w14:textId="005981A3" w:rsidR="00E44883" w:rsidRPr="00BD2E8C" w:rsidRDefault="00E44883" w:rsidP="00FE51CC">
            <w:pPr>
              <w:spacing w:before="60" w:after="60"/>
              <w:jc w:val="center"/>
              <w:rPr>
                <w:szCs w:val="24"/>
              </w:rPr>
            </w:pPr>
            <w:r w:rsidRPr="00BD2E8C">
              <w:t>APR</w:t>
            </w:r>
          </w:p>
        </w:tc>
      </w:tr>
      <w:tr w:rsidR="00FE51CC" w:rsidRPr="009636A9" w14:paraId="78215F17" w14:textId="77777777" w:rsidTr="00227C40">
        <w:trPr>
          <w:cantSplit/>
          <w:trHeight w:val="403"/>
          <w:jc w:val="center"/>
        </w:trPr>
        <w:tc>
          <w:tcPr>
            <w:tcW w:w="10080" w:type="dxa"/>
            <w:gridSpan w:val="3"/>
          </w:tcPr>
          <w:p w14:paraId="5267EDFA" w14:textId="4A9F1AF8" w:rsidR="00FE51CC" w:rsidRPr="009636A9" w:rsidRDefault="00E44883" w:rsidP="000963B1">
            <w:pPr>
              <w:spacing w:before="120" w:after="120"/>
              <w:jc w:val="center"/>
              <w:rPr>
                <w:rFonts w:cs="Arial"/>
                <w:szCs w:val="24"/>
              </w:rPr>
            </w:pPr>
            <w:r w:rsidRPr="00BD2E8C">
              <w:rPr>
                <w:bCs/>
                <w:szCs w:val="24"/>
              </w:rPr>
              <w:t>Transaction Category:  Materiel Returns</w:t>
            </w:r>
          </w:p>
        </w:tc>
      </w:tr>
      <w:tr w:rsidR="00E44883" w:rsidRPr="00E44883" w14:paraId="18629CAA" w14:textId="77777777" w:rsidTr="00227C40">
        <w:trPr>
          <w:cantSplit/>
          <w:trHeight w:val="403"/>
          <w:jc w:val="center"/>
        </w:trPr>
        <w:tc>
          <w:tcPr>
            <w:tcW w:w="3360" w:type="dxa"/>
          </w:tcPr>
          <w:p w14:paraId="14602FED" w14:textId="3C37A0FB" w:rsidR="00E44883" w:rsidRPr="00D75EC5" w:rsidRDefault="00E44883" w:rsidP="000963B1">
            <w:pPr>
              <w:spacing w:before="60" w:after="60"/>
              <w:rPr>
                <w:szCs w:val="24"/>
              </w:rPr>
            </w:pPr>
            <w:r w:rsidRPr="00BD2E8C">
              <w:t>Customer Asset Report</w:t>
            </w:r>
          </w:p>
        </w:tc>
        <w:tc>
          <w:tcPr>
            <w:tcW w:w="4740" w:type="dxa"/>
          </w:tcPr>
          <w:p w14:paraId="491B42C8" w14:textId="2F335CE2" w:rsidR="00E44883" w:rsidRPr="00D75EC5" w:rsidRDefault="00E44883" w:rsidP="000963B1">
            <w:pPr>
              <w:spacing w:before="60" w:after="60"/>
              <w:rPr>
                <w:szCs w:val="24"/>
              </w:rPr>
            </w:pPr>
            <w:r w:rsidRPr="00BD2E8C">
              <w:t xml:space="preserve">180M with Transaction Type Code FT </w:t>
            </w:r>
          </w:p>
        </w:tc>
        <w:tc>
          <w:tcPr>
            <w:tcW w:w="1980" w:type="dxa"/>
          </w:tcPr>
          <w:p w14:paraId="35DDC886" w14:textId="08000CD2" w:rsidR="00E44883" w:rsidRPr="00BD2E8C" w:rsidRDefault="00E44883" w:rsidP="000963B1">
            <w:pPr>
              <w:spacing w:before="60" w:after="60"/>
              <w:jc w:val="center"/>
              <w:rPr>
                <w:szCs w:val="24"/>
              </w:rPr>
            </w:pPr>
            <w:r w:rsidRPr="00BD2E8C">
              <w:t>FTE/FTG</w:t>
            </w:r>
          </w:p>
        </w:tc>
      </w:tr>
      <w:tr w:rsidR="00E44883" w:rsidRPr="00E44883" w14:paraId="49A2E7C0" w14:textId="77777777" w:rsidTr="00227C40">
        <w:trPr>
          <w:cantSplit/>
          <w:trHeight w:val="403"/>
          <w:jc w:val="center"/>
        </w:trPr>
        <w:tc>
          <w:tcPr>
            <w:tcW w:w="3360" w:type="dxa"/>
          </w:tcPr>
          <w:p w14:paraId="0603F835" w14:textId="04F899AD" w:rsidR="00E44883" w:rsidRPr="00D75EC5" w:rsidRDefault="00E44883" w:rsidP="000963B1">
            <w:pPr>
              <w:spacing w:before="60" w:after="60"/>
              <w:rPr>
                <w:szCs w:val="24"/>
              </w:rPr>
            </w:pPr>
            <w:r w:rsidRPr="00BD2E8C">
              <w:t xml:space="preserve">Automatic Return </w:t>
            </w:r>
          </w:p>
        </w:tc>
        <w:tc>
          <w:tcPr>
            <w:tcW w:w="4740" w:type="dxa"/>
          </w:tcPr>
          <w:p w14:paraId="6155C858" w14:textId="502C3CF7" w:rsidR="00E44883" w:rsidRPr="00D75EC5" w:rsidRDefault="00E44883" w:rsidP="000963B1">
            <w:pPr>
              <w:spacing w:before="60" w:after="60"/>
              <w:rPr>
                <w:szCs w:val="24"/>
              </w:rPr>
            </w:pPr>
            <w:r w:rsidRPr="00BD2E8C">
              <w:t xml:space="preserve">180M with Transaction Type Code FT and Action Code RF </w:t>
            </w:r>
          </w:p>
        </w:tc>
        <w:tc>
          <w:tcPr>
            <w:tcW w:w="1980" w:type="dxa"/>
          </w:tcPr>
          <w:p w14:paraId="32F3AF90" w14:textId="4C2BB5A2" w:rsidR="00E44883" w:rsidRPr="00BD2E8C" w:rsidRDefault="00E44883" w:rsidP="000963B1">
            <w:pPr>
              <w:spacing w:before="60" w:after="60"/>
              <w:jc w:val="center"/>
              <w:rPr>
                <w:szCs w:val="24"/>
              </w:rPr>
            </w:pPr>
            <w:r w:rsidRPr="00BD2E8C">
              <w:t>FTA</w:t>
            </w:r>
          </w:p>
        </w:tc>
      </w:tr>
    </w:tbl>
    <w:p w14:paraId="08972773" w14:textId="2984E88C" w:rsidR="00E44883" w:rsidRPr="00BD2E8C" w:rsidRDefault="00E44883" w:rsidP="00465122">
      <w:pPr>
        <w:tabs>
          <w:tab w:val="left" w:pos="540"/>
          <w:tab w:val="left" w:pos="1080"/>
          <w:tab w:val="left" w:pos="1620"/>
        </w:tabs>
        <w:spacing w:before="240" w:after="240"/>
      </w:pPr>
      <w:r w:rsidRPr="00BD2E8C">
        <w:tab/>
      </w:r>
      <w:r w:rsidR="00F27BCA">
        <w:t>AP7</w:t>
      </w:r>
      <w:r w:rsidRPr="00BD2E8C">
        <w:t xml:space="preserve">.4.1.3. Status transactions include supply and shipment status, as well as materiel obligation validation (MOV) and responses to MRP transactions.  Selected transactions applicable to procedures discussed in this appendix are identified in Table </w:t>
      </w:r>
      <w:r w:rsidR="00F27BCA">
        <w:t>AP7</w:t>
      </w:r>
      <w:r w:rsidRPr="00BD2E8C">
        <w:t xml:space="preserve">.4.T2.  </w:t>
      </w:r>
    </w:p>
    <w:tbl>
      <w:tblPr>
        <w:tblStyle w:val="TableGrid1"/>
        <w:tblW w:w="0" w:type="auto"/>
        <w:tblCellMar>
          <w:top w:w="115" w:type="dxa"/>
          <w:left w:w="115" w:type="dxa"/>
          <w:bottom w:w="72" w:type="dxa"/>
          <w:right w:w="115" w:type="dxa"/>
        </w:tblCellMar>
        <w:tblLook w:val="04A0" w:firstRow="1" w:lastRow="0" w:firstColumn="1" w:lastColumn="0" w:noHBand="0" w:noVBand="1"/>
      </w:tblPr>
      <w:tblGrid>
        <w:gridCol w:w="3265"/>
        <w:gridCol w:w="4140"/>
        <w:gridCol w:w="2171"/>
      </w:tblGrid>
      <w:tr w:rsidR="00E44883" w:rsidRPr="00E44883" w14:paraId="2618A3EF" w14:textId="77777777" w:rsidTr="00227C40">
        <w:trPr>
          <w:trHeight w:val="257"/>
          <w:tblHeader/>
        </w:trPr>
        <w:tc>
          <w:tcPr>
            <w:tcW w:w="9576" w:type="dxa"/>
            <w:gridSpan w:val="3"/>
            <w:vAlign w:val="center"/>
          </w:tcPr>
          <w:p w14:paraId="29EA8C64" w14:textId="6ADA0997" w:rsidR="00E44883" w:rsidRPr="00BD2E8C" w:rsidRDefault="00E44883" w:rsidP="00E44883">
            <w:pPr>
              <w:tabs>
                <w:tab w:val="left" w:pos="540"/>
                <w:tab w:val="left" w:pos="1080"/>
                <w:tab w:val="left" w:pos="1620"/>
              </w:tabs>
              <w:jc w:val="center"/>
              <w:rPr>
                <w:rFonts w:eastAsia="Calibri"/>
                <w:u w:val="single"/>
              </w:rPr>
            </w:pPr>
            <w:r w:rsidRPr="00BD2E8C">
              <w:rPr>
                <w:rFonts w:eastAsia="Calibri"/>
                <w:u w:val="single"/>
              </w:rPr>
              <w:t xml:space="preserve">Table </w:t>
            </w:r>
            <w:r w:rsidR="00F27BCA">
              <w:rPr>
                <w:rFonts w:eastAsia="Calibri"/>
                <w:u w:val="single"/>
              </w:rPr>
              <w:t>AP7</w:t>
            </w:r>
            <w:r w:rsidRPr="00BD2E8C">
              <w:rPr>
                <w:rFonts w:eastAsia="Calibri"/>
                <w:u w:val="single"/>
              </w:rPr>
              <w:t>.4.T2.  Status Transactions</w:t>
            </w:r>
          </w:p>
        </w:tc>
      </w:tr>
      <w:tr w:rsidR="00E44883" w:rsidRPr="00E44883" w14:paraId="4E89D5A1" w14:textId="77777777" w:rsidTr="00227C40">
        <w:trPr>
          <w:trHeight w:val="257"/>
          <w:tblHeader/>
        </w:trPr>
        <w:tc>
          <w:tcPr>
            <w:tcW w:w="3265" w:type="dxa"/>
            <w:vAlign w:val="center"/>
            <w:hideMark/>
          </w:tcPr>
          <w:p w14:paraId="52EE9B62"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t>Transaction Name</w:t>
            </w:r>
          </w:p>
        </w:tc>
        <w:tc>
          <w:tcPr>
            <w:tcW w:w="4140" w:type="dxa"/>
            <w:vAlign w:val="center"/>
            <w:hideMark/>
          </w:tcPr>
          <w:p w14:paraId="26CBDE96" w14:textId="5CA05DAE" w:rsidR="00E44883" w:rsidRPr="00D75EC5" w:rsidRDefault="00E44883" w:rsidP="00E44883">
            <w:pPr>
              <w:tabs>
                <w:tab w:val="left" w:pos="540"/>
                <w:tab w:val="left" w:pos="1080"/>
                <w:tab w:val="left" w:pos="1620"/>
              </w:tabs>
              <w:jc w:val="center"/>
              <w:rPr>
                <w:rFonts w:eastAsia="Calibri"/>
              </w:rPr>
            </w:pPr>
            <w:r w:rsidRPr="00BD2E8C">
              <w:rPr>
                <w:rFonts w:eastAsia="Calibri"/>
              </w:rPr>
              <w:t xml:space="preserve">DLMS Transaction </w:t>
            </w:r>
          </w:p>
        </w:tc>
        <w:tc>
          <w:tcPr>
            <w:tcW w:w="2171" w:type="dxa"/>
            <w:vAlign w:val="center"/>
            <w:hideMark/>
          </w:tcPr>
          <w:p w14:paraId="7626EE1D"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DIC</w:t>
            </w:r>
          </w:p>
        </w:tc>
      </w:tr>
      <w:tr w:rsidR="00E44883" w:rsidRPr="00E44883" w14:paraId="043DD827" w14:textId="77777777" w:rsidTr="00227C40">
        <w:trPr>
          <w:cantSplit/>
          <w:trHeight w:val="173"/>
        </w:trPr>
        <w:tc>
          <w:tcPr>
            <w:tcW w:w="3265" w:type="dxa"/>
            <w:vMerge w:val="restart"/>
            <w:hideMark/>
          </w:tcPr>
          <w:p w14:paraId="18D56E83" w14:textId="77777777" w:rsidR="00E44883" w:rsidRPr="00D75EC5" w:rsidRDefault="00E44883" w:rsidP="00E44883">
            <w:pPr>
              <w:tabs>
                <w:tab w:val="left" w:pos="540"/>
                <w:tab w:val="left" w:pos="1080"/>
                <w:tab w:val="left" w:pos="1620"/>
              </w:tabs>
              <w:rPr>
                <w:rFonts w:eastAsia="Calibri"/>
              </w:rPr>
            </w:pPr>
            <w:r w:rsidRPr="00BD2E8C">
              <w:rPr>
                <w:rFonts w:eastAsia="Calibri"/>
              </w:rPr>
              <w:t>Supply Status</w:t>
            </w:r>
          </w:p>
        </w:tc>
        <w:tc>
          <w:tcPr>
            <w:tcW w:w="4140" w:type="dxa"/>
            <w:hideMark/>
          </w:tcPr>
          <w:p w14:paraId="4EFD5614" w14:textId="77777777" w:rsidR="00E44883" w:rsidRPr="00D75EC5" w:rsidRDefault="00E44883" w:rsidP="00E44883">
            <w:pPr>
              <w:tabs>
                <w:tab w:val="left" w:pos="540"/>
                <w:tab w:val="left" w:pos="1080"/>
                <w:tab w:val="left" w:pos="1620"/>
              </w:tabs>
              <w:rPr>
                <w:rFonts w:eastAsia="Calibri"/>
              </w:rPr>
            </w:pPr>
            <w:r w:rsidRPr="00BD2E8C">
              <w:rPr>
                <w:rFonts w:eastAsia="Calibri"/>
              </w:rPr>
              <w:t>870S</w:t>
            </w:r>
          </w:p>
        </w:tc>
        <w:tc>
          <w:tcPr>
            <w:tcW w:w="2171" w:type="dxa"/>
            <w:hideMark/>
          </w:tcPr>
          <w:p w14:paraId="67DC29D6"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AE_, AB_</w:t>
            </w:r>
          </w:p>
        </w:tc>
      </w:tr>
      <w:tr w:rsidR="00E44883" w:rsidRPr="00E44883" w14:paraId="684C839C" w14:textId="77777777" w:rsidTr="00227C40">
        <w:trPr>
          <w:cantSplit/>
          <w:trHeight w:val="20"/>
        </w:trPr>
        <w:tc>
          <w:tcPr>
            <w:tcW w:w="0" w:type="auto"/>
            <w:vMerge/>
            <w:vAlign w:val="center"/>
            <w:hideMark/>
          </w:tcPr>
          <w:p w14:paraId="539A08BD" w14:textId="77777777" w:rsidR="00E44883" w:rsidRPr="00D75EC5" w:rsidRDefault="00E44883" w:rsidP="00E44883">
            <w:pPr>
              <w:rPr>
                <w:rFonts w:ascii="Times New Roman" w:hAnsi="Times New Roman"/>
              </w:rPr>
            </w:pPr>
          </w:p>
        </w:tc>
        <w:tc>
          <w:tcPr>
            <w:tcW w:w="4140" w:type="dxa"/>
            <w:hideMark/>
          </w:tcPr>
          <w:p w14:paraId="574E19D1" w14:textId="77777777" w:rsidR="00E44883" w:rsidRPr="00D75EC5" w:rsidRDefault="00E44883" w:rsidP="00E44883">
            <w:pPr>
              <w:tabs>
                <w:tab w:val="left" w:pos="540"/>
                <w:tab w:val="left" w:pos="1080"/>
                <w:tab w:val="left" w:pos="1620"/>
              </w:tabs>
              <w:rPr>
                <w:rFonts w:eastAsia="Calibri"/>
              </w:rPr>
            </w:pPr>
            <w:r w:rsidRPr="00BD2E8C">
              <w:rPr>
                <w:rFonts w:eastAsia="Calibri"/>
              </w:rPr>
              <w:t>Supply status provided to DAAS</w:t>
            </w:r>
          </w:p>
        </w:tc>
        <w:tc>
          <w:tcPr>
            <w:tcW w:w="2171" w:type="dxa"/>
            <w:hideMark/>
          </w:tcPr>
          <w:p w14:paraId="6A415AFD"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AE8, AB8</w:t>
            </w:r>
          </w:p>
        </w:tc>
      </w:tr>
      <w:tr w:rsidR="00E44883" w:rsidRPr="00E44883" w14:paraId="6C5C53C9" w14:textId="77777777" w:rsidTr="00227C40">
        <w:trPr>
          <w:cantSplit/>
          <w:trHeight w:val="767"/>
        </w:trPr>
        <w:tc>
          <w:tcPr>
            <w:tcW w:w="0" w:type="auto"/>
            <w:vMerge/>
            <w:vAlign w:val="center"/>
            <w:hideMark/>
          </w:tcPr>
          <w:p w14:paraId="5A61E07F" w14:textId="77777777" w:rsidR="00E44883" w:rsidRPr="00D75EC5" w:rsidRDefault="00E44883" w:rsidP="00E44883">
            <w:pPr>
              <w:rPr>
                <w:rFonts w:ascii="Times New Roman" w:hAnsi="Times New Roman"/>
              </w:rPr>
            </w:pPr>
          </w:p>
        </w:tc>
        <w:tc>
          <w:tcPr>
            <w:tcW w:w="4140" w:type="dxa"/>
            <w:hideMark/>
          </w:tcPr>
          <w:p w14:paraId="77EE4665" w14:textId="77777777" w:rsidR="00E44883" w:rsidRPr="00D75EC5" w:rsidRDefault="00E44883" w:rsidP="00E44883">
            <w:pPr>
              <w:tabs>
                <w:tab w:val="left" w:pos="540"/>
                <w:tab w:val="left" w:pos="1080"/>
                <w:tab w:val="left" w:pos="1620"/>
              </w:tabs>
              <w:rPr>
                <w:rFonts w:eastAsia="Calibri"/>
              </w:rPr>
            </w:pPr>
            <w:r w:rsidRPr="00BD2E8C">
              <w:rPr>
                <w:rFonts w:eastAsia="Calibri"/>
              </w:rPr>
              <w:t>Supply status to status recipients</w:t>
            </w:r>
          </w:p>
        </w:tc>
        <w:tc>
          <w:tcPr>
            <w:tcW w:w="2171" w:type="dxa"/>
            <w:hideMark/>
          </w:tcPr>
          <w:p w14:paraId="0B0F7DDE"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 xml:space="preserve">AE1, AE2, AE3, AE9, AB1, AB2, AB3  </w:t>
            </w:r>
          </w:p>
        </w:tc>
      </w:tr>
      <w:tr w:rsidR="00E44883" w:rsidRPr="00E44883" w14:paraId="5AFDBA24" w14:textId="77777777" w:rsidTr="00227C40">
        <w:trPr>
          <w:trHeight w:val="128"/>
        </w:trPr>
        <w:tc>
          <w:tcPr>
            <w:tcW w:w="3265" w:type="dxa"/>
            <w:vMerge w:val="restart"/>
            <w:hideMark/>
          </w:tcPr>
          <w:p w14:paraId="2D073151" w14:textId="77777777" w:rsidR="00E44883" w:rsidRPr="00D75EC5" w:rsidRDefault="00E44883" w:rsidP="00657DD0">
            <w:pPr>
              <w:keepNext/>
              <w:keepLines/>
              <w:widowControl/>
              <w:tabs>
                <w:tab w:val="left" w:pos="540"/>
                <w:tab w:val="left" w:pos="1080"/>
                <w:tab w:val="left" w:pos="1620"/>
              </w:tabs>
              <w:rPr>
                <w:rFonts w:eastAsia="Calibri"/>
              </w:rPr>
            </w:pPr>
            <w:r w:rsidRPr="00BD2E8C">
              <w:rPr>
                <w:rFonts w:eastAsia="Calibri"/>
              </w:rPr>
              <w:t>Shipment Status</w:t>
            </w:r>
          </w:p>
        </w:tc>
        <w:tc>
          <w:tcPr>
            <w:tcW w:w="4140" w:type="dxa"/>
            <w:hideMark/>
          </w:tcPr>
          <w:p w14:paraId="07FBCE77" w14:textId="77777777" w:rsidR="00E44883" w:rsidRPr="00D75EC5" w:rsidRDefault="00E44883" w:rsidP="00657DD0">
            <w:pPr>
              <w:keepNext/>
              <w:keepLines/>
              <w:widowControl/>
              <w:tabs>
                <w:tab w:val="left" w:pos="540"/>
                <w:tab w:val="left" w:pos="1080"/>
                <w:tab w:val="left" w:pos="1620"/>
              </w:tabs>
              <w:rPr>
                <w:rFonts w:eastAsia="Calibri"/>
              </w:rPr>
            </w:pPr>
            <w:r w:rsidRPr="00BD2E8C">
              <w:rPr>
                <w:rFonts w:eastAsia="Calibri"/>
              </w:rPr>
              <w:t>856S</w:t>
            </w:r>
          </w:p>
        </w:tc>
        <w:tc>
          <w:tcPr>
            <w:tcW w:w="2171" w:type="dxa"/>
            <w:hideMark/>
          </w:tcPr>
          <w:p w14:paraId="622C5D22" w14:textId="77777777" w:rsidR="00E44883" w:rsidRPr="00BD2E8C" w:rsidRDefault="00E44883" w:rsidP="00657DD0">
            <w:pPr>
              <w:keepNext/>
              <w:keepLines/>
              <w:widowControl/>
              <w:tabs>
                <w:tab w:val="left" w:pos="540"/>
                <w:tab w:val="left" w:pos="1080"/>
                <w:tab w:val="left" w:pos="1620"/>
              </w:tabs>
              <w:jc w:val="center"/>
              <w:rPr>
                <w:rFonts w:eastAsia="Calibri"/>
              </w:rPr>
            </w:pPr>
            <w:r w:rsidRPr="00BD2E8C">
              <w:rPr>
                <w:rFonts w:eastAsia="Calibri"/>
              </w:rPr>
              <w:t>AS_, AU_</w:t>
            </w:r>
          </w:p>
        </w:tc>
      </w:tr>
      <w:tr w:rsidR="00E44883" w:rsidRPr="00E44883" w14:paraId="399F1189" w14:textId="77777777" w:rsidTr="00227C40">
        <w:trPr>
          <w:trHeight w:val="290"/>
        </w:trPr>
        <w:tc>
          <w:tcPr>
            <w:tcW w:w="0" w:type="auto"/>
            <w:vMerge/>
            <w:vAlign w:val="center"/>
            <w:hideMark/>
          </w:tcPr>
          <w:p w14:paraId="52DADA48" w14:textId="77777777" w:rsidR="00E44883" w:rsidRPr="00D75EC5" w:rsidRDefault="00E44883" w:rsidP="00657DD0">
            <w:pPr>
              <w:keepNext/>
              <w:keepLines/>
              <w:widowControl/>
              <w:rPr>
                <w:rFonts w:ascii="Times New Roman" w:hAnsi="Times New Roman"/>
              </w:rPr>
            </w:pPr>
          </w:p>
        </w:tc>
        <w:tc>
          <w:tcPr>
            <w:tcW w:w="4140" w:type="dxa"/>
            <w:hideMark/>
          </w:tcPr>
          <w:p w14:paraId="30F4E8E1" w14:textId="77777777" w:rsidR="00E44883" w:rsidRPr="00D75EC5" w:rsidRDefault="00E44883" w:rsidP="00657DD0">
            <w:pPr>
              <w:keepNext/>
              <w:keepLines/>
              <w:widowControl/>
              <w:tabs>
                <w:tab w:val="left" w:pos="540"/>
                <w:tab w:val="left" w:pos="1080"/>
                <w:tab w:val="left" w:pos="1620"/>
              </w:tabs>
              <w:rPr>
                <w:rFonts w:eastAsia="Calibri"/>
              </w:rPr>
            </w:pPr>
            <w:r w:rsidRPr="00BD2E8C">
              <w:rPr>
                <w:rFonts w:eastAsia="Calibri"/>
              </w:rPr>
              <w:t>Shipment status provided to DAAS</w:t>
            </w:r>
          </w:p>
        </w:tc>
        <w:tc>
          <w:tcPr>
            <w:tcW w:w="2171" w:type="dxa"/>
            <w:hideMark/>
          </w:tcPr>
          <w:p w14:paraId="3E96C8B8" w14:textId="77777777" w:rsidR="00E44883" w:rsidRPr="00BD2E8C" w:rsidRDefault="00E44883" w:rsidP="00657DD0">
            <w:pPr>
              <w:keepNext/>
              <w:keepLines/>
              <w:widowControl/>
              <w:tabs>
                <w:tab w:val="left" w:pos="540"/>
                <w:tab w:val="left" w:pos="1080"/>
                <w:tab w:val="left" w:pos="1620"/>
              </w:tabs>
              <w:jc w:val="center"/>
              <w:rPr>
                <w:rFonts w:eastAsia="Calibri"/>
              </w:rPr>
            </w:pPr>
            <w:r w:rsidRPr="00BD2E8C">
              <w:rPr>
                <w:rFonts w:eastAsia="Calibri"/>
              </w:rPr>
              <w:t>AS8, AU8</w:t>
            </w:r>
          </w:p>
        </w:tc>
      </w:tr>
      <w:tr w:rsidR="00E44883" w:rsidRPr="00E44883" w14:paraId="6B834512" w14:textId="77777777" w:rsidTr="00227C40">
        <w:trPr>
          <w:trHeight w:val="182"/>
        </w:trPr>
        <w:tc>
          <w:tcPr>
            <w:tcW w:w="0" w:type="auto"/>
            <w:vMerge/>
            <w:vAlign w:val="center"/>
            <w:hideMark/>
          </w:tcPr>
          <w:p w14:paraId="267094AE" w14:textId="77777777" w:rsidR="00E44883" w:rsidRPr="00D75EC5" w:rsidRDefault="00E44883" w:rsidP="00657DD0">
            <w:pPr>
              <w:keepNext/>
              <w:keepLines/>
              <w:widowControl/>
              <w:rPr>
                <w:rFonts w:ascii="Times New Roman" w:hAnsi="Times New Roman"/>
              </w:rPr>
            </w:pPr>
          </w:p>
        </w:tc>
        <w:tc>
          <w:tcPr>
            <w:tcW w:w="4140" w:type="dxa"/>
            <w:hideMark/>
          </w:tcPr>
          <w:p w14:paraId="48049DDE" w14:textId="77777777" w:rsidR="00E44883" w:rsidRPr="00D75EC5" w:rsidRDefault="00E44883" w:rsidP="00657DD0">
            <w:pPr>
              <w:keepNext/>
              <w:keepLines/>
              <w:widowControl/>
              <w:tabs>
                <w:tab w:val="left" w:pos="540"/>
                <w:tab w:val="left" w:pos="1080"/>
                <w:tab w:val="left" w:pos="1620"/>
              </w:tabs>
              <w:rPr>
                <w:rFonts w:eastAsia="Calibri"/>
              </w:rPr>
            </w:pPr>
            <w:r w:rsidRPr="00BD2E8C">
              <w:rPr>
                <w:rFonts w:eastAsia="Calibri"/>
              </w:rPr>
              <w:t>Shipment status to status recipients</w:t>
            </w:r>
          </w:p>
        </w:tc>
        <w:tc>
          <w:tcPr>
            <w:tcW w:w="2171" w:type="dxa"/>
            <w:hideMark/>
          </w:tcPr>
          <w:p w14:paraId="74293280" w14:textId="77777777" w:rsidR="00E44883" w:rsidRPr="00BD2E8C" w:rsidRDefault="00E44883" w:rsidP="00657DD0">
            <w:pPr>
              <w:keepNext/>
              <w:keepLines/>
              <w:widowControl/>
              <w:tabs>
                <w:tab w:val="left" w:pos="540"/>
                <w:tab w:val="left" w:pos="1080"/>
                <w:tab w:val="left" w:pos="1620"/>
              </w:tabs>
              <w:jc w:val="center"/>
              <w:rPr>
                <w:rFonts w:eastAsia="Calibri"/>
              </w:rPr>
            </w:pPr>
            <w:r w:rsidRPr="00BD2E8C">
              <w:rPr>
                <w:rFonts w:eastAsia="Calibri"/>
              </w:rPr>
              <w:t>AS1, AS2, AS3, AU1, AU2, AU3</w:t>
            </w:r>
          </w:p>
        </w:tc>
      </w:tr>
      <w:tr w:rsidR="00E44883" w:rsidRPr="00E44883" w14:paraId="38B67511" w14:textId="77777777" w:rsidTr="00227C40">
        <w:trPr>
          <w:trHeight w:val="227"/>
        </w:trPr>
        <w:tc>
          <w:tcPr>
            <w:tcW w:w="3265" w:type="dxa"/>
            <w:vMerge w:val="restart"/>
            <w:hideMark/>
          </w:tcPr>
          <w:p w14:paraId="25FDA506" w14:textId="77777777" w:rsidR="00E44883" w:rsidRPr="00D75EC5" w:rsidRDefault="00E44883" w:rsidP="00E44883">
            <w:pPr>
              <w:tabs>
                <w:tab w:val="left" w:pos="540"/>
                <w:tab w:val="left" w:pos="1080"/>
                <w:tab w:val="left" w:pos="1620"/>
              </w:tabs>
              <w:rPr>
                <w:rFonts w:eastAsia="Calibri"/>
              </w:rPr>
            </w:pPr>
            <w:r w:rsidRPr="00BD2E8C">
              <w:rPr>
                <w:rFonts w:eastAsia="Calibri"/>
              </w:rPr>
              <w:t xml:space="preserve">MOV Response </w:t>
            </w:r>
          </w:p>
        </w:tc>
        <w:tc>
          <w:tcPr>
            <w:tcW w:w="4140" w:type="dxa"/>
            <w:hideMark/>
          </w:tcPr>
          <w:p w14:paraId="0EB096CC" w14:textId="77777777" w:rsidR="00E44883" w:rsidRPr="00D75EC5" w:rsidRDefault="00E44883" w:rsidP="00E44883">
            <w:pPr>
              <w:tabs>
                <w:tab w:val="left" w:pos="540"/>
                <w:tab w:val="left" w:pos="1080"/>
                <w:tab w:val="left" w:pos="1620"/>
              </w:tabs>
              <w:rPr>
                <w:rFonts w:eastAsia="Calibri"/>
              </w:rPr>
            </w:pPr>
            <w:r w:rsidRPr="00BD2E8C">
              <w:rPr>
                <w:rFonts w:eastAsia="Calibri"/>
              </w:rPr>
              <w:t xml:space="preserve">517M with Transaction Type Code AP  </w:t>
            </w:r>
          </w:p>
        </w:tc>
        <w:tc>
          <w:tcPr>
            <w:tcW w:w="2171" w:type="dxa"/>
            <w:hideMark/>
          </w:tcPr>
          <w:p w14:paraId="2795CBC1"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AP_</w:t>
            </w:r>
          </w:p>
        </w:tc>
      </w:tr>
      <w:tr w:rsidR="00E44883" w:rsidRPr="00E44883" w14:paraId="5822ABAC" w14:textId="77777777" w:rsidTr="00227C40">
        <w:trPr>
          <w:trHeight w:val="128"/>
        </w:trPr>
        <w:tc>
          <w:tcPr>
            <w:tcW w:w="0" w:type="auto"/>
            <w:vMerge/>
            <w:vAlign w:val="center"/>
            <w:hideMark/>
          </w:tcPr>
          <w:p w14:paraId="4AB5F1BB" w14:textId="77777777" w:rsidR="00E44883" w:rsidRPr="00D75EC5" w:rsidRDefault="00E44883" w:rsidP="00E44883">
            <w:pPr>
              <w:rPr>
                <w:rFonts w:ascii="Times New Roman" w:hAnsi="Times New Roman"/>
              </w:rPr>
            </w:pPr>
          </w:p>
        </w:tc>
        <w:tc>
          <w:tcPr>
            <w:tcW w:w="4140" w:type="dxa"/>
            <w:hideMark/>
          </w:tcPr>
          <w:p w14:paraId="410763A2" w14:textId="77777777" w:rsidR="00E44883" w:rsidRPr="00D75EC5" w:rsidRDefault="00E44883" w:rsidP="00E44883">
            <w:pPr>
              <w:tabs>
                <w:tab w:val="left" w:pos="540"/>
                <w:tab w:val="left" w:pos="1080"/>
                <w:tab w:val="left" w:pos="1620"/>
              </w:tabs>
              <w:rPr>
                <w:rFonts w:eastAsia="Calibri"/>
              </w:rPr>
            </w:pPr>
            <w:r w:rsidRPr="00BD2E8C">
              <w:rPr>
                <w:rFonts w:eastAsia="Calibri"/>
              </w:rPr>
              <w:t>MOV Response  provided to DAAS</w:t>
            </w:r>
          </w:p>
        </w:tc>
        <w:tc>
          <w:tcPr>
            <w:tcW w:w="2171" w:type="dxa"/>
            <w:hideMark/>
          </w:tcPr>
          <w:p w14:paraId="53860961"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AP8</w:t>
            </w:r>
          </w:p>
        </w:tc>
      </w:tr>
      <w:tr w:rsidR="00E44883" w:rsidRPr="00E44883" w14:paraId="30E7F4BD" w14:textId="77777777" w:rsidTr="00227C40">
        <w:trPr>
          <w:trHeight w:val="20"/>
        </w:trPr>
        <w:tc>
          <w:tcPr>
            <w:tcW w:w="0" w:type="auto"/>
            <w:vMerge/>
            <w:vAlign w:val="center"/>
            <w:hideMark/>
          </w:tcPr>
          <w:p w14:paraId="4520D2BB" w14:textId="77777777" w:rsidR="00E44883" w:rsidRPr="00D75EC5" w:rsidRDefault="00E44883" w:rsidP="00E44883">
            <w:pPr>
              <w:rPr>
                <w:rFonts w:ascii="Times New Roman" w:hAnsi="Times New Roman"/>
              </w:rPr>
            </w:pPr>
          </w:p>
        </w:tc>
        <w:tc>
          <w:tcPr>
            <w:tcW w:w="4140" w:type="dxa"/>
            <w:hideMark/>
          </w:tcPr>
          <w:p w14:paraId="17412355" w14:textId="77777777" w:rsidR="00E44883" w:rsidRPr="00D75EC5" w:rsidRDefault="00E44883" w:rsidP="00E44883">
            <w:pPr>
              <w:tabs>
                <w:tab w:val="left" w:pos="540"/>
                <w:tab w:val="left" w:pos="1080"/>
                <w:tab w:val="left" w:pos="1620"/>
              </w:tabs>
              <w:rPr>
                <w:rFonts w:eastAsia="Calibri"/>
              </w:rPr>
            </w:pPr>
            <w:r w:rsidRPr="00BD2E8C">
              <w:rPr>
                <w:rFonts w:eastAsia="Calibri"/>
              </w:rPr>
              <w:t>MOV Response to status recipients</w:t>
            </w:r>
          </w:p>
        </w:tc>
        <w:tc>
          <w:tcPr>
            <w:tcW w:w="2171" w:type="dxa"/>
            <w:hideMark/>
          </w:tcPr>
          <w:p w14:paraId="38F52DB9" w14:textId="441F40C7" w:rsidR="00E44883" w:rsidRPr="00BD2E8C" w:rsidRDefault="00E44883" w:rsidP="00E44883">
            <w:pPr>
              <w:tabs>
                <w:tab w:val="left" w:pos="540"/>
                <w:tab w:val="left" w:pos="1080"/>
                <w:tab w:val="left" w:pos="1620"/>
              </w:tabs>
              <w:jc w:val="center"/>
              <w:rPr>
                <w:rFonts w:eastAsia="Calibri"/>
              </w:rPr>
            </w:pPr>
            <w:r w:rsidRPr="00BD2E8C">
              <w:rPr>
                <w:rFonts w:eastAsia="Calibri"/>
              </w:rPr>
              <w:t>AP1, AP2, AP3</w:t>
            </w:r>
          </w:p>
        </w:tc>
      </w:tr>
      <w:tr w:rsidR="00E44883" w:rsidRPr="00E44883" w14:paraId="06066F4D" w14:textId="77777777" w:rsidTr="00227C40">
        <w:trPr>
          <w:trHeight w:val="263"/>
        </w:trPr>
        <w:tc>
          <w:tcPr>
            <w:tcW w:w="3265" w:type="dxa"/>
            <w:hideMark/>
          </w:tcPr>
          <w:p w14:paraId="4DA4CB07" w14:textId="77777777" w:rsidR="00E44883" w:rsidRPr="00D75EC5" w:rsidRDefault="00E44883" w:rsidP="00E44883">
            <w:pPr>
              <w:tabs>
                <w:tab w:val="left" w:pos="540"/>
                <w:tab w:val="left" w:pos="1080"/>
                <w:tab w:val="left" w:pos="1620"/>
              </w:tabs>
              <w:rPr>
                <w:rFonts w:eastAsia="Calibri"/>
              </w:rPr>
            </w:pPr>
            <w:r w:rsidRPr="00BD2E8C">
              <w:rPr>
                <w:rFonts w:eastAsia="Calibri"/>
              </w:rPr>
              <w:t>Materiel Returns Supply Status/Follow-up</w:t>
            </w:r>
          </w:p>
        </w:tc>
        <w:tc>
          <w:tcPr>
            <w:tcW w:w="4140" w:type="dxa"/>
            <w:hideMark/>
          </w:tcPr>
          <w:p w14:paraId="460DB99D" w14:textId="77777777" w:rsidR="00E44883" w:rsidRPr="00D75EC5" w:rsidRDefault="00E44883" w:rsidP="00E44883">
            <w:pPr>
              <w:tabs>
                <w:tab w:val="left" w:pos="540"/>
                <w:tab w:val="left" w:pos="1080"/>
                <w:tab w:val="left" w:pos="1620"/>
              </w:tabs>
              <w:rPr>
                <w:rFonts w:eastAsia="Calibri"/>
              </w:rPr>
            </w:pPr>
            <w:r w:rsidRPr="00BD2E8C">
              <w:rPr>
                <w:rFonts w:eastAsia="Calibri"/>
              </w:rPr>
              <w:t>870M</w:t>
            </w:r>
          </w:p>
        </w:tc>
        <w:tc>
          <w:tcPr>
            <w:tcW w:w="2171" w:type="dxa"/>
            <w:hideMark/>
          </w:tcPr>
          <w:p w14:paraId="17968F5C"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FT6, FTD, FTR, FTQ, FTZ</w:t>
            </w:r>
          </w:p>
        </w:tc>
      </w:tr>
      <w:tr w:rsidR="00E44883" w:rsidRPr="00E44883" w14:paraId="6D547884" w14:textId="77777777" w:rsidTr="00227C40">
        <w:trPr>
          <w:trHeight w:val="335"/>
        </w:trPr>
        <w:tc>
          <w:tcPr>
            <w:tcW w:w="3265" w:type="dxa"/>
            <w:hideMark/>
          </w:tcPr>
          <w:p w14:paraId="3FE89D43" w14:textId="77777777" w:rsidR="00E44883" w:rsidRPr="00D75EC5" w:rsidRDefault="00E44883" w:rsidP="00E44883">
            <w:pPr>
              <w:tabs>
                <w:tab w:val="left" w:pos="540"/>
                <w:tab w:val="left" w:pos="1080"/>
                <w:tab w:val="left" w:pos="1620"/>
              </w:tabs>
              <w:rPr>
                <w:rFonts w:eastAsia="Calibri"/>
              </w:rPr>
            </w:pPr>
            <w:r w:rsidRPr="00BD2E8C">
              <w:rPr>
                <w:rFonts w:eastAsia="Calibri"/>
              </w:rPr>
              <w:t>Reply to Follow-Up for Credit Status (MILSBILLS)</w:t>
            </w:r>
          </w:p>
        </w:tc>
        <w:tc>
          <w:tcPr>
            <w:tcW w:w="4140" w:type="dxa"/>
            <w:hideMark/>
          </w:tcPr>
          <w:p w14:paraId="59E5E755" w14:textId="77777777" w:rsidR="00E44883" w:rsidRPr="00D75EC5" w:rsidRDefault="00E44883" w:rsidP="00E44883">
            <w:pPr>
              <w:tabs>
                <w:tab w:val="left" w:pos="540"/>
                <w:tab w:val="left" w:pos="1080"/>
                <w:tab w:val="left" w:pos="1620"/>
              </w:tabs>
              <w:rPr>
                <w:rFonts w:eastAsia="Calibri"/>
              </w:rPr>
            </w:pPr>
            <w:r w:rsidRPr="00BD2E8C">
              <w:rPr>
                <w:rFonts w:eastAsia="Calibri"/>
              </w:rPr>
              <w:t>812L</w:t>
            </w:r>
          </w:p>
        </w:tc>
        <w:tc>
          <w:tcPr>
            <w:tcW w:w="2171" w:type="dxa"/>
            <w:hideMark/>
          </w:tcPr>
          <w:p w14:paraId="63E89978"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FTB</w:t>
            </w:r>
          </w:p>
        </w:tc>
      </w:tr>
    </w:tbl>
    <w:p w14:paraId="15DCBD34" w14:textId="77777777" w:rsidR="00E44883" w:rsidRPr="00BD2E8C" w:rsidRDefault="00E44883" w:rsidP="00353730">
      <w:pPr>
        <w:tabs>
          <w:tab w:val="left" w:pos="540"/>
          <w:tab w:val="left" w:pos="1080"/>
          <w:tab w:val="left" w:pos="1620"/>
        </w:tabs>
        <w:spacing w:after="240"/>
      </w:pPr>
    </w:p>
    <w:p w14:paraId="43BC0081" w14:textId="1B10FC51" w:rsidR="00E44883" w:rsidRDefault="00E44883" w:rsidP="00353730">
      <w:pPr>
        <w:tabs>
          <w:tab w:val="left" w:pos="540"/>
          <w:tab w:val="left" w:pos="1080"/>
          <w:tab w:val="left" w:pos="1620"/>
        </w:tabs>
        <w:spacing w:after="240"/>
      </w:pPr>
      <w:r w:rsidRPr="00BD2E8C">
        <w:tab/>
      </w:r>
      <w:r w:rsidR="00F27BCA">
        <w:t>AP7</w:t>
      </w:r>
      <w:r w:rsidRPr="00BD2E8C">
        <w:t>.4.1.4.  Status recipients may be identified by using the M&amp;S code as a pointer to various organizations identified by coded data within the transaction:</w:t>
      </w:r>
    </w:p>
    <w:tbl>
      <w:tblPr>
        <w:tblStyle w:val="TableGrid2"/>
        <w:tblW w:w="9840" w:type="dxa"/>
        <w:tblLayout w:type="fixed"/>
        <w:tblCellMar>
          <w:top w:w="115" w:type="dxa"/>
          <w:left w:w="115" w:type="dxa"/>
          <w:bottom w:w="72" w:type="dxa"/>
          <w:right w:w="115" w:type="dxa"/>
        </w:tblCellMar>
        <w:tblLook w:val="04A0" w:firstRow="1" w:lastRow="0" w:firstColumn="1" w:lastColumn="0" w:noHBand="0" w:noVBand="1"/>
      </w:tblPr>
      <w:tblGrid>
        <w:gridCol w:w="1825"/>
        <w:gridCol w:w="4774"/>
        <w:gridCol w:w="986"/>
        <w:gridCol w:w="2255"/>
      </w:tblGrid>
      <w:tr w:rsidR="00D9505A" w:rsidRPr="00E44883" w14:paraId="3582C335" w14:textId="77777777" w:rsidTr="00227C40">
        <w:trPr>
          <w:trHeight w:val="259"/>
          <w:tblHeader/>
        </w:trPr>
        <w:tc>
          <w:tcPr>
            <w:tcW w:w="9840" w:type="dxa"/>
            <w:gridSpan w:val="4"/>
            <w:vAlign w:val="center"/>
          </w:tcPr>
          <w:p w14:paraId="548CB82F" w14:textId="75AC801F" w:rsidR="00D9505A" w:rsidRPr="00BD2E8C" w:rsidRDefault="00D9505A" w:rsidP="00D9505A">
            <w:pPr>
              <w:tabs>
                <w:tab w:val="left" w:pos="540"/>
                <w:tab w:val="left" w:pos="1080"/>
                <w:tab w:val="left" w:pos="1620"/>
              </w:tabs>
              <w:jc w:val="center"/>
              <w:rPr>
                <w:rFonts w:eastAsia="Calibri"/>
              </w:rPr>
            </w:pPr>
            <w:r w:rsidRPr="00BD2E8C">
              <w:rPr>
                <w:rFonts w:eastAsia="Calibri"/>
                <w:u w:val="single"/>
              </w:rPr>
              <w:t xml:space="preserve">Table </w:t>
            </w:r>
            <w:r w:rsidR="00F27BCA">
              <w:rPr>
                <w:rFonts w:eastAsia="Calibri"/>
                <w:u w:val="single"/>
              </w:rPr>
              <w:t>AP7</w:t>
            </w:r>
            <w:r w:rsidRPr="00BD2E8C">
              <w:rPr>
                <w:rFonts w:eastAsia="Calibri"/>
                <w:u w:val="single"/>
              </w:rPr>
              <w:t>.4.T3.  Derivation of Status Recipients</w:t>
            </w:r>
          </w:p>
        </w:tc>
      </w:tr>
      <w:tr w:rsidR="00E44883" w:rsidRPr="00E44883" w14:paraId="76622315" w14:textId="77777777" w:rsidTr="00227C40">
        <w:trPr>
          <w:trHeight w:val="965"/>
          <w:tblHeader/>
        </w:trPr>
        <w:tc>
          <w:tcPr>
            <w:tcW w:w="1825" w:type="dxa"/>
            <w:vAlign w:val="center"/>
            <w:hideMark/>
          </w:tcPr>
          <w:p w14:paraId="58062AD6"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t>Status Recipient</w:t>
            </w:r>
          </w:p>
        </w:tc>
        <w:tc>
          <w:tcPr>
            <w:tcW w:w="4774" w:type="dxa"/>
            <w:vAlign w:val="center"/>
            <w:hideMark/>
          </w:tcPr>
          <w:p w14:paraId="7FA637C5"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t xml:space="preserve">DLMS Location/Data Reference </w:t>
            </w:r>
            <w:r w:rsidRPr="00BD2E8C">
              <w:rPr>
                <w:rFonts w:eastAsia="Calibri"/>
              </w:rPr>
              <w:br/>
              <w:t>(X12 Segment/Code)</w:t>
            </w:r>
          </w:p>
        </w:tc>
        <w:tc>
          <w:tcPr>
            <w:tcW w:w="986" w:type="dxa"/>
            <w:vAlign w:val="center"/>
            <w:hideMark/>
          </w:tcPr>
          <w:p w14:paraId="26B66D37"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t>Signal Code</w:t>
            </w:r>
          </w:p>
        </w:tc>
        <w:tc>
          <w:tcPr>
            <w:tcW w:w="2255" w:type="dxa"/>
            <w:vAlign w:val="center"/>
            <w:hideMark/>
          </w:tcPr>
          <w:p w14:paraId="3F8898FE"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 xml:space="preserve">Legacy </w:t>
            </w:r>
            <w:r w:rsidRPr="00BD2E8C">
              <w:rPr>
                <w:rFonts w:eastAsia="Calibri"/>
              </w:rPr>
              <w:br/>
              <w:t xml:space="preserve">Location/Data Reference </w:t>
            </w:r>
            <w:r w:rsidRPr="00BD2E8C">
              <w:rPr>
                <w:rFonts w:eastAsia="Calibri"/>
              </w:rPr>
              <w:br/>
              <w:t>(RP)</w:t>
            </w:r>
          </w:p>
        </w:tc>
      </w:tr>
      <w:tr w:rsidR="00E44883" w:rsidRPr="00E44883" w14:paraId="12E26654" w14:textId="77777777" w:rsidTr="00227C40">
        <w:trPr>
          <w:trHeight w:val="488"/>
        </w:trPr>
        <w:tc>
          <w:tcPr>
            <w:tcW w:w="1825" w:type="dxa"/>
            <w:hideMark/>
          </w:tcPr>
          <w:p w14:paraId="2DE8E287" w14:textId="77777777" w:rsidR="00E44883" w:rsidRPr="00D75EC5" w:rsidRDefault="00E44883" w:rsidP="00E44883">
            <w:pPr>
              <w:tabs>
                <w:tab w:val="left" w:pos="540"/>
                <w:tab w:val="left" w:pos="1080"/>
                <w:tab w:val="left" w:pos="1620"/>
              </w:tabs>
              <w:rPr>
                <w:rFonts w:eastAsia="Calibri"/>
              </w:rPr>
            </w:pPr>
            <w:r w:rsidRPr="00BD2E8C">
              <w:rPr>
                <w:rFonts w:eastAsia="Calibri"/>
              </w:rPr>
              <w:t>Requisitioner</w:t>
            </w:r>
          </w:p>
        </w:tc>
        <w:tc>
          <w:tcPr>
            <w:tcW w:w="4774" w:type="dxa"/>
            <w:hideMark/>
          </w:tcPr>
          <w:p w14:paraId="5A471F4C" w14:textId="77777777" w:rsidR="00E44883" w:rsidRPr="00D75EC5" w:rsidRDefault="00E44883" w:rsidP="00E44883">
            <w:pPr>
              <w:tabs>
                <w:tab w:val="left" w:pos="540"/>
                <w:tab w:val="left" w:pos="1080"/>
                <w:tab w:val="left" w:pos="1620"/>
              </w:tabs>
              <w:rPr>
                <w:rFonts w:eastAsia="Calibri"/>
              </w:rPr>
            </w:pPr>
            <w:r w:rsidRPr="00BD2E8C">
              <w:rPr>
                <w:rFonts w:eastAsia="Calibri"/>
              </w:rPr>
              <w:t>Document Number DoDAAC</w:t>
            </w:r>
            <w:r w:rsidRPr="00BD2E8C">
              <w:rPr>
                <w:rFonts w:eastAsia="Calibri"/>
              </w:rPr>
              <w:br/>
              <w:t>(REF or N9/TN – Transaction Reference Number)</w:t>
            </w:r>
          </w:p>
        </w:tc>
        <w:tc>
          <w:tcPr>
            <w:tcW w:w="986" w:type="dxa"/>
          </w:tcPr>
          <w:p w14:paraId="10BD2D10"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t>Any</w:t>
            </w:r>
          </w:p>
        </w:tc>
        <w:tc>
          <w:tcPr>
            <w:tcW w:w="2255" w:type="dxa"/>
            <w:hideMark/>
          </w:tcPr>
          <w:p w14:paraId="44768BEA"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 xml:space="preserve">Document Number DoDAAC </w:t>
            </w:r>
            <w:r w:rsidRPr="00BD2E8C">
              <w:rPr>
                <w:rFonts w:eastAsia="Calibri"/>
              </w:rPr>
              <w:br/>
              <w:t>(30-35)</w:t>
            </w:r>
          </w:p>
        </w:tc>
      </w:tr>
      <w:tr w:rsidR="00E44883" w:rsidRPr="00E44883" w14:paraId="4ADD6741" w14:textId="77777777" w:rsidTr="00227C40">
        <w:trPr>
          <w:trHeight w:val="1037"/>
        </w:trPr>
        <w:tc>
          <w:tcPr>
            <w:tcW w:w="1825" w:type="dxa"/>
            <w:hideMark/>
          </w:tcPr>
          <w:p w14:paraId="127C6196" w14:textId="77777777" w:rsidR="00E44883" w:rsidRPr="00D75EC5" w:rsidRDefault="00E44883" w:rsidP="00E44883">
            <w:pPr>
              <w:tabs>
                <w:tab w:val="left" w:pos="540"/>
                <w:tab w:val="left" w:pos="1080"/>
                <w:tab w:val="left" w:pos="1620"/>
              </w:tabs>
              <w:rPr>
                <w:rFonts w:eastAsia="Calibri"/>
              </w:rPr>
            </w:pPr>
            <w:r w:rsidRPr="00BD2E8C">
              <w:rPr>
                <w:rFonts w:eastAsia="Calibri"/>
              </w:rPr>
              <w:t>Reporting Activity</w:t>
            </w:r>
          </w:p>
        </w:tc>
        <w:tc>
          <w:tcPr>
            <w:tcW w:w="4774" w:type="dxa"/>
            <w:hideMark/>
          </w:tcPr>
          <w:p w14:paraId="48B86C64" w14:textId="77777777" w:rsidR="00E44883" w:rsidRPr="00BD2E8C" w:rsidRDefault="00E44883" w:rsidP="00E44883">
            <w:pPr>
              <w:tabs>
                <w:tab w:val="left" w:pos="540"/>
                <w:tab w:val="left" w:pos="1080"/>
                <w:tab w:val="left" w:pos="1620"/>
              </w:tabs>
              <w:rPr>
                <w:rFonts w:eastAsia="Calibri"/>
              </w:rPr>
            </w:pPr>
            <w:r w:rsidRPr="00BD2E8C">
              <w:rPr>
                <w:rFonts w:eastAsia="Calibri"/>
              </w:rPr>
              <w:t>Document Number DoDAAC</w:t>
            </w:r>
          </w:p>
          <w:p w14:paraId="66231B4E" w14:textId="77777777" w:rsidR="00E44883" w:rsidRPr="00D75EC5" w:rsidRDefault="00E44883" w:rsidP="00E44883">
            <w:pPr>
              <w:tabs>
                <w:tab w:val="left" w:pos="540"/>
                <w:tab w:val="left" w:pos="1080"/>
                <w:tab w:val="left" w:pos="1620"/>
              </w:tabs>
              <w:rPr>
                <w:rFonts w:eastAsia="Calibri"/>
              </w:rPr>
            </w:pPr>
            <w:r w:rsidRPr="00BD2E8C">
              <w:rPr>
                <w:rFonts w:eastAsia="Calibri"/>
              </w:rPr>
              <w:t>(REF or N9/TN – Transaction Reference Number)</w:t>
            </w:r>
          </w:p>
        </w:tc>
        <w:tc>
          <w:tcPr>
            <w:tcW w:w="986" w:type="dxa"/>
            <w:hideMark/>
          </w:tcPr>
          <w:p w14:paraId="6BDB7D83"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t>Any</w:t>
            </w:r>
          </w:p>
        </w:tc>
        <w:tc>
          <w:tcPr>
            <w:tcW w:w="2255" w:type="dxa"/>
            <w:hideMark/>
          </w:tcPr>
          <w:p w14:paraId="5E6B064C"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 xml:space="preserve">Document Number DoDAAC </w:t>
            </w:r>
            <w:r w:rsidRPr="00BD2E8C">
              <w:rPr>
                <w:rFonts w:eastAsia="Calibri"/>
              </w:rPr>
              <w:br/>
              <w:t>(30-35)</w:t>
            </w:r>
          </w:p>
        </w:tc>
      </w:tr>
      <w:tr w:rsidR="00E44883" w:rsidRPr="00E44883" w14:paraId="2C0C3FB6" w14:textId="77777777" w:rsidTr="00227C40">
        <w:trPr>
          <w:cantSplit/>
          <w:trHeight w:val="1523"/>
        </w:trPr>
        <w:tc>
          <w:tcPr>
            <w:tcW w:w="1825" w:type="dxa"/>
            <w:hideMark/>
          </w:tcPr>
          <w:p w14:paraId="2ACEF3B1" w14:textId="77777777" w:rsidR="00E44883" w:rsidRPr="00D75EC5" w:rsidRDefault="00E44883" w:rsidP="00E44883">
            <w:pPr>
              <w:tabs>
                <w:tab w:val="left" w:pos="540"/>
                <w:tab w:val="left" w:pos="1080"/>
                <w:tab w:val="left" w:pos="1620"/>
              </w:tabs>
              <w:rPr>
                <w:rFonts w:eastAsia="Calibri"/>
              </w:rPr>
            </w:pPr>
            <w:r w:rsidRPr="00BD2E8C">
              <w:rPr>
                <w:rFonts w:eastAsia="Calibri"/>
              </w:rPr>
              <w:t xml:space="preserve">Ship-To and/or </w:t>
            </w:r>
            <w:r w:rsidRPr="00BD2E8C">
              <w:rPr>
                <w:rFonts w:eastAsia="Calibri"/>
              </w:rPr>
              <w:br/>
              <w:t xml:space="preserve">Bill-To </w:t>
            </w:r>
          </w:p>
        </w:tc>
        <w:tc>
          <w:tcPr>
            <w:tcW w:w="4774" w:type="dxa"/>
            <w:hideMark/>
          </w:tcPr>
          <w:p w14:paraId="6067A74A" w14:textId="77777777" w:rsidR="00E44883" w:rsidRPr="00D75EC5" w:rsidRDefault="00E44883" w:rsidP="00E44883">
            <w:pPr>
              <w:tabs>
                <w:tab w:val="left" w:pos="540"/>
                <w:tab w:val="left" w:pos="1080"/>
                <w:tab w:val="left" w:pos="1620"/>
              </w:tabs>
              <w:contextualSpacing/>
              <w:rPr>
                <w:rFonts w:eastAsia="Calibri"/>
              </w:rPr>
            </w:pPr>
            <w:r w:rsidRPr="00BD2E8C">
              <w:rPr>
                <w:rFonts w:eastAsia="Calibri"/>
              </w:rPr>
              <w:t>Ship-To and/or Bill-To (when other than the requisitioner)</w:t>
            </w:r>
            <w:r w:rsidRPr="00BD2E8C">
              <w:rPr>
                <w:rFonts w:eastAsia="Calibri"/>
              </w:rPr>
              <w:br/>
              <w:t xml:space="preserve">(N1/ST – Ship To; BT – Bill- to-Party; or BS –Bill and Ship To) </w:t>
            </w:r>
            <w:r w:rsidRPr="00BD2E8C">
              <w:rPr>
                <w:rFonts w:eastAsia="Calibri"/>
                <w:szCs w:val="22"/>
              </w:rPr>
              <w:br/>
            </w:r>
            <w:r w:rsidRPr="00BD2E8C">
              <w:rPr>
                <w:rFonts w:eastAsia="Calibri"/>
              </w:rPr>
              <w:t>Perpetuated to the supplemental address (SUPADD) /data</w:t>
            </w:r>
            <w:r w:rsidRPr="00BD2E8C">
              <w:rPr>
                <w:rFonts w:eastAsia="Calibri"/>
              </w:rPr>
              <w:br/>
              <w:t>(LQ/A9 – Supplemental Data)</w:t>
            </w:r>
          </w:p>
        </w:tc>
        <w:tc>
          <w:tcPr>
            <w:tcW w:w="986" w:type="dxa"/>
            <w:hideMark/>
          </w:tcPr>
          <w:p w14:paraId="0389A17F"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t>B, J, K, L, M</w:t>
            </w:r>
          </w:p>
        </w:tc>
        <w:tc>
          <w:tcPr>
            <w:tcW w:w="2255" w:type="dxa"/>
            <w:hideMark/>
          </w:tcPr>
          <w:p w14:paraId="52052FEC"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 xml:space="preserve"> SUPADD</w:t>
            </w:r>
            <w:r w:rsidRPr="00BD2E8C">
              <w:rPr>
                <w:rFonts w:eastAsia="Calibri"/>
              </w:rPr>
              <w:br/>
              <w:t xml:space="preserve"> (40-45)</w:t>
            </w:r>
          </w:p>
        </w:tc>
      </w:tr>
      <w:tr w:rsidR="00E44883" w:rsidRPr="00E44883" w14:paraId="213BEA35" w14:textId="77777777" w:rsidTr="00227C40">
        <w:trPr>
          <w:trHeight w:val="308"/>
        </w:trPr>
        <w:tc>
          <w:tcPr>
            <w:tcW w:w="1825" w:type="dxa"/>
            <w:hideMark/>
          </w:tcPr>
          <w:p w14:paraId="6CF4EDD3" w14:textId="77777777" w:rsidR="00E44883" w:rsidRPr="00D75EC5" w:rsidRDefault="00E44883" w:rsidP="001F7CB5">
            <w:pPr>
              <w:keepNext/>
              <w:keepLines/>
              <w:tabs>
                <w:tab w:val="left" w:pos="540"/>
                <w:tab w:val="left" w:pos="1080"/>
                <w:tab w:val="left" w:pos="1620"/>
              </w:tabs>
              <w:rPr>
                <w:rFonts w:eastAsia="Calibri"/>
              </w:rPr>
            </w:pPr>
            <w:r w:rsidRPr="00BD2E8C">
              <w:rPr>
                <w:rFonts w:eastAsia="Calibri"/>
              </w:rPr>
              <w:t>Credit-To</w:t>
            </w:r>
          </w:p>
        </w:tc>
        <w:tc>
          <w:tcPr>
            <w:tcW w:w="4774" w:type="dxa"/>
            <w:hideMark/>
          </w:tcPr>
          <w:p w14:paraId="0B54A726" w14:textId="77777777" w:rsidR="00E44883" w:rsidRPr="00BD2E8C" w:rsidRDefault="00E44883" w:rsidP="001F7CB5">
            <w:pPr>
              <w:keepNext/>
              <w:keepLines/>
              <w:tabs>
                <w:tab w:val="left" w:pos="540"/>
                <w:tab w:val="left" w:pos="1080"/>
                <w:tab w:val="left" w:pos="1620"/>
              </w:tabs>
              <w:contextualSpacing/>
              <w:rPr>
                <w:rFonts w:eastAsia="Calibri"/>
              </w:rPr>
            </w:pPr>
            <w:r w:rsidRPr="00BD2E8C">
              <w:rPr>
                <w:rFonts w:eastAsia="Calibri"/>
              </w:rPr>
              <w:t>Credit-To (when other than the reporting activity)</w:t>
            </w:r>
            <w:r w:rsidRPr="00BD2E8C">
              <w:rPr>
                <w:rFonts w:eastAsia="Calibri"/>
              </w:rPr>
              <w:br/>
              <w:t>(LQ/ZB – Party to Receive Credit)</w:t>
            </w:r>
          </w:p>
          <w:p w14:paraId="499D1B12" w14:textId="77777777" w:rsidR="00E44883" w:rsidRPr="00D75EC5" w:rsidRDefault="00E44883" w:rsidP="001F7CB5">
            <w:pPr>
              <w:keepNext/>
              <w:keepLines/>
              <w:tabs>
                <w:tab w:val="left" w:pos="540"/>
                <w:tab w:val="left" w:pos="1080"/>
                <w:tab w:val="left" w:pos="1620"/>
              </w:tabs>
              <w:contextualSpacing/>
              <w:rPr>
                <w:rFonts w:eastAsia="Calibri"/>
              </w:rPr>
            </w:pPr>
            <w:r w:rsidRPr="00BD2E8C">
              <w:rPr>
                <w:rFonts w:eastAsia="Calibri"/>
              </w:rPr>
              <w:t>Perpetuated to the supplemental address (SUPADD)/data</w:t>
            </w:r>
            <w:r w:rsidRPr="00BD2E8C">
              <w:rPr>
                <w:rFonts w:eastAsia="Calibri"/>
              </w:rPr>
              <w:br/>
              <w:t>(LQ/A9 – Supplemental Data)</w:t>
            </w:r>
          </w:p>
        </w:tc>
        <w:tc>
          <w:tcPr>
            <w:tcW w:w="986" w:type="dxa"/>
            <w:hideMark/>
          </w:tcPr>
          <w:p w14:paraId="2B245935" w14:textId="77777777" w:rsidR="00E44883" w:rsidRPr="00D75EC5" w:rsidRDefault="00E44883" w:rsidP="001F7CB5">
            <w:pPr>
              <w:keepNext/>
              <w:keepLines/>
              <w:tabs>
                <w:tab w:val="left" w:pos="540"/>
                <w:tab w:val="left" w:pos="1080"/>
                <w:tab w:val="left" w:pos="1620"/>
              </w:tabs>
              <w:jc w:val="center"/>
              <w:rPr>
                <w:rFonts w:eastAsia="Calibri"/>
              </w:rPr>
            </w:pPr>
            <w:r w:rsidRPr="00BD2E8C">
              <w:rPr>
                <w:rFonts w:eastAsia="Calibri"/>
              </w:rPr>
              <w:t xml:space="preserve">B or K </w:t>
            </w:r>
          </w:p>
        </w:tc>
        <w:tc>
          <w:tcPr>
            <w:tcW w:w="2255" w:type="dxa"/>
            <w:hideMark/>
          </w:tcPr>
          <w:p w14:paraId="2C7F0DA9" w14:textId="77777777" w:rsidR="00E44883" w:rsidRPr="00BD2E8C" w:rsidRDefault="00E44883" w:rsidP="001F7CB5">
            <w:pPr>
              <w:keepNext/>
              <w:keepLines/>
              <w:tabs>
                <w:tab w:val="left" w:pos="540"/>
                <w:tab w:val="left" w:pos="1080"/>
                <w:tab w:val="left" w:pos="1620"/>
              </w:tabs>
              <w:jc w:val="center"/>
              <w:rPr>
                <w:rFonts w:eastAsia="Calibri"/>
              </w:rPr>
            </w:pPr>
            <w:r w:rsidRPr="00BD2E8C">
              <w:rPr>
                <w:rFonts w:eastAsia="Calibri"/>
              </w:rPr>
              <w:t>SUPADD</w:t>
            </w:r>
            <w:r w:rsidRPr="00BD2E8C">
              <w:rPr>
                <w:rFonts w:eastAsia="Calibri"/>
              </w:rPr>
              <w:br/>
              <w:t xml:space="preserve"> (40-45)</w:t>
            </w:r>
          </w:p>
        </w:tc>
      </w:tr>
      <w:tr w:rsidR="00E44883" w:rsidRPr="00E44883" w14:paraId="54DAE476" w14:textId="77777777" w:rsidTr="00227C40">
        <w:trPr>
          <w:cantSplit/>
          <w:trHeight w:val="1892"/>
        </w:trPr>
        <w:tc>
          <w:tcPr>
            <w:tcW w:w="1825" w:type="dxa"/>
            <w:hideMark/>
          </w:tcPr>
          <w:p w14:paraId="1294B69E" w14:textId="77777777" w:rsidR="00E44883" w:rsidRPr="00D75EC5" w:rsidRDefault="00E44883" w:rsidP="00E44883">
            <w:pPr>
              <w:tabs>
                <w:tab w:val="left" w:pos="540"/>
                <w:tab w:val="left" w:pos="1080"/>
                <w:tab w:val="left" w:pos="1620"/>
              </w:tabs>
              <w:rPr>
                <w:rFonts w:eastAsia="Calibri"/>
              </w:rPr>
            </w:pPr>
            <w:r w:rsidRPr="00BD2E8C">
              <w:rPr>
                <w:rFonts w:eastAsia="Calibri"/>
              </w:rPr>
              <w:t>Credit-To</w:t>
            </w:r>
          </w:p>
        </w:tc>
        <w:tc>
          <w:tcPr>
            <w:tcW w:w="4774" w:type="dxa"/>
            <w:hideMark/>
          </w:tcPr>
          <w:p w14:paraId="6E2E8A30" w14:textId="77777777" w:rsidR="00E44883" w:rsidRPr="00D75EC5" w:rsidRDefault="00E44883" w:rsidP="00E44883">
            <w:pPr>
              <w:tabs>
                <w:tab w:val="left" w:pos="540"/>
                <w:tab w:val="left" w:pos="1080"/>
                <w:tab w:val="left" w:pos="1620"/>
              </w:tabs>
              <w:contextualSpacing/>
              <w:rPr>
                <w:rFonts w:eastAsia="Calibri"/>
              </w:rPr>
            </w:pPr>
            <w:r w:rsidRPr="00BD2E8C">
              <w:rPr>
                <w:rFonts w:eastAsia="Calibri"/>
              </w:rPr>
              <w:t xml:space="preserve">Credit-To (when other than the reporting activity or SUPADD) equates to the DoDAAC associated with the Fund Code in the Fund Code to DoDAAC Conversion Table (see DLMS Volume 4, Finance, Appendix 1.01) May be perpetuated to the credit-to </w:t>
            </w:r>
            <w:r w:rsidRPr="00BD2E8C">
              <w:rPr>
                <w:rFonts w:eastAsia="Calibri"/>
              </w:rPr>
              <w:br/>
              <w:t>(LQ/ZB – Party to Receive Credit)</w:t>
            </w:r>
          </w:p>
        </w:tc>
        <w:tc>
          <w:tcPr>
            <w:tcW w:w="986" w:type="dxa"/>
            <w:hideMark/>
          </w:tcPr>
          <w:p w14:paraId="0A783586"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t>C or L</w:t>
            </w:r>
          </w:p>
        </w:tc>
        <w:tc>
          <w:tcPr>
            <w:tcW w:w="2255" w:type="dxa"/>
            <w:hideMark/>
          </w:tcPr>
          <w:p w14:paraId="40AA0050"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 xml:space="preserve">Fund Code </w:t>
            </w:r>
            <w:r w:rsidRPr="00BD2E8C">
              <w:rPr>
                <w:rFonts w:eastAsia="Calibri"/>
              </w:rPr>
              <w:br/>
              <w:t>(52-53)</w:t>
            </w:r>
          </w:p>
        </w:tc>
      </w:tr>
      <w:tr w:rsidR="00E44883" w:rsidRPr="00E44883" w14:paraId="0A15DAEE" w14:textId="77777777" w:rsidTr="00227C40">
        <w:tc>
          <w:tcPr>
            <w:tcW w:w="1825" w:type="dxa"/>
            <w:tcMar>
              <w:top w:w="0" w:type="dxa"/>
              <w:left w:w="108" w:type="dxa"/>
              <w:bottom w:w="0" w:type="dxa"/>
              <w:right w:w="108" w:type="dxa"/>
            </w:tcMar>
            <w:hideMark/>
          </w:tcPr>
          <w:p w14:paraId="6C7B762E" w14:textId="77777777" w:rsidR="00E44883" w:rsidRPr="00D75EC5" w:rsidRDefault="00E44883" w:rsidP="00E44883">
            <w:pPr>
              <w:tabs>
                <w:tab w:val="left" w:pos="540"/>
                <w:tab w:val="left" w:pos="1080"/>
                <w:tab w:val="left" w:pos="1620"/>
              </w:tabs>
              <w:rPr>
                <w:rFonts w:eastAsia="Calibri"/>
              </w:rPr>
            </w:pPr>
            <w:r w:rsidRPr="00BD2E8C">
              <w:rPr>
                <w:rFonts w:eastAsia="Calibri"/>
              </w:rPr>
              <w:t>Distribution Activity</w:t>
            </w:r>
          </w:p>
        </w:tc>
        <w:tc>
          <w:tcPr>
            <w:tcW w:w="4774" w:type="dxa"/>
            <w:tcMar>
              <w:top w:w="0" w:type="dxa"/>
              <w:left w:w="108" w:type="dxa"/>
              <w:bottom w:w="0" w:type="dxa"/>
              <w:right w:w="108" w:type="dxa"/>
            </w:tcMar>
            <w:hideMark/>
          </w:tcPr>
          <w:p w14:paraId="5771B174" w14:textId="4CC24037" w:rsidR="00E44883" w:rsidRPr="00D75EC5" w:rsidRDefault="00E44883" w:rsidP="00705CB4">
            <w:pPr>
              <w:tabs>
                <w:tab w:val="left" w:pos="540"/>
                <w:tab w:val="left" w:pos="1080"/>
                <w:tab w:val="left" w:pos="1620"/>
              </w:tabs>
              <w:rPr>
                <w:rFonts w:eastAsia="Calibri"/>
              </w:rPr>
            </w:pPr>
            <w:r w:rsidRPr="00BD2E8C">
              <w:rPr>
                <w:rFonts w:eastAsia="Calibri"/>
              </w:rPr>
              <w:t xml:space="preserve">Distribution Activity equates to the DoDAAC associated with a significant entry in first position of the Distribution Code in the Distribution Code Table (see </w:t>
            </w:r>
            <w:r w:rsidR="00705CB4">
              <w:rPr>
                <w:rFonts w:eastAsia="Calibri"/>
              </w:rPr>
              <w:lastRenderedPageBreak/>
              <w:t>DLMS</w:t>
            </w:r>
            <w:r w:rsidR="00705CB4" w:rsidRPr="00BD2E8C">
              <w:rPr>
                <w:rFonts w:eastAsia="Calibri"/>
              </w:rPr>
              <w:t xml:space="preserve"> </w:t>
            </w:r>
            <w:r w:rsidRPr="00BD2E8C">
              <w:rPr>
                <w:rFonts w:eastAsia="Calibri"/>
              </w:rPr>
              <w:t xml:space="preserve">Appendix </w:t>
            </w:r>
            <w:r w:rsidR="00705CB4">
              <w:rPr>
                <w:rFonts w:eastAsia="Calibri"/>
              </w:rPr>
              <w:t>7</w:t>
            </w:r>
            <w:r w:rsidRPr="00BD2E8C">
              <w:rPr>
                <w:rFonts w:eastAsia="Calibri"/>
              </w:rPr>
              <w:t xml:space="preserve">.12).  </w:t>
            </w:r>
            <w:r w:rsidRPr="00BD2E8C">
              <w:rPr>
                <w:rFonts w:eastAsia="Calibri"/>
              </w:rPr>
              <w:br/>
              <w:t>(LQ/AK – Distribution Code)</w:t>
            </w:r>
          </w:p>
        </w:tc>
        <w:tc>
          <w:tcPr>
            <w:tcW w:w="986" w:type="dxa"/>
            <w:tcMar>
              <w:top w:w="0" w:type="dxa"/>
              <w:left w:w="108" w:type="dxa"/>
              <w:bottom w:w="0" w:type="dxa"/>
              <w:right w:w="108" w:type="dxa"/>
            </w:tcMar>
            <w:hideMark/>
          </w:tcPr>
          <w:p w14:paraId="3FB19AD0" w14:textId="77777777" w:rsidR="00E44883" w:rsidRPr="00D75EC5" w:rsidRDefault="00E44883" w:rsidP="00E44883">
            <w:pPr>
              <w:tabs>
                <w:tab w:val="left" w:pos="540"/>
                <w:tab w:val="left" w:pos="1080"/>
                <w:tab w:val="left" w:pos="1620"/>
              </w:tabs>
              <w:jc w:val="center"/>
              <w:rPr>
                <w:rFonts w:eastAsia="Calibri"/>
              </w:rPr>
            </w:pPr>
            <w:r w:rsidRPr="00BD2E8C">
              <w:rPr>
                <w:rFonts w:eastAsia="Calibri"/>
              </w:rPr>
              <w:lastRenderedPageBreak/>
              <w:t>Any</w:t>
            </w:r>
          </w:p>
        </w:tc>
        <w:tc>
          <w:tcPr>
            <w:tcW w:w="2255" w:type="dxa"/>
            <w:tcMar>
              <w:top w:w="0" w:type="dxa"/>
              <w:left w:w="108" w:type="dxa"/>
              <w:bottom w:w="0" w:type="dxa"/>
              <w:right w:w="108" w:type="dxa"/>
            </w:tcMar>
            <w:hideMark/>
          </w:tcPr>
          <w:p w14:paraId="1B8CF814" w14:textId="77777777" w:rsidR="00E44883" w:rsidRPr="00BD2E8C" w:rsidRDefault="00E44883" w:rsidP="00E44883">
            <w:pPr>
              <w:tabs>
                <w:tab w:val="left" w:pos="540"/>
                <w:tab w:val="left" w:pos="1080"/>
                <w:tab w:val="left" w:pos="1620"/>
              </w:tabs>
              <w:jc w:val="center"/>
              <w:rPr>
                <w:rFonts w:eastAsia="Calibri"/>
              </w:rPr>
            </w:pPr>
            <w:r w:rsidRPr="00BD2E8C">
              <w:rPr>
                <w:rFonts w:eastAsia="Calibri"/>
              </w:rPr>
              <w:t xml:space="preserve">Distribution Code </w:t>
            </w:r>
            <w:r w:rsidRPr="00BD2E8C">
              <w:rPr>
                <w:rFonts w:eastAsia="Calibri"/>
              </w:rPr>
              <w:br/>
              <w:t>(54)</w:t>
            </w:r>
          </w:p>
        </w:tc>
      </w:tr>
    </w:tbl>
    <w:p w14:paraId="3329C177" w14:textId="75BC1726" w:rsidR="00FA7086" w:rsidRPr="00BD2E8C" w:rsidRDefault="00FA7086" w:rsidP="00465122">
      <w:pPr>
        <w:keepNext/>
        <w:keepLines/>
        <w:tabs>
          <w:tab w:val="left" w:pos="540"/>
          <w:tab w:val="left" w:pos="1080"/>
          <w:tab w:val="left" w:pos="1620"/>
        </w:tabs>
        <w:spacing w:before="240" w:after="240"/>
        <w:rPr>
          <w:rFonts w:cs="Arial"/>
        </w:rPr>
      </w:pPr>
      <w:r w:rsidRPr="00BD2E8C">
        <w:rPr>
          <w:rFonts w:ascii="Times New Roman" w:hAnsi="Times New Roman"/>
          <w:color w:val="FF0000"/>
        </w:rPr>
        <w:tab/>
      </w:r>
      <w:r w:rsidR="00F27BCA">
        <w:rPr>
          <w:rFonts w:cs="Arial"/>
        </w:rPr>
        <w:t>AP7</w:t>
      </w:r>
      <w:r w:rsidRPr="00BD2E8C">
        <w:rPr>
          <w:rFonts w:cs="Arial"/>
        </w:rPr>
        <w:t>.4.1.5.  The M&amp;S code is not used for all status distribution processing:</w:t>
      </w:r>
    </w:p>
    <w:p w14:paraId="63EFD37C" w14:textId="4BD1109A" w:rsidR="00FA7086" w:rsidRPr="00BD2E8C" w:rsidRDefault="00FA7086" w:rsidP="00FA7086">
      <w:pPr>
        <w:keepNext/>
        <w:keepLines/>
        <w:tabs>
          <w:tab w:val="left" w:pos="540"/>
          <w:tab w:val="left" w:pos="1080"/>
          <w:tab w:val="left" w:pos="1620"/>
        </w:tabs>
        <w:spacing w:after="240"/>
        <w:rPr>
          <w:rFonts w:cs="Arial"/>
        </w:rPr>
      </w:pPr>
      <w:r w:rsidRPr="00BD2E8C">
        <w:rPr>
          <w:rFonts w:cs="Arial"/>
        </w:rPr>
        <w:tab/>
      </w:r>
      <w:r w:rsidRPr="00BD2E8C">
        <w:rPr>
          <w:rFonts w:cs="Arial"/>
        </w:rPr>
        <w:tab/>
      </w:r>
      <w:r w:rsidR="00F27BCA">
        <w:rPr>
          <w:rFonts w:cs="Arial"/>
        </w:rPr>
        <w:t>AP7</w:t>
      </w:r>
      <w:r w:rsidRPr="00BD2E8C">
        <w:rPr>
          <w:rFonts w:cs="Arial"/>
        </w:rPr>
        <w:t xml:space="preserve">.4.1.5.1.  Services may provide status to distribution activities identified by the second or third position of the distribution code on an intra-Service basis.    </w:t>
      </w:r>
    </w:p>
    <w:p w14:paraId="02913369" w14:textId="2E76D144" w:rsidR="00FA7086" w:rsidRPr="00BD2E8C" w:rsidRDefault="00FA7086" w:rsidP="00FA7086">
      <w:pPr>
        <w:tabs>
          <w:tab w:val="left" w:pos="540"/>
          <w:tab w:val="left" w:pos="1080"/>
          <w:tab w:val="left" w:pos="1620"/>
        </w:tabs>
        <w:spacing w:after="240"/>
        <w:rPr>
          <w:rFonts w:cs="Arial"/>
        </w:rPr>
      </w:pPr>
      <w:r w:rsidRPr="00BD2E8C">
        <w:rPr>
          <w:rFonts w:cs="Arial"/>
        </w:rPr>
        <w:tab/>
      </w:r>
      <w:r w:rsidRPr="00BD2E8C">
        <w:rPr>
          <w:rFonts w:cs="Arial"/>
        </w:rPr>
        <w:tab/>
      </w:r>
      <w:r w:rsidR="00F27BCA">
        <w:rPr>
          <w:rFonts w:cs="Arial"/>
        </w:rPr>
        <w:t>AP7</w:t>
      </w:r>
      <w:r w:rsidRPr="00BD2E8C">
        <w:rPr>
          <w:rFonts w:cs="Arial"/>
        </w:rPr>
        <w:t>.4.1.5.2.  Under the DLMS, not all status recipients are identified by the M&amp;S Code.  An enhancement to DLMS transactions allows for discrete identification of status recipients by DoDAAC when not specified by the M&amp;S Code (see N1 Segment/Code Z1 – Party to Receive Status).  DAAS will provide distribution to these activities when status distribution is required.</w:t>
      </w:r>
    </w:p>
    <w:p w14:paraId="6A352061" w14:textId="1F46F812" w:rsidR="00FA7086" w:rsidRDefault="00FA7086" w:rsidP="00FA7086">
      <w:pPr>
        <w:tabs>
          <w:tab w:val="left" w:pos="540"/>
          <w:tab w:val="left" w:pos="1080"/>
          <w:tab w:val="left" w:pos="1620"/>
        </w:tabs>
        <w:spacing w:after="240"/>
      </w:pPr>
      <w:r w:rsidRPr="00BD2E8C">
        <w:rPr>
          <w:rFonts w:cs="Arial"/>
        </w:rPr>
        <w:tab/>
      </w:r>
      <w:r w:rsidR="00F27BCA">
        <w:rPr>
          <w:rFonts w:cs="Arial"/>
        </w:rPr>
        <w:t>AP7</w:t>
      </w:r>
      <w:r w:rsidRPr="00BD2E8C">
        <w:rPr>
          <w:rFonts w:cs="Arial"/>
        </w:rPr>
        <w:t>.4.1.6.</w:t>
      </w:r>
      <w:r w:rsidRPr="00FA7086">
        <w:rPr>
          <w:rFonts w:cs="Arial"/>
        </w:rPr>
        <w:t xml:space="preserve">  M&amp;S codes are used in different ways on </w:t>
      </w:r>
      <w:r w:rsidRPr="00BD2E8C">
        <w:rPr>
          <w:rFonts w:cs="Arial"/>
        </w:rPr>
        <w:t xml:space="preserve">requisition-related </w:t>
      </w:r>
      <w:r w:rsidRPr="00FA7086">
        <w:rPr>
          <w:rFonts w:cs="Arial"/>
        </w:rPr>
        <w:t xml:space="preserve">and </w:t>
      </w:r>
      <w:r w:rsidRPr="00BD2E8C">
        <w:rPr>
          <w:rFonts w:cs="Arial"/>
        </w:rPr>
        <w:t>MRP transactions</w:t>
      </w:r>
      <w:r w:rsidRPr="00FA7086">
        <w:rPr>
          <w:rFonts w:cs="Arial"/>
        </w:rPr>
        <w:t>.</w:t>
      </w:r>
      <w:r w:rsidR="00B66BFE">
        <w:tab/>
      </w:r>
    </w:p>
    <w:p w14:paraId="12CB58CA" w14:textId="00A78044" w:rsidR="00FA7086" w:rsidRPr="00FA7086" w:rsidRDefault="00FA7086" w:rsidP="00FA7086">
      <w:pPr>
        <w:tabs>
          <w:tab w:val="left" w:pos="540"/>
          <w:tab w:val="left" w:pos="990"/>
          <w:tab w:val="left" w:pos="1620"/>
        </w:tabs>
        <w:spacing w:after="240"/>
        <w:rPr>
          <w:rFonts w:cs="Arial"/>
        </w:rPr>
      </w:pPr>
      <w:r w:rsidRPr="00FA7086">
        <w:rPr>
          <w:rFonts w:cs="Arial"/>
        </w:rPr>
        <w:tab/>
      </w:r>
      <w:r w:rsidRPr="00FA7086">
        <w:rPr>
          <w:rFonts w:cs="Arial"/>
        </w:rPr>
        <w:tab/>
      </w:r>
      <w:r w:rsidR="00F27BCA">
        <w:rPr>
          <w:rFonts w:cs="Arial"/>
        </w:rPr>
        <w:t>AP7</w:t>
      </w:r>
      <w:r w:rsidRPr="00FA7086">
        <w:rPr>
          <w:rFonts w:cs="Arial"/>
        </w:rPr>
        <w:t>.4.</w:t>
      </w:r>
      <w:r w:rsidRPr="00BD2E8C">
        <w:rPr>
          <w:rFonts w:cs="Arial"/>
        </w:rPr>
        <w:t>1.6.1.</w:t>
      </w:r>
      <w:r w:rsidRPr="00FA7086">
        <w:rPr>
          <w:rFonts w:cs="Arial"/>
        </w:rPr>
        <w:t xml:space="preserve">  On </w:t>
      </w:r>
      <w:r w:rsidRPr="00BD2E8C">
        <w:rPr>
          <w:rFonts w:cs="Arial"/>
        </w:rPr>
        <w:t>requisition-related transactions:</w:t>
      </w:r>
    </w:p>
    <w:p w14:paraId="1E19F762" w14:textId="34F06D3F"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1.6.1.1.</w:t>
      </w:r>
      <w:r w:rsidRPr="00FA7086">
        <w:rPr>
          <w:rFonts w:cs="Arial"/>
        </w:rPr>
        <w:t xml:space="preserve">  M&amp;S may indicate that status is to be furnished to the requisitioner and/or the </w:t>
      </w:r>
      <w:r w:rsidRPr="00BD2E8C">
        <w:rPr>
          <w:rFonts w:cs="Arial"/>
        </w:rPr>
        <w:t>ship-to/bill-to activity</w:t>
      </w:r>
      <w:r w:rsidRPr="00FA7086">
        <w:rPr>
          <w:rFonts w:cs="Arial"/>
        </w:rPr>
        <w:t>.</w:t>
      </w:r>
    </w:p>
    <w:p w14:paraId="65342558" w14:textId="069BDABD"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 xml:space="preserve">1.6.1.2.  </w:t>
      </w:r>
      <w:r w:rsidRPr="00FA7086">
        <w:rPr>
          <w:rFonts w:cs="Arial"/>
        </w:rPr>
        <w:t xml:space="preserve">M&amp;S may indicate that no status is to be provided to </w:t>
      </w:r>
      <w:r w:rsidRPr="00BD2E8C">
        <w:rPr>
          <w:rFonts w:cs="Arial"/>
        </w:rPr>
        <w:t xml:space="preserve">the requisitioner or the ship-to/bill-to activity </w:t>
      </w:r>
      <w:r w:rsidRPr="00FA7086">
        <w:rPr>
          <w:rFonts w:cs="Arial"/>
        </w:rPr>
        <w:t>(M&amp;S O and Y).</w:t>
      </w:r>
    </w:p>
    <w:p w14:paraId="1C898A65" w14:textId="24234344"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1.6.1.3.</w:t>
      </w:r>
      <w:r w:rsidRPr="00FA7086">
        <w:rPr>
          <w:rFonts w:cs="Arial"/>
        </w:rPr>
        <w:t xml:space="preserve">  M&amp;S may indicate that status is restricted to the </w:t>
      </w:r>
      <w:r w:rsidRPr="00BD2E8C">
        <w:rPr>
          <w:rFonts w:cs="Arial"/>
        </w:rPr>
        <w:t>S</w:t>
      </w:r>
      <w:r w:rsidRPr="00FA7086">
        <w:rPr>
          <w:rFonts w:cs="Arial"/>
          <w:szCs w:val="24"/>
        </w:rPr>
        <w:t xml:space="preserve">econdary </w:t>
      </w:r>
      <w:r w:rsidRPr="00BD2E8C">
        <w:rPr>
          <w:rFonts w:cs="Arial"/>
          <w:szCs w:val="24"/>
        </w:rPr>
        <w:t>I</w:t>
      </w:r>
      <w:r w:rsidRPr="00FA7086">
        <w:rPr>
          <w:rFonts w:cs="Arial"/>
          <w:szCs w:val="24"/>
        </w:rPr>
        <w:t xml:space="preserve">nventory </w:t>
      </w:r>
      <w:r w:rsidRPr="00BD2E8C">
        <w:rPr>
          <w:rFonts w:cs="Arial"/>
          <w:szCs w:val="24"/>
        </w:rPr>
        <w:t>C</w:t>
      </w:r>
      <w:r w:rsidRPr="00FA7086">
        <w:rPr>
          <w:rFonts w:cs="Arial"/>
          <w:szCs w:val="24"/>
        </w:rPr>
        <w:t xml:space="preserve">ontrol </w:t>
      </w:r>
      <w:r w:rsidRPr="00BD2E8C">
        <w:rPr>
          <w:rFonts w:cs="Arial"/>
          <w:szCs w:val="24"/>
        </w:rPr>
        <w:t>A</w:t>
      </w:r>
      <w:r w:rsidRPr="00FA7086">
        <w:rPr>
          <w:rFonts w:cs="Arial"/>
          <w:szCs w:val="24"/>
        </w:rPr>
        <w:t>ctivity</w:t>
      </w:r>
      <w:r w:rsidRPr="00FA7086">
        <w:rPr>
          <w:rFonts w:cs="Arial"/>
        </w:rPr>
        <w:t xml:space="preserve"> (SICA) </w:t>
      </w:r>
      <w:r w:rsidRPr="00BD2E8C">
        <w:rPr>
          <w:rFonts w:cs="Arial"/>
        </w:rPr>
        <w:t>identified by the</w:t>
      </w:r>
      <w:r w:rsidRPr="00FA7086">
        <w:rPr>
          <w:rFonts w:cs="Arial"/>
        </w:rPr>
        <w:t xml:space="preserve"> </w:t>
      </w:r>
      <w:r w:rsidRPr="00BD2E8C">
        <w:rPr>
          <w:rFonts w:cs="Arial"/>
        </w:rPr>
        <w:t xml:space="preserve">distribution code (first position) </w:t>
      </w:r>
      <w:r w:rsidRPr="00FA7086">
        <w:rPr>
          <w:rFonts w:cs="Arial"/>
        </w:rPr>
        <w:t>under all circumstances on transactions for nonconsumable items (M&amp;S 8).</w:t>
      </w:r>
    </w:p>
    <w:p w14:paraId="638F0DF8" w14:textId="77D8452E"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00F27BCA">
        <w:rPr>
          <w:rFonts w:cs="Arial"/>
        </w:rPr>
        <w:t>AP7</w:t>
      </w:r>
      <w:r w:rsidRPr="00FA7086">
        <w:rPr>
          <w:rFonts w:cs="Arial"/>
        </w:rPr>
        <w:t>.4.</w:t>
      </w:r>
      <w:r w:rsidRPr="00BD2E8C">
        <w:rPr>
          <w:rFonts w:cs="Arial"/>
        </w:rPr>
        <w:t>1.6.2.</w:t>
      </w:r>
      <w:r w:rsidRPr="00FA7086">
        <w:rPr>
          <w:rFonts w:cs="Arial"/>
        </w:rPr>
        <w:t xml:space="preserve">  With the exception of M&amp;S 8, M&amp;S codes do not apply to</w:t>
      </w:r>
      <w:r w:rsidRPr="00BD2E8C">
        <w:rPr>
          <w:rFonts w:cs="Arial"/>
        </w:rPr>
        <w:t>:</w:t>
      </w:r>
    </w:p>
    <w:p w14:paraId="0217D5AA" w14:textId="3EE2E41E"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1.6.2.1.</w:t>
      </w:r>
      <w:r w:rsidRPr="00FA7086">
        <w:rPr>
          <w:rFonts w:cs="Arial"/>
        </w:rPr>
        <w:t xml:space="preserve">  </w:t>
      </w:r>
      <w:r w:rsidRPr="00BD2E8C">
        <w:rPr>
          <w:rFonts w:cs="Arial"/>
        </w:rPr>
        <w:t>T</w:t>
      </w:r>
      <w:r w:rsidRPr="00FA7086">
        <w:rPr>
          <w:rFonts w:cs="Arial"/>
        </w:rPr>
        <w:t>he mandatory provision of shipment status to all valid status recipients.</w:t>
      </w:r>
    </w:p>
    <w:p w14:paraId="676C83D1" w14:textId="2156326F"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1.6.2.2.</w:t>
      </w:r>
      <w:r w:rsidRPr="00FA7086">
        <w:rPr>
          <w:rFonts w:cs="Arial"/>
        </w:rPr>
        <w:t xml:space="preserve">  Rejection or cancellation status.</w:t>
      </w:r>
    </w:p>
    <w:p w14:paraId="4909D772" w14:textId="02D99682"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 xml:space="preserve">1.6.2.3. </w:t>
      </w:r>
      <w:r w:rsidRPr="00FA7086">
        <w:rPr>
          <w:rFonts w:cs="Arial"/>
        </w:rPr>
        <w:t xml:space="preserve"> Responses to follow</w:t>
      </w:r>
      <w:r w:rsidRPr="00BD2E8C">
        <w:rPr>
          <w:rFonts w:cs="Arial"/>
        </w:rPr>
        <w:t>-</w:t>
      </w:r>
      <w:r w:rsidRPr="00FA7086">
        <w:rPr>
          <w:rFonts w:cs="Arial"/>
        </w:rPr>
        <w:t>ups.</w:t>
      </w:r>
    </w:p>
    <w:p w14:paraId="199B1E30" w14:textId="706FA5F5"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1.6.2.4.</w:t>
      </w:r>
      <w:r w:rsidRPr="00FA7086">
        <w:rPr>
          <w:rFonts w:cs="Arial"/>
        </w:rPr>
        <w:t xml:space="preserve"> Status responses to MOV response documents.</w:t>
      </w:r>
    </w:p>
    <w:p w14:paraId="0274E785" w14:textId="063E92B5" w:rsidR="00FA7086" w:rsidRPr="00FA7086" w:rsidRDefault="00B66BFE" w:rsidP="00FA7086">
      <w:pPr>
        <w:tabs>
          <w:tab w:val="left" w:pos="540"/>
          <w:tab w:val="left" w:pos="1080"/>
          <w:tab w:val="left" w:pos="1620"/>
        </w:tabs>
        <w:spacing w:after="240"/>
        <w:rPr>
          <w:rFonts w:cs="Arial"/>
        </w:rPr>
      </w:pPr>
      <w:r w:rsidRPr="00FA7086">
        <w:rPr>
          <w:rFonts w:cs="Arial"/>
        </w:rPr>
        <w:lastRenderedPageBreak/>
        <w:tab/>
      </w:r>
      <w:r w:rsidRPr="00FA7086">
        <w:rPr>
          <w:rFonts w:cs="Arial"/>
        </w:rPr>
        <w:tab/>
      </w:r>
      <w:r w:rsidR="00F27BCA">
        <w:rPr>
          <w:rFonts w:cs="Arial"/>
        </w:rPr>
        <w:t>AP7</w:t>
      </w:r>
      <w:r w:rsidR="00FA7086" w:rsidRPr="00FA7086">
        <w:rPr>
          <w:rFonts w:cs="Arial"/>
        </w:rPr>
        <w:t>.4.</w:t>
      </w:r>
      <w:r w:rsidR="00FA7086" w:rsidRPr="00BD2E8C">
        <w:rPr>
          <w:rFonts w:cs="Arial"/>
        </w:rPr>
        <w:t xml:space="preserve">1.6.3.  </w:t>
      </w:r>
      <w:r w:rsidR="00FA7086" w:rsidRPr="00FA7086">
        <w:rPr>
          <w:rFonts w:cs="Arial"/>
        </w:rPr>
        <w:t xml:space="preserve">M&amp;S codes do not inhibit the mandatory furnishing of 100 percent supply and shipment status to the activity designated by a significant entry in the </w:t>
      </w:r>
      <w:r w:rsidR="00FA7086" w:rsidRPr="00BD2E8C">
        <w:rPr>
          <w:rFonts w:cs="Arial"/>
        </w:rPr>
        <w:t>distribution code (first position)</w:t>
      </w:r>
      <w:r w:rsidR="00FA7086" w:rsidRPr="00FA7086">
        <w:rPr>
          <w:rFonts w:cs="Arial"/>
        </w:rPr>
        <w:t>.</w:t>
      </w:r>
    </w:p>
    <w:p w14:paraId="59E2800E" w14:textId="298EE71F"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00F27BCA">
        <w:rPr>
          <w:rFonts w:cs="Arial"/>
        </w:rPr>
        <w:t>AP7</w:t>
      </w:r>
      <w:r w:rsidRPr="00FA7086">
        <w:rPr>
          <w:rFonts w:cs="Arial"/>
        </w:rPr>
        <w:t>.4.</w:t>
      </w:r>
      <w:r w:rsidRPr="00BD2E8C">
        <w:rPr>
          <w:rFonts w:cs="Arial"/>
        </w:rPr>
        <w:t xml:space="preserve">1.6.4.  </w:t>
      </w:r>
      <w:r w:rsidRPr="00FA7086">
        <w:rPr>
          <w:rFonts w:cs="Arial"/>
        </w:rPr>
        <w:t xml:space="preserve">M&amp;S Y is an exception to the general requirement for 100 percent status to the activity designated by a significant entry in </w:t>
      </w:r>
      <w:r w:rsidRPr="00BD2E8C">
        <w:rPr>
          <w:rFonts w:cs="Arial"/>
        </w:rPr>
        <w:t>the distribution code (first position)</w:t>
      </w:r>
      <w:r w:rsidRPr="00FA7086">
        <w:rPr>
          <w:rFonts w:cs="Arial"/>
        </w:rPr>
        <w:t xml:space="preserve">, and specifies that only exception status and shipment status are wanted. </w:t>
      </w:r>
    </w:p>
    <w:p w14:paraId="61576F67" w14:textId="6A456108"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00F27BCA">
        <w:rPr>
          <w:rFonts w:cs="Arial"/>
        </w:rPr>
        <w:t>AP7</w:t>
      </w:r>
      <w:r w:rsidRPr="00FA7086">
        <w:rPr>
          <w:rFonts w:cs="Arial"/>
        </w:rPr>
        <w:t>.4.</w:t>
      </w:r>
      <w:r w:rsidRPr="00BD2E8C">
        <w:rPr>
          <w:rFonts w:cs="Arial"/>
        </w:rPr>
        <w:t xml:space="preserve">1.6.5.  </w:t>
      </w:r>
      <w:r w:rsidRPr="00FA7086">
        <w:rPr>
          <w:rFonts w:cs="Arial"/>
        </w:rPr>
        <w:t>M&amp;S codes designate the following types or combinations of status is required:</w:t>
      </w:r>
    </w:p>
    <w:p w14:paraId="7259BCD9" w14:textId="02A868C5"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1.6.5.1.</w:t>
      </w:r>
      <w:r w:rsidRPr="00FA7086">
        <w:rPr>
          <w:rFonts w:cs="Arial"/>
        </w:rPr>
        <w:t xml:space="preserve">  Exception status.</w:t>
      </w:r>
    </w:p>
    <w:p w14:paraId="77AEC963" w14:textId="11C80085"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 xml:space="preserve">1.6.5.2.   </w:t>
      </w:r>
      <w:r w:rsidRPr="00FA7086">
        <w:rPr>
          <w:rFonts w:cs="Arial"/>
        </w:rPr>
        <w:t>One hundred percent supply status.</w:t>
      </w:r>
    </w:p>
    <w:p w14:paraId="0770E536" w14:textId="40C8B593"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1.6.5.3.</w:t>
      </w:r>
      <w:r w:rsidRPr="00FA7086">
        <w:rPr>
          <w:rFonts w:cs="Arial"/>
        </w:rPr>
        <w:t xml:space="preserve">  Exception status and shipment status.</w:t>
      </w:r>
    </w:p>
    <w:p w14:paraId="4793D860" w14:textId="6EEAAF47" w:rsidR="00FA7086" w:rsidRPr="00FA7086" w:rsidRDefault="00FA7086" w:rsidP="00FA7086">
      <w:pPr>
        <w:tabs>
          <w:tab w:val="left" w:pos="540"/>
          <w:tab w:val="left" w:pos="1080"/>
          <w:tab w:val="left" w:pos="1620"/>
        </w:tabs>
        <w:spacing w:after="240"/>
        <w:rPr>
          <w:rFonts w:cs="Arial"/>
        </w:rPr>
      </w:pPr>
      <w:r w:rsidRPr="00FA7086">
        <w:rPr>
          <w:rFonts w:cs="Arial"/>
        </w:rPr>
        <w:tab/>
      </w:r>
      <w:r w:rsidRPr="00FA7086">
        <w:rPr>
          <w:rFonts w:cs="Arial"/>
        </w:rPr>
        <w:tab/>
      </w:r>
      <w:r w:rsidRPr="00FA7086">
        <w:rPr>
          <w:rFonts w:cs="Arial"/>
        </w:rPr>
        <w:tab/>
      </w:r>
      <w:r w:rsidR="00F27BCA">
        <w:rPr>
          <w:rFonts w:cs="Arial"/>
        </w:rPr>
        <w:t>AP7</w:t>
      </w:r>
      <w:r w:rsidRPr="00FA7086">
        <w:rPr>
          <w:rFonts w:cs="Arial"/>
        </w:rPr>
        <w:t>.4.</w:t>
      </w:r>
      <w:r w:rsidRPr="00BD2E8C">
        <w:rPr>
          <w:rFonts w:cs="Arial"/>
        </w:rPr>
        <w:t xml:space="preserve">1.6.5.4.  </w:t>
      </w:r>
      <w:r w:rsidRPr="00FA7086">
        <w:rPr>
          <w:rFonts w:cs="Arial"/>
        </w:rPr>
        <w:t>One hundred percent supply status and shipment status</w:t>
      </w:r>
    </w:p>
    <w:p w14:paraId="269769F9" w14:textId="3C531FB1" w:rsidR="003F7E08" w:rsidRPr="00150E59" w:rsidRDefault="00B66BFE" w:rsidP="00FA7086">
      <w:pPr>
        <w:tabs>
          <w:tab w:val="left" w:pos="540"/>
          <w:tab w:val="left" w:pos="1080"/>
          <w:tab w:val="left" w:pos="1620"/>
        </w:tabs>
        <w:spacing w:after="240"/>
        <w:rPr>
          <w:rFonts w:cs="Arial"/>
        </w:rPr>
      </w:pPr>
      <w:r w:rsidRPr="00150E59">
        <w:rPr>
          <w:rFonts w:cs="Arial"/>
        </w:rPr>
        <w:tab/>
      </w:r>
      <w:r w:rsidR="00F27BCA">
        <w:rPr>
          <w:rFonts w:cs="Arial"/>
        </w:rPr>
        <w:t>AP7</w:t>
      </w:r>
      <w:r w:rsidR="00C05110" w:rsidRPr="00150E59">
        <w:rPr>
          <w:rFonts w:cs="Arial"/>
        </w:rPr>
        <w:t>.4.</w:t>
      </w:r>
      <w:r w:rsidR="000C29F2" w:rsidRPr="00BD2E8C">
        <w:rPr>
          <w:rFonts w:cs="Arial"/>
        </w:rPr>
        <w:t>1</w:t>
      </w:r>
      <w:r w:rsidR="00C05110" w:rsidRPr="00BD2E8C">
        <w:rPr>
          <w:rFonts w:cs="Arial"/>
        </w:rPr>
        <w:t>.</w:t>
      </w:r>
      <w:r w:rsidR="000C29F2" w:rsidRPr="00BD2E8C">
        <w:rPr>
          <w:rFonts w:cs="Arial"/>
        </w:rPr>
        <w:t>7</w:t>
      </w:r>
      <w:r w:rsidR="00C05110" w:rsidRPr="00BD2E8C">
        <w:rPr>
          <w:rFonts w:cs="Arial"/>
        </w:rPr>
        <w:t>.</w:t>
      </w:r>
      <w:r w:rsidR="00C05110" w:rsidRPr="00150E59">
        <w:rPr>
          <w:rFonts w:cs="Arial"/>
        </w:rPr>
        <w:t xml:space="preserve">  </w:t>
      </w:r>
      <w:r w:rsidR="003F7E08" w:rsidRPr="00150E59">
        <w:rPr>
          <w:rFonts w:cs="Arial"/>
        </w:rPr>
        <w:t xml:space="preserve">On MRP </w:t>
      </w:r>
      <w:r w:rsidR="000C29F2" w:rsidRPr="00D21FC8">
        <w:rPr>
          <w:rFonts w:cs="Arial"/>
        </w:rPr>
        <w:t>transactions</w:t>
      </w:r>
      <w:r w:rsidR="000C29F2" w:rsidRPr="00BD2E8C">
        <w:rPr>
          <w:rFonts w:cs="Arial"/>
        </w:rPr>
        <w:t>:</w:t>
      </w:r>
    </w:p>
    <w:p w14:paraId="7D37A87D" w14:textId="5BF3AE87" w:rsidR="000C29F2" w:rsidRPr="00150E59" w:rsidRDefault="00B66BFE" w:rsidP="000C29F2">
      <w:pPr>
        <w:tabs>
          <w:tab w:val="left" w:pos="540"/>
          <w:tab w:val="left" w:pos="1080"/>
          <w:tab w:val="left" w:pos="1620"/>
        </w:tabs>
        <w:spacing w:after="240"/>
        <w:rPr>
          <w:rFonts w:cs="Arial"/>
        </w:rPr>
      </w:pPr>
      <w:r w:rsidRPr="00150E59">
        <w:rPr>
          <w:rFonts w:cs="Arial"/>
        </w:rPr>
        <w:tab/>
      </w:r>
      <w:r w:rsidRPr="00150E59">
        <w:rPr>
          <w:rFonts w:cs="Arial"/>
        </w:rPr>
        <w:tab/>
      </w:r>
      <w:r w:rsidR="00F27BCA">
        <w:rPr>
          <w:rFonts w:cs="Arial"/>
        </w:rPr>
        <w:t>AP7</w:t>
      </w:r>
      <w:r w:rsidR="000C29F2" w:rsidRPr="00150E59">
        <w:rPr>
          <w:rFonts w:cs="Arial"/>
        </w:rPr>
        <w:t>.4.</w:t>
      </w:r>
      <w:r w:rsidR="000C29F2" w:rsidRPr="00BD2E8C">
        <w:rPr>
          <w:rFonts w:cs="Arial"/>
        </w:rPr>
        <w:t xml:space="preserve">1.7.1. </w:t>
      </w:r>
      <w:r w:rsidR="000C29F2" w:rsidRPr="00150E59">
        <w:rPr>
          <w:rFonts w:cs="Arial"/>
        </w:rPr>
        <w:t xml:space="preserve"> M&amp;S </w:t>
      </w:r>
      <w:r w:rsidR="000C29F2" w:rsidRPr="00BD2E8C">
        <w:rPr>
          <w:rFonts w:cs="Arial"/>
        </w:rPr>
        <w:t>codes</w:t>
      </w:r>
      <w:r w:rsidR="000C29F2" w:rsidRPr="00150E59">
        <w:rPr>
          <w:rFonts w:cs="Arial"/>
        </w:rPr>
        <w:t xml:space="preserve"> </w:t>
      </w:r>
      <w:r w:rsidR="000C29F2" w:rsidRPr="00BD2E8C">
        <w:rPr>
          <w:rFonts w:cs="Arial"/>
        </w:rPr>
        <w:t>specify</w:t>
      </w:r>
      <w:r w:rsidR="000C29F2" w:rsidRPr="00150E59">
        <w:rPr>
          <w:rFonts w:cs="Arial"/>
        </w:rPr>
        <w:t xml:space="preserve"> the activity to receive replies to </w:t>
      </w:r>
      <w:r w:rsidR="000C29F2" w:rsidRPr="00BD2E8C">
        <w:rPr>
          <w:rFonts w:cs="Arial"/>
        </w:rPr>
        <w:t>asset</w:t>
      </w:r>
      <w:r w:rsidR="000C29F2" w:rsidRPr="00150E59">
        <w:rPr>
          <w:rFonts w:cs="Arial"/>
        </w:rPr>
        <w:t xml:space="preserve"> reports and related transactions output by ICPs/IMMs. </w:t>
      </w:r>
    </w:p>
    <w:p w14:paraId="5B47BDEB" w14:textId="2E7B5A18" w:rsidR="000C29F2" w:rsidRPr="000C29F2" w:rsidRDefault="000C29F2" w:rsidP="000C29F2">
      <w:pPr>
        <w:tabs>
          <w:tab w:val="left" w:pos="540"/>
          <w:tab w:val="left" w:pos="1080"/>
          <w:tab w:val="left" w:pos="1620"/>
        </w:tabs>
        <w:spacing w:after="240"/>
        <w:rPr>
          <w:rFonts w:cs="Arial"/>
        </w:rPr>
      </w:pPr>
      <w:r w:rsidRPr="000C29F2">
        <w:rPr>
          <w:rFonts w:cs="Arial"/>
        </w:rPr>
        <w:tab/>
      </w:r>
      <w:r w:rsidRPr="000C29F2">
        <w:rPr>
          <w:rFonts w:cs="Arial"/>
        </w:rPr>
        <w:tab/>
      </w:r>
      <w:r w:rsidR="00F27BCA">
        <w:rPr>
          <w:rFonts w:cs="Arial"/>
        </w:rPr>
        <w:t>AP7</w:t>
      </w:r>
      <w:r w:rsidRPr="000C29F2">
        <w:rPr>
          <w:rFonts w:cs="Arial"/>
        </w:rPr>
        <w:t>.4.</w:t>
      </w:r>
      <w:r w:rsidRPr="00BD2E8C">
        <w:rPr>
          <w:rFonts w:cs="Arial"/>
        </w:rPr>
        <w:t xml:space="preserve"> 1.7.2.  </w:t>
      </w:r>
      <w:r w:rsidRPr="000C29F2">
        <w:rPr>
          <w:rFonts w:cs="Arial"/>
        </w:rPr>
        <w:t xml:space="preserve">M&amp;S </w:t>
      </w:r>
      <w:r w:rsidRPr="00BD2E8C">
        <w:rPr>
          <w:rFonts w:cs="Arial"/>
        </w:rPr>
        <w:t>codes</w:t>
      </w:r>
      <w:r w:rsidRPr="000C29F2">
        <w:rPr>
          <w:rFonts w:cs="Arial"/>
        </w:rPr>
        <w:t xml:space="preserve"> may indicate that such replies </w:t>
      </w:r>
      <w:r w:rsidRPr="00BD2E8C">
        <w:rPr>
          <w:rFonts w:cs="Arial"/>
        </w:rPr>
        <w:t>must</w:t>
      </w:r>
      <w:r w:rsidRPr="000C29F2">
        <w:rPr>
          <w:rFonts w:cs="Arial"/>
        </w:rPr>
        <w:t xml:space="preserve"> be routed to the </w:t>
      </w:r>
      <w:r w:rsidRPr="00BD2E8C">
        <w:rPr>
          <w:rFonts w:cs="Arial"/>
        </w:rPr>
        <w:t>credit-to</w:t>
      </w:r>
      <w:r w:rsidRPr="000C29F2">
        <w:rPr>
          <w:rFonts w:cs="Arial"/>
        </w:rPr>
        <w:t xml:space="preserve"> activity</w:t>
      </w:r>
      <w:r w:rsidRPr="00BD2E8C">
        <w:rPr>
          <w:rFonts w:cs="Arial"/>
        </w:rPr>
        <w:t xml:space="preserve"> associated with the Fund Code </w:t>
      </w:r>
      <w:r w:rsidRPr="000C29F2">
        <w:rPr>
          <w:rFonts w:cs="Arial"/>
        </w:rPr>
        <w:t>(M&amp;S 9).</w:t>
      </w:r>
    </w:p>
    <w:p w14:paraId="6A4DB99C" w14:textId="4D3C1785" w:rsidR="000C29F2" w:rsidRPr="000C29F2" w:rsidRDefault="000C29F2" w:rsidP="000C29F2">
      <w:pPr>
        <w:tabs>
          <w:tab w:val="left" w:pos="540"/>
          <w:tab w:val="left" w:pos="1080"/>
          <w:tab w:val="left" w:pos="1620"/>
        </w:tabs>
        <w:spacing w:after="240"/>
        <w:rPr>
          <w:rFonts w:cs="Arial"/>
        </w:rPr>
      </w:pPr>
      <w:r w:rsidRPr="000C29F2">
        <w:rPr>
          <w:rFonts w:cs="Arial"/>
        </w:rPr>
        <w:tab/>
      </w:r>
      <w:r w:rsidRPr="000C29F2">
        <w:rPr>
          <w:rFonts w:cs="Arial"/>
        </w:rPr>
        <w:tab/>
      </w:r>
      <w:r w:rsidR="00F27BCA">
        <w:rPr>
          <w:rFonts w:cs="Arial"/>
        </w:rPr>
        <w:t>AP7</w:t>
      </w:r>
      <w:r w:rsidRPr="000C29F2">
        <w:rPr>
          <w:rFonts w:cs="Arial"/>
        </w:rPr>
        <w:t>.4.</w:t>
      </w:r>
      <w:r w:rsidRPr="00BD2E8C">
        <w:rPr>
          <w:rFonts w:cs="Arial"/>
        </w:rPr>
        <w:t xml:space="preserve"> 1.7.3.  </w:t>
      </w:r>
      <w:r w:rsidRPr="000C29F2">
        <w:rPr>
          <w:rFonts w:cs="Arial"/>
        </w:rPr>
        <w:t xml:space="preserve">When the SICA is identified as the </w:t>
      </w:r>
      <w:r w:rsidRPr="00BD2E8C">
        <w:rPr>
          <w:rFonts w:cs="Arial"/>
        </w:rPr>
        <w:t>credit-to activity associated with the fund code</w:t>
      </w:r>
      <w:r w:rsidRPr="000C29F2">
        <w:rPr>
          <w:rFonts w:cs="Arial"/>
        </w:rPr>
        <w:t xml:space="preserve">, M&amp;S 9 will be entered (optional for </w:t>
      </w:r>
      <w:r w:rsidRPr="00BD2E8C">
        <w:rPr>
          <w:rFonts w:cs="Arial"/>
        </w:rPr>
        <w:t>automatic return notification)</w:t>
      </w:r>
      <w:r w:rsidRPr="000C29F2">
        <w:rPr>
          <w:rFonts w:cs="Arial"/>
        </w:rPr>
        <w:t>.</w:t>
      </w:r>
    </w:p>
    <w:p w14:paraId="396C5026" w14:textId="155F2A20" w:rsidR="000C29F2" w:rsidRPr="000C29F2" w:rsidRDefault="000C29F2" w:rsidP="000C29F2">
      <w:pPr>
        <w:tabs>
          <w:tab w:val="left" w:pos="540"/>
          <w:tab w:val="left" w:pos="1080"/>
          <w:tab w:val="left" w:pos="1620"/>
        </w:tabs>
        <w:spacing w:after="240"/>
        <w:rPr>
          <w:rFonts w:cs="Arial"/>
        </w:rPr>
      </w:pPr>
      <w:r w:rsidRPr="000C29F2">
        <w:rPr>
          <w:rFonts w:cs="Arial"/>
        </w:rPr>
        <w:tab/>
      </w:r>
      <w:r w:rsidR="00F27BCA">
        <w:rPr>
          <w:rFonts w:cs="Arial"/>
        </w:rPr>
        <w:t>AP7</w:t>
      </w:r>
      <w:r w:rsidRPr="000C29F2">
        <w:rPr>
          <w:rFonts w:cs="Arial"/>
        </w:rPr>
        <w:t>.4.</w:t>
      </w:r>
      <w:r w:rsidRPr="00BD2E8C">
        <w:rPr>
          <w:rFonts w:cs="Arial"/>
        </w:rPr>
        <w:t>1.8.  DLA Transaction Services’ Defense Automatic Addressing System (</w:t>
      </w:r>
      <w:r w:rsidRPr="000C29F2">
        <w:rPr>
          <w:rFonts w:cs="Arial"/>
        </w:rPr>
        <w:t>DAAS</w:t>
      </w:r>
      <w:r w:rsidRPr="00BD2E8C">
        <w:rPr>
          <w:rFonts w:cs="Arial"/>
        </w:rPr>
        <w:t>)</w:t>
      </w:r>
      <w:r w:rsidRPr="000C29F2">
        <w:rPr>
          <w:rFonts w:cs="Arial"/>
        </w:rPr>
        <w:t xml:space="preserve"> Transmission Rules.  Regardless of the M&amp;S cited, sources of supply or designated activities </w:t>
      </w:r>
      <w:r w:rsidRPr="00BD2E8C">
        <w:rPr>
          <w:rFonts w:cs="Arial"/>
        </w:rPr>
        <w:t>must</w:t>
      </w:r>
      <w:r w:rsidRPr="000C29F2">
        <w:rPr>
          <w:rFonts w:cs="Arial"/>
        </w:rPr>
        <w:t xml:space="preserve"> transmit all machine sensible status </w:t>
      </w:r>
      <w:r w:rsidRPr="00BD2E8C">
        <w:rPr>
          <w:rFonts w:cs="Arial"/>
        </w:rPr>
        <w:t>transactions</w:t>
      </w:r>
      <w:r w:rsidRPr="000C29F2">
        <w:rPr>
          <w:rFonts w:cs="Arial"/>
        </w:rPr>
        <w:t xml:space="preserve"> via DAAS.  Upon receipt of the status, DAAS </w:t>
      </w:r>
      <w:r w:rsidRPr="00BD2E8C">
        <w:rPr>
          <w:rFonts w:cs="Arial"/>
        </w:rPr>
        <w:t>will</w:t>
      </w:r>
      <w:r w:rsidRPr="000C29F2">
        <w:rPr>
          <w:rFonts w:cs="Arial"/>
        </w:rPr>
        <w:t xml:space="preserve"> determine the appropriate </w:t>
      </w:r>
      <w:r w:rsidRPr="00BD2E8C">
        <w:rPr>
          <w:rFonts w:cs="Arial"/>
        </w:rPr>
        <w:t>business process for dissemination</w:t>
      </w:r>
      <w:r w:rsidRPr="000C29F2">
        <w:rPr>
          <w:rFonts w:cs="Arial"/>
        </w:rPr>
        <w:t xml:space="preserve"> as follows:</w:t>
      </w:r>
    </w:p>
    <w:p w14:paraId="0B4B8D09" w14:textId="7EDFDB2C" w:rsidR="000C29F2" w:rsidRPr="000C29F2" w:rsidRDefault="000C29F2" w:rsidP="000C29F2">
      <w:pPr>
        <w:tabs>
          <w:tab w:val="left" w:pos="540"/>
          <w:tab w:val="left" w:pos="1080"/>
          <w:tab w:val="left" w:pos="1620"/>
        </w:tabs>
        <w:spacing w:after="240"/>
        <w:rPr>
          <w:rFonts w:cs="Arial"/>
        </w:rPr>
      </w:pPr>
      <w:r w:rsidRPr="000C29F2">
        <w:rPr>
          <w:rFonts w:cs="Arial"/>
        </w:rPr>
        <w:tab/>
      </w:r>
      <w:r w:rsidRPr="000C29F2">
        <w:rPr>
          <w:rFonts w:cs="Arial"/>
        </w:rPr>
        <w:tab/>
      </w:r>
      <w:r w:rsidR="00F27BCA">
        <w:rPr>
          <w:rFonts w:cs="Arial"/>
        </w:rPr>
        <w:t>AP7</w:t>
      </w:r>
      <w:r w:rsidRPr="000C29F2">
        <w:rPr>
          <w:rFonts w:cs="Arial"/>
        </w:rPr>
        <w:t>.4.</w:t>
      </w:r>
      <w:r w:rsidRPr="00BD2E8C">
        <w:rPr>
          <w:rFonts w:cs="Arial"/>
        </w:rPr>
        <w:t>1.8.1.</w:t>
      </w:r>
      <w:r w:rsidRPr="000C29F2">
        <w:rPr>
          <w:rFonts w:cs="Arial"/>
        </w:rPr>
        <w:t xml:space="preserve"> For transmission services, refer to the DAAS Manual, DLM 4000.25-4, </w:t>
      </w:r>
      <w:r w:rsidRPr="00BD2E8C">
        <w:rPr>
          <w:rFonts w:cs="Arial"/>
        </w:rPr>
        <w:t>Chapter 5 and Appendix 1.1</w:t>
      </w:r>
      <w:r w:rsidRPr="000C29F2">
        <w:rPr>
          <w:rFonts w:cs="Arial"/>
        </w:rPr>
        <w:t xml:space="preserve">.  </w:t>
      </w:r>
    </w:p>
    <w:p w14:paraId="6C6E53D4" w14:textId="6CE8271C" w:rsidR="000C29F2" w:rsidRPr="00BD2E8C" w:rsidRDefault="000C29F2" w:rsidP="000C29F2">
      <w:pPr>
        <w:tabs>
          <w:tab w:val="left" w:pos="540"/>
          <w:tab w:val="left" w:pos="1080"/>
          <w:tab w:val="left" w:pos="1620"/>
        </w:tabs>
        <w:spacing w:after="240"/>
        <w:rPr>
          <w:rFonts w:cs="Arial"/>
        </w:rPr>
      </w:pPr>
      <w:r w:rsidRPr="000C29F2">
        <w:rPr>
          <w:rFonts w:cs="Arial"/>
        </w:rPr>
        <w:tab/>
      </w:r>
      <w:r w:rsidRPr="000C29F2">
        <w:rPr>
          <w:rFonts w:cs="Arial"/>
        </w:rPr>
        <w:tab/>
      </w:r>
      <w:r w:rsidR="00F27BCA">
        <w:rPr>
          <w:rFonts w:cs="Arial"/>
        </w:rPr>
        <w:t>AP7</w:t>
      </w:r>
      <w:r w:rsidRPr="000C29F2">
        <w:rPr>
          <w:rFonts w:cs="Arial"/>
        </w:rPr>
        <w:t>.4.</w:t>
      </w:r>
      <w:r w:rsidRPr="00BD2E8C">
        <w:rPr>
          <w:rFonts w:cs="Arial"/>
        </w:rPr>
        <w:t xml:space="preserve"> 1.8.2.</w:t>
      </w:r>
      <w:r w:rsidRPr="000C29F2">
        <w:rPr>
          <w:rFonts w:cs="Arial"/>
        </w:rPr>
        <w:t xml:space="preserve">  When a</w:t>
      </w:r>
      <w:r w:rsidRPr="00BD2E8C">
        <w:rPr>
          <w:rFonts w:cs="Arial"/>
        </w:rPr>
        <w:t>n</w:t>
      </w:r>
      <w:r w:rsidRPr="000C29F2">
        <w:rPr>
          <w:rFonts w:cs="Arial"/>
        </w:rPr>
        <w:t xml:space="preserve"> addressee is not served by by DAAS, DAAS status </w:t>
      </w:r>
      <w:r w:rsidRPr="00BD2E8C">
        <w:rPr>
          <w:rFonts w:cs="Arial"/>
        </w:rPr>
        <w:t>can</w:t>
      </w:r>
      <w:r w:rsidRPr="000C29F2">
        <w:rPr>
          <w:rFonts w:cs="Arial"/>
        </w:rPr>
        <w:t xml:space="preserve">not be provided </w:t>
      </w:r>
      <w:r w:rsidRPr="00BD2E8C">
        <w:rPr>
          <w:rFonts w:cs="Arial"/>
        </w:rPr>
        <w:t>directly to that addressee. These activities must rely on web portal visibility</w:t>
      </w:r>
      <w:r w:rsidRPr="000C29F2">
        <w:rPr>
          <w:rFonts w:cs="Arial"/>
        </w:rPr>
        <w:t xml:space="preserve">.  </w:t>
      </w:r>
    </w:p>
    <w:p w14:paraId="5F92E9BE" w14:textId="21314E64" w:rsidR="000C29F2" w:rsidRPr="000C29F2" w:rsidRDefault="000C29F2" w:rsidP="000C29F2">
      <w:pPr>
        <w:tabs>
          <w:tab w:val="left" w:pos="540"/>
          <w:tab w:val="left" w:pos="1080"/>
          <w:tab w:val="left" w:pos="1620"/>
        </w:tabs>
        <w:spacing w:after="240"/>
        <w:rPr>
          <w:rFonts w:cs="Arial"/>
        </w:rPr>
      </w:pPr>
      <w:r w:rsidRPr="000C29F2">
        <w:rPr>
          <w:rFonts w:cs="Arial"/>
        </w:rPr>
        <w:tab/>
      </w:r>
      <w:r w:rsidRPr="000C29F2">
        <w:rPr>
          <w:rFonts w:cs="Arial"/>
        </w:rPr>
        <w:tab/>
      </w:r>
      <w:r w:rsidR="00F27BCA">
        <w:rPr>
          <w:rFonts w:cs="Arial"/>
        </w:rPr>
        <w:t>AP7</w:t>
      </w:r>
      <w:r w:rsidRPr="00BD2E8C">
        <w:rPr>
          <w:rFonts w:cs="Arial"/>
        </w:rPr>
        <w:t>.4. 1.8.3.  DAAS will forward status addressed to a non-DoD agency addressee to GSA to provide visibility via the GSA Advantage web portal.</w:t>
      </w:r>
      <w:r w:rsidRPr="00BD2E8C">
        <w:rPr>
          <w:rFonts w:cs="Arial"/>
          <w:vertAlign w:val="superscript"/>
        </w:rPr>
        <w:footnoteReference w:id="1"/>
      </w:r>
    </w:p>
    <w:p w14:paraId="221E1649" w14:textId="77559294" w:rsidR="000C29F2" w:rsidRPr="000C29F2" w:rsidRDefault="000C29F2" w:rsidP="000C29F2">
      <w:pPr>
        <w:tabs>
          <w:tab w:val="left" w:pos="540"/>
          <w:tab w:val="left" w:pos="1080"/>
          <w:tab w:val="left" w:pos="1620"/>
        </w:tabs>
        <w:spacing w:after="240"/>
        <w:rPr>
          <w:rFonts w:cs="Arial"/>
        </w:rPr>
      </w:pPr>
      <w:r w:rsidRPr="000C29F2">
        <w:rPr>
          <w:rFonts w:cs="Arial"/>
        </w:rPr>
        <w:lastRenderedPageBreak/>
        <w:tab/>
      </w:r>
      <w:r w:rsidRPr="000C29F2">
        <w:rPr>
          <w:rFonts w:cs="Arial"/>
        </w:rPr>
        <w:tab/>
      </w:r>
      <w:r w:rsidR="00F27BCA">
        <w:rPr>
          <w:rFonts w:cs="Arial"/>
        </w:rPr>
        <w:t>AP7</w:t>
      </w:r>
      <w:r w:rsidRPr="000C29F2">
        <w:rPr>
          <w:rFonts w:cs="Arial"/>
        </w:rPr>
        <w:t>.4.</w:t>
      </w:r>
      <w:r w:rsidRPr="00BD2E8C">
        <w:rPr>
          <w:rFonts w:cs="Arial"/>
        </w:rPr>
        <w:t xml:space="preserve"> 1.8.4.</w:t>
      </w:r>
      <w:r w:rsidRPr="000C29F2">
        <w:rPr>
          <w:rFonts w:cs="Arial"/>
        </w:rPr>
        <w:t xml:space="preserve">  Activities requiring the specialized processing must submit written justification to DLA Transaction Services for consideration.  These exception procedures apply only when DMS capability is not available.</w:t>
      </w:r>
    </w:p>
    <w:p w14:paraId="7749B673" w14:textId="7362EB5E" w:rsidR="000C29F2" w:rsidRPr="000C29F2" w:rsidRDefault="000C29F2" w:rsidP="000C29F2">
      <w:pPr>
        <w:tabs>
          <w:tab w:val="left" w:pos="540"/>
          <w:tab w:val="left" w:pos="1080"/>
          <w:tab w:val="left" w:pos="1620"/>
        </w:tabs>
        <w:spacing w:after="240"/>
        <w:rPr>
          <w:rFonts w:cs="Arial"/>
        </w:rPr>
      </w:pPr>
      <w:r w:rsidRPr="000C29F2">
        <w:rPr>
          <w:rFonts w:cs="Arial"/>
        </w:rPr>
        <w:tab/>
      </w:r>
      <w:r w:rsidRPr="000C29F2">
        <w:rPr>
          <w:rFonts w:cs="Arial"/>
        </w:rPr>
        <w:tab/>
      </w:r>
      <w:r w:rsidR="00F27BCA">
        <w:rPr>
          <w:rFonts w:cs="Arial"/>
        </w:rPr>
        <w:t>AP7</w:t>
      </w:r>
      <w:r w:rsidRPr="000C29F2">
        <w:rPr>
          <w:rFonts w:cs="Arial"/>
        </w:rPr>
        <w:t>.4.</w:t>
      </w:r>
      <w:r w:rsidRPr="00BD2E8C">
        <w:rPr>
          <w:rFonts w:cs="Arial"/>
        </w:rPr>
        <w:t xml:space="preserve">1.8.5.  </w:t>
      </w:r>
      <w:r w:rsidRPr="000C29F2">
        <w:rPr>
          <w:rFonts w:cs="Arial"/>
        </w:rPr>
        <w:t xml:space="preserve">When status </w:t>
      </w:r>
      <w:r w:rsidRPr="00BD2E8C">
        <w:rPr>
          <w:rFonts w:cs="Arial"/>
        </w:rPr>
        <w:t>is forwarded to DAAS for transmission to the appropriate status recipient</w:t>
      </w:r>
      <w:r w:rsidRPr="000C29F2">
        <w:rPr>
          <w:rFonts w:cs="Arial"/>
        </w:rPr>
        <w:t xml:space="preserve">, DAAS </w:t>
      </w:r>
      <w:r w:rsidRPr="00BD2E8C">
        <w:rPr>
          <w:rFonts w:cs="Arial"/>
        </w:rPr>
        <w:t>will</w:t>
      </w:r>
      <w:r w:rsidRPr="000C29F2">
        <w:rPr>
          <w:rFonts w:cs="Arial"/>
        </w:rPr>
        <w:t xml:space="preserve"> furnish </w:t>
      </w:r>
      <w:r w:rsidRPr="00BD2E8C">
        <w:rPr>
          <w:rFonts w:cs="Arial"/>
        </w:rPr>
        <w:t>applicable</w:t>
      </w:r>
      <w:r w:rsidR="00150E59" w:rsidRPr="00150E59">
        <w:rPr>
          <w:rFonts w:cs="Arial"/>
        </w:rPr>
        <w:t xml:space="preserve"> status </w:t>
      </w:r>
      <w:r w:rsidRPr="000C29F2">
        <w:rPr>
          <w:rFonts w:cs="Arial"/>
        </w:rPr>
        <w:t xml:space="preserve">based on </w:t>
      </w:r>
      <w:r w:rsidRPr="00BD2E8C">
        <w:rPr>
          <w:rFonts w:cs="Arial"/>
        </w:rPr>
        <w:t>DLMS</w:t>
      </w:r>
      <w:r w:rsidRPr="000C29F2">
        <w:rPr>
          <w:rFonts w:cs="Arial"/>
        </w:rPr>
        <w:t xml:space="preserve"> status distribution rules </w:t>
      </w:r>
      <w:r w:rsidRPr="00BD2E8C">
        <w:rPr>
          <w:rFonts w:cs="Arial"/>
        </w:rPr>
        <w:t>as prescribed in this appendix</w:t>
      </w:r>
      <w:r w:rsidRPr="000C29F2">
        <w:rPr>
          <w:rFonts w:cs="Arial"/>
        </w:rPr>
        <w:t xml:space="preserve">.  </w:t>
      </w:r>
    </w:p>
    <w:p w14:paraId="61E94200" w14:textId="7E364487" w:rsidR="000C29F2" w:rsidRPr="000C29F2" w:rsidRDefault="000C29F2" w:rsidP="000C29F2">
      <w:pPr>
        <w:tabs>
          <w:tab w:val="left" w:pos="540"/>
          <w:tab w:val="left" w:pos="1080"/>
          <w:tab w:val="left" w:pos="1620"/>
        </w:tabs>
        <w:spacing w:after="240"/>
        <w:rPr>
          <w:rFonts w:cs="Arial"/>
        </w:rPr>
      </w:pPr>
      <w:r w:rsidRPr="000C29F2">
        <w:rPr>
          <w:rFonts w:cs="Arial"/>
        </w:rPr>
        <w:tab/>
      </w:r>
      <w:r w:rsidR="00F27BCA">
        <w:rPr>
          <w:rFonts w:cs="Arial"/>
        </w:rPr>
        <w:t>AP7</w:t>
      </w:r>
      <w:r w:rsidRPr="000C29F2">
        <w:rPr>
          <w:rFonts w:cs="Arial"/>
        </w:rPr>
        <w:t>.</w:t>
      </w:r>
      <w:r w:rsidRPr="00BD2E8C">
        <w:rPr>
          <w:rFonts w:cs="Arial"/>
        </w:rPr>
        <w:t>1.9.</w:t>
      </w:r>
      <w:r w:rsidRPr="000C29F2">
        <w:rPr>
          <w:rFonts w:cs="Arial"/>
        </w:rPr>
        <w:t xml:space="preserve">  Activities requiring status </w:t>
      </w:r>
      <w:r w:rsidRPr="00BD2E8C">
        <w:rPr>
          <w:rFonts w:cs="Arial"/>
        </w:rPr>
        <w:t>must</w:t>
      </w:r>
      <w:r w:rsidRPr="000C29F2">
        <w:rPr>
          <w:rFonts w:cs="Arial"/>
        </w:rPr>
        <w:t xml:space="preserve"> be encouraged in S/A implementing instructions to obtain and utilize full supply and shipment status.  This requirement </w:t>
      </w:r>
      <w:r w:rsidRPr="00BD2E8C">
        <w:rPr>
          <w:rFonts w:cs="Arial"/>
        </w:rPr>
        <w:t>should</w:t>
      </w:r>
      <w:r w:rsidRPr="000C29F2">
        <w:rPr>
          <w:rFonts w:cs="Arial"/>
        </w:rPr>
        <w:t xml:space="preserve"> be implemented to reduce the need for activities to submit follow</w:t>
      </w:r>
      <w:r w:rsidRPr="00BD2E8C">
        <w:rPr>
          <w:rFonts w:cs="Arial"/>
        </w:rPr>
        <w:t>-</w:t>
      </w:r>
      <w:r w:rsidRPr="000C29F2">
        <w:rPr>
          <w:rFonts w:cs="Arial"/>
        </w:rPr>
        <w:t>up inquiries.</w:t>
      </w:r>
    </w:p>
    <w:p w14:paraId="4C95ED50" w14:textId="7C8509C6" w:rsidR="000C29F2" w:rsidRPr="000C29F2" w:rsidRDefault="000C29F2" w:rsidP="000C29F2">
      <w:pPr>
        <w:tabs>
          <w:tab w:val="left" w:pos="540"/>
          <w:tab w:val="left" w:pos="1080"/>
          <w:tab w:val="left" w:pos="1620"/>
        </w:tabs>
        <w:spacing w:after="240"/>
        <w:rPr>
          <w:rFonts w:cs="Arial"/>
        </w:rPr>
      </w:pPr>
      <w:r w:rsidRPr="000C29F2">
        <w:rPr>
          <w:rFonts w:cs="Arial"/>
        </w:rPr>
        <w:tab/>
      </w:r>
      <w:r w:rsidR="00F27BCA">
        <w:rPr>
          <w:rFonts w:cs="Arial"/>
        </w:rPr>
        <w:t>AP7</w:t>
      </w:r>
      <w:r w:rsidRPr="000C29F2">
        <w:rPr>
          <w:rFonts w:cs="Arial"/>
        </w:rPr>
        <w:t>.</w:t>
      </w:r>
      <w:r w:rsidRPr="00BD2E8C">
        <w:rPr>
          <w:rFonts w:cs="Arial"/>
        </w:rPr>
        <w:t>1.10.</w:t>
      </w:r>
      <w:r w:rsidRPr="000C29F2">
        <w:rPr>
          <w:rFonts w:cs="Arial"/>
        </w:rPr>
        <w:t xml:space="preserve">  M&amp;S is a mandatory entry by the originator of the document and will not be altered during subsequent processing except under the procedures for SICA processing</w:t>
      </w:r>
      <w:r w:rsidR="00150E59" w:rsidRPr="00150E59">
        <w:rPr>
          <w:rFonts w:cs="Arial"/>
        </w:rPr>
        <w:t xml:space="preserve"> </w:t>
      </w:r>
      <w:r w:rsidRPr="00BD2E8C">
        <w:rPr>
          <w:rFonts w:cs="Arial"/>
        </w:rPr>
        <w:t>(See DLMS Volume 2, Chapter 4 and 11)</w:t>
      </w:r>
      <w:r w:rsidRPr="000C29F2">
        <w:rPr>
          <w:rFonts w:cs="Arial"/>
        </w:rPr>
        <w:t xml:space="preserve"> </w:t>
      </w:r>
      <w:r w:rsidRPr="00BD2E8C">
        <w:rPr>
          <w:rFonts w:cs="Arial"/>
        </w:rPr>
        <w:t>or Service-level guidance for internet-based ordering applications</w:t>
      </w:r>
      <w:r w:rsidRPr="000C29F2">
        <w:rPr>
          <w:rFonts w:cs="Arial"/>
        </w:rPr>
        <w:t>.</w:t>
      </w:r>
    </w:p>
    <w:p w14:paraId="26976A07" w14:textId="7C3478DC" w:rsidR="003F7E08" w:rsidRPr="009636A9" w:rsidRDefault="000C29F2" w:rsidP="000963B1">
      <w:r w:rsidRPr="000C29F2">
        <w:rPr>
          <w:rFonts w:cs="Arial"/>
        </w:rPr>
        <w:tab/>
      </w:r>
      <w:r w:rsidR="00F27BCA">
        <w:rPr>
          <w:rFonts w:cs="Arial"/>
        </w:rPr>
        <w:t>AP7</w:t>
      </w:r>
      <w:r w:rsidRPr="000C29F2">
        <w:rPr>
          <w:rFonts w:cs="Arial"/>
        </w:rPr>
        <w:t>.4.</w:t>
      </w:r>
      <w:r w:rsidRPr="00BD2E8C">
        <w:rPr>
          <w:rFonts w:cs="Arial"/>
        </w:rPr>
        <w:t>1.11.</w:t>
      </w:r>
      <w:r w:rsidRPr="000C29F2">
        <w:rPr>
          <w:rFonts w:cs="Arial"/>
        </w:rPr>
        <w:t xml:space="preserve">  M&amp;S Codes are listed below.</w:t>
      </w:r>
      <w:r w:rsidRPr="000C29F2">
        <w:rPr>
          <w:rFonts w:eastAsia="Calibri" w:cs="Arial"/>
          <w:szCs w:val="24"/>
        </w:rPr>
        <w:t xml:space="preserve"> </w:t>
      </w:r>
    </w:p>
    <w:tbl>
      <w:tblPr>
        <w:tblW w:w="10080" w:type="dxa"/>
        <w:jc w:val="center"/>
        <w:tblLayout w:type="fixed"/>
        <w:tblCellMar>
          <w:left w:w="120" w:type="dxa"/>
          <w:right w:w="120" w:type="dxa"/>
        </w:tblCellMar>
        <w:tblLook w:val="0000" w:firstRow="0" w:lastRow="0" w:firstColumn="0" w:lastColumn="0" w:noHBand="0" w:noVBand="0"/>
      </w:tblPr>
      <w:tblGrid>
        <w:gridCol w:w="1440"/>
        <w:gridCol w:w="2160"/>
        <w:gridCol w:w="6480"/>
      </w:tblGrid>
      <w:tr w:rsidR="003F7E08" w:rsidRPr="009636A9" w14:paraId="26976A0B" w14:textId="77777777" w:rsidTr="00EE389B">
        <w:trPr>
          <w:cantSplit/>
          <w:trHeight w:val="403"/>
          <w:jc w:val="center"/>
        </w:trPr>
        <w:tc>
          <w:tcPr>
            <w:tcW w:w="3600" w:type="dxa"/>
            <w:gridSpan w:val="2"/>
          </w:tcPr>
          <w:p w14:paraId="26976A09" w14:textId="77777777" w:rsidR="003F7E08" w:rsidRPr="009636A9" w:rsidRDefault="003F7E08" w:rsidP="000963B1">
            <w:pPr>
              <w:keepNext/>
              <w:keepLines/>
              <w:spacing w:before="60" w:after="60"/>
              <w:rPr>
                <w:rFonts w:cs="Arial"/>
                <w:szCs w:val="24"/>
              </w:rPr>
            </w:pPr>
            <w:r w:rsidRPr="009636A9">
              <w:rPr>
                <w:bCs/>
                <w:szCs w:val="24"/>
              </w:rPr>
              <w:t>NUMBER OF CHARACTERS:</w:t>
            </w:r>
          </w:p>
        </w:tc>
        <w:tc>
          <w:tcPr>
            <w:tcW w:w="6480" w:type="dxa"/>
          </w:tcPr>
          <w:p w14:paraId="26976A0A" w14:textId="77777777" w:rsidR="003F7E08" w:rsidRPr="009636A9" w:rsidRDefault="003F7E08" w:rsidP="000963B1">
            <w:pPr>
              <w:keepNext/>
              <w:keepLines/>
              <w:spacing w:before="60" w:after="60"/>
              <w:rPr>
                <w:rFonts w:cs="Arial"/>
                <w:szCs w:val="24"/>
              </w:rPr>
            </w:pPr>
            <w:r w:rsidRPr="009636A9">
              <w:rPr>
                <w:szCs w:val="24"/>
              </w:rPr>
              <w:t>One.</w:t>
            </w:r>
          </w:p>
        </w:tc>
      </w:tr>
      <w:tr w:rsidR="003F7E08" w:rsidRPr="009636A9" w14:paraId="26976A0E" w14:textId="77777777" w:rsidTr="00EE389B">
        <w:trPr>
          <w:cantSplit/>
          <w:trHeight w:val="403"/>
          <w:jc w:val="center"/>
        </w:trPr>
        <w:tc>
          <w:tcPr>
            <w:tcW w:w="3600" w:type="dxa"/>
            <w:gridSpan w:val="2"/>
          </w:tcPr>
          <w:p w14:paraId="26976A0C" w14:textId="77777777" w:rsidR="003F7E08" w:rsidRPr="009636A9" w:rsidRDefault="003F7E08" w:rsidP="000963B1">
            <w:pPr>
              <w:keepNext/>
              <w:keepLines/>
              <w:spacing w:before="60" w:after="60"/>
              <w:rPr>
                <w:rFonts w:cs="Arial"/>
                <w:szCs w:val="24"/>
              </w:rPr>
            </w:pPr>
            <w:r w:rsidRPr="009636A9">
              <w:rPr>
                <w:bCs/>
                <w:szCs w:val="24"/>
              </w:rPr>
              <w:t>TYPE OF CODE:</w:t>
            </w:r>
          </w:p>
        </w:tc>
        <w:tc>
          <w:tcPr>
            <w:tcW w:w="6480" w:type="dxa"/>
          </w:tcPr>
          <w:p w14:paraId="26976A0D" w14:textId="77777777" w:rsidR="003F7E08" w:rsidRPr="009636A9" w:rsidRDefault="003F7E08" w:rsidP="000963B1">
            <w:pPr>
              <w:keepNext/>
              <w:keepLines/>
              <w:spacing w:before="60" w:after="60"/>
              <w:rPr>
                <w:rFonts w:cs="Arial"/>
                <w:szCs w:val="24"/>
              </w:rPr>
            </w:pPr>
            <w:r w:rsidRPr="009636A9">
              <w:rPr>
                <w:szCs w:val="24"/>
              </w:rPr>
              <w:t>Alpha-numeric.</w:t>
            </w:r>
          </w:p>
        </w:tc>
      </w:tr>
      <w:tr w:rsidR="003F7E08" w:rsidRPr="009636A9" w14:paraId="26976A11" w14:textId="77777777" w:rsidTr="00EE389B">
        <w:trPr>
          <w:cantSplit/>
          <w:trHeight w:val="403"/>
          <w:jc w:val="center"/>
        </w:trPr>
        <w:tc>
          <w:tcPr>
            <w:tcW w:w="3600" w:type="dxa"/>
            <w:gridSpan w:val="2"/>
          </w:tcPr>
          <w:p w14:paraId="26976A0F" w14:textId="77777777" w:rsidR="003F7E08" w:rsidRPr="009636A9" w:rsidRDefault="003F7E08" w:rsidP="000963B1">
            <w:pPr>
              <w:keepNext/>
              <w:keepLines/>
              <w:spacing w:before="60" w:after="60"/>
              <w:rPr>
                <w:rFonts w:cs="Arial"/>
                <w:szCs w:val="24"/>
              </w:rPr>
            </w:pPr>
            <w:r w:rsidRPr="009636A9">
              <w:rPr>
                <w:bCs/>
                <w:szCs w:val="24"/>
              </w:rPr>
              <w:t>EXPLANATION:</w:t>
            </w:r>
          </w:p>
        </w:tc>
        <w:tc>
          <w:tcPr>
            <w:tcW w:w="6480" w:type="dxa"/>
          </w:tcPr>
          <w:p w14:paraId="26976A10" w14:textId="14570FEE" w:rsidR="003F7E08" w:rsidRPr="009636A9" w:rsidRDefault="00F37242" w:rsidP="000963B1">
            <w:pPr>
              <w:keepNext/>
              <w:keepLines/>
              <w:spacing w:before="60" w:after="60"/>
              <w:rPr>
                <w:rFonts w:cs="Arial"/>
                <w:szCs w:val="24"/>
              </w:rPr>
            </w:pPr>
            <w:r w:rsidRPr="00F37242">
              <w:rPr>
                <w:szCs w:val="24"/>
              </w:rPr>
              <w:t xml:space="preserve">Indicates the status recipient </w:t>
            </w:r>
            <w:r w:rsidRPr="00BD2E8C">
              <w:rPr>
                <w:szCs w:val="24"/>
              </w:rPr>
              <w:t>and</w:t>
            </w:r>
            <w:r>
              <w:rPr>
                <w:szCs w:val="24"/>
              </w:rPr>
              <w:t xml:space="preserve"> type of status required</w:t>
            </w:r>
            <w:r w:rsidRPr="00F37242">
              <w:rPr>
                <w:szCs w:val="24"/>
              </w:rPr>
              <w:t>.  One hundred percent supply status includes exception status.</w:t>
            </w:r>
          </w:p>
        </w:tc>
      </w:tr>
      <w:tr w:rsidR="003F7E08" w:rsidRPr="009636A9" w14:paraId="26976A16" w14:textId="77777777" w:rsidTr="00EE389B">
        <w:trPr>
          <w:cantSplit/>
          <w:trHeight w:val="403"/>
          <w:jc w:val="center"/>
        </w:trPr>
        <w:tc>
          <w:tcPr>
            <w:tcW w:w="3600" w:type="dxa"/>
            <w:gridSpan w:val="2"/>
          </w:tcPr>
          <w:p w14:paraId="6E55763C" w14:textId="77777777" w:rsidR="00F37242" w:rsidRPr="00BD2E8C" w:rsidRDefault="00F37242" w:rsidP="000963B1">
            <w:pPr>
              <w:keepNext/>
              <w:keepLines/>
              <w:spacing w:before="60" w:after="60"/>
              <w:rPr>
                <w:bCs/>
                <w:szCs w:val="24"/>
              </w:rPr>
            </w:pPr>
            <w:r w:rsidRPr="00BD2E8C">
              <w:rPr>
                <w:bCs/>
                <w:szCs w:val="24"/>
              </w:rPr>
              <w:t>DLMS LOCATION:</w:t>
            </w:r>
          </w:p>
          <w:p w14:paraId="5FA5C4FF" w14:textId="77777777" w:rsidR="00F37242" w:rsidRPr="00BD2E8C" w:rsidRDefault="00F37242" w:rsidP="000963B1">
            <w:pPr>
              <w:keepNext/>
              <w:keepLines/>
              <w:spacing w:before="60" w:after="60"/>
              <w:rPr>
                <w:bCs/>
                <w:szCs w:val="24"/>
              </w:rPr>
            </w:pPr>
          </w:p>
          <w:p w14:paraId="26976A13" w14:textId="7583455F" w:rsidR="003F7E08" w:rsidRPr="009636A9" w:rsidRDefault="00F37242" w:rsidP="000963B1">
            <w:pPr>
              <w:keepNext/>
              <w:keepLines/>
              <w:spacing w:before="60" w:after="60"/>
              <w:rPr>
                <w:rFonts w:cs="Arial"/>
                <w:szCs w:val="24"/>
              </w:rPr>
            </w:pPr>
            <w:r w:rsidRPr="00BD2E8C">
              <w:rPr>
                <w:bCs/>
                <w:szCs w:val="24"/>
              </w:rPr>
              <w:t>LEGACY</w:t>
            </w:r>
            <w:r w:rsidRPr="00F37242">
              <w:rPr>
                <w:bCs/>
                <w:szCs w:val="24"/>
              </w:rPr>
              <w:t xml:space="preserve"> </w:t>
            </w:r>
            <w:r w:rsidR="003F7E08" w:rsidRPr="009636A9">
              <w:rPr>
                <w:bCs/>
                <w:szCs w:val="24"/>
              </w:rPr>
              <w:t>RECORD POSITION:</w:t>
            </w:r>
          </w:p>
        </w:tc>
        <w:tc>
          <w:tcPr>
            <w:tcW w:w="6480" w:type="dxa"/>
          </w:tcPr>
          <w:p w14:paraId="62DAADC7" w14:textId="77777777" w:rsidR="00F37242" w:rsidRPr="00BD2E8C" w:rsidRDefault="00F37242" w:rsidP="000963B1">
            <w:pPr>
              <w:keepNext/>
              <w:keepLines/>
              <w:spacing w:before="60" w:after="60"/>
              <w:rPr>
                <w:szCs w:val="24"/>
              </w:rPr>
            </w:pPr>
            <w:r w:rsidRPr="00BD2E8C">
              <w:rPr>
                <w:szCs w:val="24"/>
              </w:rPr>
              <w:t>Industry Code (LQ01) DF – Media &amp; Status Code</w:t>
            </w:r>
          </w:p>
          <w:p w14:paraId="72BBAD0E" w14:textId="77777777" w:rsidR="00F37242" w:rsidRPr="00BD2E8C" w:rsidRDefault="00F37242" w:rsidP="000963B1">
            <w:pPr>
              <w:keepNext/>
              <w:keepLines/>
              <w:spacing w:before="60" w:after="60"/>
              <w:rPr>
                <w:szCs w:val="24"/>
              </w:rPr>
            </w:pPr>
          </w:p>
          <w:p w14:paraId="26976A15" w14:textId="77777777" w:rsidR="003F7E08" w:rsidRPr="009636A9" w:rsidRDefault="003F7E08" w:rsidP="000963B1">
            <w:pPr>
              <w:keepNext/>
              <w:keepLines/>
              <w:spacing w:before="60" w:after="60"/>
              <w:rPr>
                <w:rFonts w:cs="Arial"/>
                <w:szCs w:val="24"/>
              </w:rPr>
            </w:pPr>
            <w:r w:rsidRPr="009636A9">
              <w:rPr>
                <w:szCs w:val="24"/>
              </w:rPr>
              <w:t>7</w:t>
            </w:r>
          </w:p>
        </w:tc>
      </w:tr>
      <w:tr w:rsidR="003F7E08" w:rsidRPr="009636A9" w14:paraId="26976A18" w14:textId="77777777" w:rsidTr="00EE389B">
        <w:trPr>
          <w:cantSplit/>
          <w:trHeight w:val="403"/>
          <w:jc w:val="center"/>
        </w:trPr>
        <w:tc>
          <w:tcPr>
            <w:tcW w:w="10080" w:type="dxa"/>
            <w:gridSpan w:val="3"/>
          </w:tcPr>
          <w:p w14:paraId="26976A17" w14:textId="23FFCE7C" w:rsidR="003F7E08" w:rsidRPr="009636A9" w:rsidRDefault="00F37242" w:rsidP="00F37242">
            <w:pPr>
              <w:spacing w:before="120" w:after="120"/>
              <w:jc w:val="center"/>
              <w:rPr>
                <w:rFonts w:cs="Arial"/>
                <w:szCs w:val="24"/>
              </w:rPr>
            </w:pPr>
            <w:r w:rsidRPr="00F37242">
              <w:rPr>
                <w:bCs/>
                <w:szCs w:val="24"/>
              </w:rPr>
              <w:t xml:space="preserve">M&amp;S Codes Used </w:t>
            </w:r>
            <w:r w:rsidRPr="00BD2E8C">
              <w:rPr>
                <w:bCs/>
                <w:szCs w:val="24"/>
              </w:rPr>
              <w:t>w</w:t>
            </w:r>
            <w:r w:rsidRPr="00F37242">
              <w:rPr>
                <w:bCs/>
                <w:szCs w:val="24"/>
              </w:rPr>
              <w:t xml:space="preserve">ith </w:t>
            </w:r>
            <w:r w:rsidRPr="00BD2E8C">
              <w:rPr>
                <w:bCs/>
                <w:szCs w:val="24"/>
              </w:rPr>
              <w:t>MRP Transactions</w:t>
            </w:r>
          </w:p>
        </w:tc>
      </w:tr>
      <w:tr w:rsidR="003F7E08" w:rsidRPr="009636A9" w14:paraId="26976A1B" w14:textId="77777777" w:rsidTr="00EE389B">
        <w:trPr>
          <w:cantSplit/>
          <w:jc w:val="center"/>
        </w:trPr>
        <w:tc>
          <w:tcPr>
            <w:tcW w:w="1440" w:type="dxa"/>
          </w:tcPr>
          <w:p w14:paraId="26976A19" w14:textId="77777777" w:rsidR="003F7E08" w:rsidRPr="009636A9" w:rsidRDefault="003F7E08" w:rsidP="00EE389B">
            <w:pPr>
              <w:spacing w:before="60" w:after="60"/>
              <w:rPr>
                <w:rFonts w:cs="Arial"/>
                <w:szCs w:val="24"/>
              </w:rPr>
            </w:pPr>
            <w:r w:rsidRPr="009636A9">
              <w:rPr>
                <w:bCs/>
                <w:szCs w:val="24"/>
              </w:rPr>
              <w:t>CODE</w:t>
            </w:r>
          </w:p>
        </w:tc>
        <w:tc>
          <w:tcPr>
            <w:tcW w:w="8640" w:type="dxa"/>
            <w:gridSpan w:val="2"/>
          </w:tcPr>
          <w:p w14:paraId="26976A1A" w14:textId="77777777" w:rsidR="003F7E08" w:rsidRPr="009636A9" w:rsidRDefault="003F7E08" w:rsidP="00EE389B">
            <w:pPr>
              <w:spacing w:before="60" w:after="60"/>
              <w:rPr>
                <w:rFonts w:cs="Arial"/>
                <w:szCs w:val="24"/>
              </w:rPr>
            </w:pPr>
            <w:r w:rsidRPr="009636A9">
              <w:rPr>
                <w:bCs/>
                <w:szCs w:val="24"/>
              </w:rPr>
              <w:t>EXPLANATION</w:t>
            </w:r>
          </w:p>
        </w:tc>
      </w:tr>
      <w:tr w:rsidR="003F7E08" w:rsidRPr="009636A9" w14:paraId="26976A1E" w14:textId="77777777" w:rsidTr="00EE389B">
        <w:trPr>
          <w:cantSplit/>
          <w:trHeight w:val="403"/>
          <w:jc w:val="center"/>
        </w:trPr>
        <w:tc>
          <w:tcPr>
            <w:tcW w:w="1440" w:type="dxa"/>
          </w:tcPr>
          <w:p w14:paraId="26976A1C" w14:textId="77777777" w:rsidR="003F7E08" w:rsidRPr="009636A9" w:rsidRDefault="003F7E08" w:rsidP="00EE389B">
            <w:pPr>
              <w:spacing w:before="60" w:after="60"/>
              <w:rPr>
                <w:rFonts w:cs="Arial"/>
                <w:szCs w:val="24"/>
              </w:rPr>
            </w:pPr>
            <w:r w:rsidRPr="009636A9">
              <w:rPr>
                <w:szCs w:val="24"/>
              </w:rPr>
              <w:t>1</w:t>
            </w:r>
          </w:p>
        </w:tc>
        <w:tc>
          <w:tcPr>
            <w:tcW w:w="8640" w:type="dxa"/>
            <w:gridSpan w:val="2"/>
          </w:tcPr>
          <w:p w14:paraId="26976A1D" w14:textId="77777777" w:rsidR="003F7E08" w:rsidRPr="009636A9" w:rsidRDefault="003F7E08" w:rsidP="00EE389B">
            <w:pPr>
              <w:spacing w:before="60" w:after="60"/>
              <w:rPr>
                <w:rFonts w:cs="Arial"/>
                <w:szCs w:val="24"/>
              </w:rPr>
            </w:pPr>
            <w:r w:rsidRPr="009636A9">
              <w:rPr>
                <w:szCs w:val="24"/>
              </w:rPr>
              <w:t>Reserved.</w:t>
            </w:r>
          </w:p>
        </w:tc>
      </w:tr>
      <w:tr w:rsidR="003F7E08" w:rsidRPr="009636A9" w14:paraId="26976A21" w14:textId="77777777" w:rsidTr="00EE389B">
        <w:trPr>
          <w:cantSplit/>
          <w:trHeight w:val="403"/>
          <w:jc w:val="center"/>
        </w:trPr>
        <w:tc>
          <w:tcPr>
            <w:tcW w:w="1440" w:type="dxa"/>
          </w:tcPr>
          <w:p w14:paraId="26976A1F" w14:textId="77777777" w:rsidR="003F7E08" w:rsidRPr="009636A9" w:rsidRDefault="003F7E08" w:rsidP="00EE389B">
            <w:pPr>
              <w:spacing w:before="60" w:after="60"/>
              <w:rPr>
                <w:rFonts w:cs="Arial"/>
                <w:szCs w:val="24"/>
              </w:rPr>
            </w:pPr>
            <w:r w:rsidRPr="009636A9">
              <w:rPr>
                <w:szCs w:val="24"/>
              </w:rPr>
              <w:t>2</w:t>
            </w:r>
          </w:p>
        </w:tc>
        <w:tc>
          <w:tcPr>
            <w:tcW w:w="8640" w:type="dxa"/>
            <w:gridSpan w:val="2"/>
          </w:tcPr>
          <w:p w14:paraId="26976A20" w14:textId="4A554BA5" w:rsidR="003F7E08" w:rsidRPr="009636A9" w:rsidRDefault="003F7E08" w:rsidP="001F713C">
            <w:pPr>
              <w:spacing w:before="60" w:after="60"/>
              <w:rPr>
                <w:rFonts w:cs="Arial"/>
                <w:szCs w:val="24"/>
              </w:rPr>
            </w:pPr>
            <w:r w:rsidRPr="009636A9">
              <w:rPr>
                <w:szCs w:val="24"/>
              </w:rPr>
              <w:t xml:space="preserve">Reply to </w:t>
            </w:r>
            <w:r w:rsidR="001F713C" w:rsidRPr="00BD2E8C">
              <w:rPr>
                <w:szCs w:val="24"/>
              </w:rPr>
              <w:t>the reporting activity</w:t>
            </w:r>
            <w:r w:rsidRPr="009636A9">
              <w:rPr>
                <w:szCs w:val="24"/>
              </w:rPr>
              <w:t>.</w:t>
            </w:r>
          </w:p>
        </w:tc>
      </w:tr>
      <w:tr w:rsidR="003F7E08" w:rsidRPr="009636A9" w14:paraId="26976A24" w14:textId="77777777" w:rsidTr="00EE389B">
        <w:trPr>
          <w:cantSplit/>
          <w:trHeight w:val="413"/>
          <w:jc w:val="center"/>
        </w:trPr>
        <w:tc>
          <w:tcPr>
            <w:tcW w:w="1440" w:type="dxa"/>
          </w:tcPr>
          <w:p w14:paraId="26976A22" w14:textId="77777777" w:rsidR="003F7E08" w:rsidRPr="009636A9" w:rsidRDefault="003F7E08" w:rsidP="00EE389B">
            <w:pPr>
              <w:spacing w:before="60" w:after="60"/>
              <w:rPr>
                <w:rFonts w:cs="Arial"/>
                <w:szCs w:val="24"/>
              </w:rPr>
            </w:pPr>
            <w:r w:rsidRPr="009636A9">
              <w:rPr>
                <w:szCs w:val="24"/>
              </w:rPr>
              <w:t>3</w:t>
            </w:r>
          </w:p>
        </w:tc>
        <w:tc>
          <w:tcPr>
            <w:tcW w:w="8640" w:type="dxa"/>
            <w:gridSpan w:val="2"/>
          </w:tcPr>
          <w:p w14:paraId="26976A23" w14:textId="77777777" w:rsidR="003F7E08" w:rsidRPr="009636A9" w:rsidRDefault="00FB654D" w:rsidP="00EE389B">
            <w:pPr>
              <w:spacing w:before="60" w:after="60"/>
              <w:rPr>
                <w:rFonts w:cs="Arial"/>
                <w:szCs w:val="24"/>
              </w:rPr>
            </w:pPr>
            <w:r w:rsidRPr="009636A9">
              <w:rPr>
                <w:szCs w:val="24"/>
              </w:rPr>
              <w:t>Reserved.</w:t>
            </w:r>
          </w:p>
        </w:tc>
      </w:tr>
      <w:tr w:rsidR="003F7E08" w:rsidRPr="009636A9" w14:paraId="26976A27" w14:textId="77777777" w:rsidTr="00EE389B">
        <w:trPr>
          <w:cantSplit/>
          <w:trHeight w:val="403"/>
          <w:jc w:val="center"/>
        </w:trPr>
        <w:tc>
          <w:tcPr>
            <w:tcW w:w="1440" w:type="dxa"/>
          </w:tcPr>
          <w:p w14:paraId="26976A25" w14:textId="77777777" w:rsidR="003F7E08" w:rsidRPr="009636A9" w:rsidRDefault="003F7E08" w:rsidP="00EE389B">
            <w:pPr>
              <w:spacing w:before="60" w:after="60"/>
              <w:rPr>
                <w:rFonts w:cs="Arial"/>
                <w:szCs w:val="24"/>
              </w:rPr>
            </w:pPr>
            <w:r w:rsidRPr="009636A9">
              <w:rPr>
                <w:szCs w:val="24"/>
              </w:rPr>
              <w:t>4</w:t>
            </w:r>
          </w:p>
        </w:tc>
        <w:tc>
          <w:tcPr>
            <w:tcW w:w="8640" w:type="dxa"/>
            <w:gridSpan w:val="2"/>
          </w:tcPr>
          <w:p w14:paraId="26976A26" w14:textId="321AC9C8" w:rsidR="003F7E08" w:rsidRPr="009636A9" w:rsidRDefault="003F7E08" w:rsidP="00EE389B">
            <w:pPr>
              <w:spacing w:before="60" w:after="60"/>
              <w:rPr>
                <w:rFonts w:cs="Arial"/>
                <w:szCs w:val="24"/>
              </w:rPr>
            </w:pPr>
            <w:r w:rsidRPr="009636A9">
              <w:rPr>
                <w:szCs w:val="24"/>
              </w:rPr>
              <w:t xml:space="preserve">Reply to </w:t>
            </w:r>
            <w:r w:rsidR="001F713C" w:rsidRPr="00BD2E8C">
              <w:rPr>
                <w:szCs w:val="24"/>
              </w:rPr>
              <w:t xml:space="preserve">shipped from and/or credit-to as perpetuated to the </w:t>
            </w:r>
            <w:r w:rsidR="001F713C" w:rsidRPr="001F713C">
              <w:rPr>
                <w:szCs w:val="24"/>
              </w:rPr>
              <w:t>SUPADD</w:t>
            </w:r>
            <w:r w:rsidRPr="009636A9">
              <w:rPr>
                <w:szCs w:val="24"/>
              </w:rPr>
              <w:t>.</w:t>
            </w:r>
          </w:p>
        </w:tc>
      </w:tr>
      <w:tr w:rsidR="003F7E08" w:rsidRPr="009636A9" w14:paraId="26976A2A" w14:textId="77777777" w:rsidTr="00EE389B">
        <w:trPr>
          <w:cantSplit/>
          <w:trHeight w:val="403"/>
          <w:jc w:val="center"/>
        </w:trPr>
        <w:tc>
          <w:tcPr>
            <w:tcW w:w="1440" w:type="dxa"/>
          </w:tcPr>
          <w:p w14:paraId="26976A28" w14:textId="48BBBB79" w:rsidR="003F7E08" w:rsidRPr="009636A9" w:rsidRDefault="002E08CA" w:rsidP="00EE389B">
            <w:pPr>
              <w:spacing w:before="60" w:after="60"/>
              <w:rPr>
                <w:rFonts w:cs="Arial"/>
                <w:szCs w:val="24"/>
              </w:rPr>
            </w:pPr>
            <w:r w:rsidRPr="009636A9">
              <w:rPr>
                <w:szCs w:val="24"/>
              </w:rPr>
              <w:t xml:space="preserve">5, </w:t>
            </w:r>
            <w:r w:rsidR="003F7E08" w:rsidRPr="009636A9">
              <w:rPr>
                <w:szCs w:val="24"/>
              </w:rPr>
              <w:t>6, 7</w:t>
            </w:r>
            <w:r w:rsidR="001F713C" w:rsidRPr="00BD2E8C">
              <w:rPr>
                <w:szCs w:val="24"/>
              </w:rPr>
              <w:t>, 8</w:t>
            </w:r>
          </w:p>
        </w:tc>
        <w:tc>
          <w:tcPr>
            <w:tcW w:w="8640" w:type="dxa"/>
            <w:gridSpan w:val="2"/>
          </w:tcPr>
          <w:p w14:paraId="26976A29" w14:textId="77777777" w:rsidR="003F7E08" w:rsidRPr="009636A9" w:rsidRDefault="003F7E08" w:rsidP="00EE389B">
            <w:pPr>
              <w:spacing w:before="60" w:after="60"/>
              <w:rPr>
                <w:rFonts w:cs="Arial"/>
                <w:szCs w:val="24"/>
              </w:rPr>
            </w:pPr>
            <w:r w:rsidRPr="009636A9">
              <w:rPr>
                <w:szCs w:val="24"/>
              </w:rPr>
              <w:t>Reserved.</w:t>
            </w:r>
          </w:p>
        </w:tc>
      </w:tr>
      <w:tr w:rsidR="003F7E08" w:rsidRPr="009636A9" w14:paraId="26976A30" w14:textId="77777777" w:rsidTr="00EE389B">
        <w:trPr>
          <w:cantSplit/>
          <w:trHeight w:val="403"/>
          <w:jc w:val="center"/>
        </w:trPr>
        <w:tc>
          <w:tcPr>
            <w:tcW w:w="1440" w:type="dxa"/>
          </w:tcPr>
          <w:p w14:paraId="26976A2E" w14:textId="77777777" w:rsidR="003F7E08" w:rsidRPr="009636A9" w:rsidRDefault="003F7E08" w:rsidP="00EE389B">
            <w:pPr>
              <w:spacing w:before="60" w:after="60"/>
              <w:rPr>
                <w:rFonts w:cs="Arial"/>
                <w:szCs w:val="24"/>
              </w:rPr>
            </w:pPr>
            <w:r w:rsidRPr="009636A9">
              <w:rPr>
                <w:szCs w:val="24"/>
              </w:rPr>
              <w:t>9</w:t>
            </w:r>
          </w:p>
        </w:tc>
        <w:tc>
          <w:tcPr>
            <w:tcW w:w="8640" w:type="dxa"/>
            <w:gridSpan w:val="2"/>
          </w:tcPr>
          <w:p w14:paraId="26976A2F" w14:textId="1C64303C" w:rsidR="003F7E08" w:rsidRPr="009636A9" w:rsidRDefault="003F7E08" w:rsidP="001F713C">
            <w:pPr>
              <w:spacing w:before="60" w:after="60"/>
              <w:rPr>
                <w:rFonts w:cs="Arial"/>
                <w:szCs w:val="24"/>
              </w:rPr>
            </w:pPr>
            <w:r w:rsidRPr="009636A9">
              <w:rPr>
                <w:szCs w:val="24"/>
              </w:rPr>
              <w:t xml:space="preserve">Reply to </w:t>
            </w:r>
            <w:r w:rsidR="001F713C" w:rsidRPr="00BD2E8C">
              <w:rPr>
                <w:szCs w:val="24"/>
              </w:rPr>
              <w:t>credit-to activity as associated with the fund code</w:t>
            </w:r>
            <w:r w:rsidRPr="009636A9">
              <w:rPr>
                <w:szCs w:val="24"/>
              </w:rPr>
              <w:t>.</w:t>
            </w:r>
          </w:p>
        </w:tc>
      </w:tr>
    </w:tbl>
    <w:p w14:paraId="63E381F2" w14:textId="77777777" w:rsidR="009636A9" w:rsidRDefault="009636A9"/>
    <w:tbl>
      <w:tblPr>
        <w:tblW w:w="10080" w:type="dxa"/>
        <w:jc w:val="center"/>
        <w:tblLayout w:type="fixed"/>
        <w:tblCellMar>
          <w:left w:w="120" w:type="dxa"/>
          <w:right w:w="120" w:type="dxa"/>
        </w:tblCellMar>
        <w:tblLook w:val="0000" w:firstRow="0" w:lastRow="0" w:firstColumn="0" w:lastColumn="0" w:noHBand="0" w:noVBand="0"/>
      </w:tblPr>
      <w:tblGrid>
        <w:gridCol w:w="1440"/>
        <w:gridCol w:w="8640"/>
      </w:tblGrid>
      <w:tr w:rsidR="003F7E08" w:rsidRPr="009636A9" w14:paraId="26976A37" w14:textId="77777777" w:rsidTr="009636A9">
        <w:trPr>
          <w:cantSplit/>
          <w:trHeight w:val="403"/>
          <w:tblHeader/>
          <w:jc w:val="center"/>
        </w:trPr>
        <w:tc>
          <w:tcPr>
            <w:tcW w:w="10080" w:type="dxa"/>
            <w:gridSpan w:val="2"/>
          </w:tcPr>
          <w:p w14:paraId="26976A36" w14:textId="62F0E41C" w:rsidR="003F7E08" w:rsidRPr="009636A9" w:rsidRDefault="001F713C" w:rsidP="00465122">
            <w:pPr>
              <w:keepNext/>
              <w:keepLines/>
              <w:spacing w:before="240" w:after="120"/>
              <w:jc w:val="center"/>
              <w:rPr>
                <w:rFonts w:cs="Arial"/>
                <w:szCs w:val="24"/>
              </w:rPr>
            </w:pPr>
            <w:r w:rsidRPr="001F713C">
              <w:rPr>
                <w:bCs/>
                <w:szCs w:val="24"/>
              </w:rPr>
              <w:lastRenderedPageBreak/>
              <w:t xml:space="preserve">M&amp;S Codes Used </w:t>
            </w:r>
            <w:r w:rsidRPr="00BD2E8C">
              <w:rPr>
                <w:bCs/>
                <w:szCs w:val="24"/>
              </w:rPr>
              <w:t>w</w:t>
            </w:r>
            <w:r w:rsidRPr="001F713C">
              <w:rPr>
                <w:bCs/>
                <w:szCs w:val="24"/>
              </w:rPr>
              <w:t xml:space="preserve">ith </w:t>
            </w:r>
            <w:r w:rsidRPr="00BD2E8C">
              <w:rPr>
                <w:bCs/>
                <w:szCs w:val="24"/>
              </w:rPr>
              <w:t>Requisition-Related Transactions</w:t>
            </w:r>
          </w:p>
        </w:tc>
      </w:tr>
      <w:tr w:rsidR="003F7E08" w:rsidRPr="009636A9" w14:paraId="26976A3A" w14:textId="77777777" w:rsidTr="009636A9">
        <w:trPr>
          <w:cantSplit/>
          <w:tblHeader/>
          <w:jc w:val="center"/>
        </w:trPr>
        <w:tc>
          <w:tcPr>
            <w:tcW w:w="1440" w:type="dxa"/>
          </w:tcPr>
          <w:p w14:paraId="26976A38" w14:textId="77777777" w:rsidR="003F7E08" w:rsidRPr="009636A9" w:rsidRDefault="003F7E08" w:rsidP="00465122">
            <w:pPr>
              <w:keepNext/>
              <w:keepLines/>
              <w:spacing w:beforeLines="60" w:before="144" w:after="60"/>
              <w:rPr>
                <w:rFonts w:cs="Arial"/>
                <w:szCs w:val="24"/>
              </w:rPr>
            </w:pPr>
            <w:r w:rsidRPr="009636A9">
              <w:rPr>
                <w:bCs/>
                <w:szCs w:val="24"/>
              </w:rPr>
              <w:t>CODE</w:t>
            </w:r>
          </w:p>
        </w:tc>
        <w:tc>
          <w:tcPr>
            <w:tcW w:w="8640" w:type="dxa"/>
          </w:tcPr>
          <w:p w14:paraId="26976A39" w14:textId="77777777" w:rsidR="003F7E08" w:rsidRPr="009636A9" w:rsidRDefault="003F7E08" w:rsidP="00465122">
            <w:pPr>
              <w:keepNext/>
              <w:keepLines/>
              <w:spacing w:beforeLines="60" w:before="144" w:after="60"/>
              <w:rPr>
                <w:rFonts w:cs="Arial"/>
                <w:szCs w:val="24"/>
              </w:rPr>
            </w:pPr>
            <w:r w:rsidRPr="009636A9">
              <w:rPr>
                <w:bCs/>
                <w:szCs w:val="24"/>
              </w:rPr>
              <w:t>EXPLANATION</w:t>
            </w:r>
          </w:p>
        </w:tc>
      </w:tr>
      <w:tr w:rsidR="003F7E08" w:rsidRPr="009636A9" w14:paraId="26976A3D" w14:textId="77777777" w:rsidTr="009636A9">
        <w:trPr>
          <w:cantSplit/>
          <w:trHeight w:val="403"/>
          <w:jc w:val="center"/>
        </w:trPr>
        <w:tc>
          <w:tcPr>
            <w:tcW w:w="1440" w:type="dxa"/>
          </w:tcPr>
          <w:p w14:paraId="26976A3B" w14:textId="77777777" w:rsidR="003F7E08" w:rsidRPr="009636A9" w:rsidRDefault="003F7E08" w:rsidP="00465122">
            <w:pPr>
              <w:keepNext/>
              <w:keepLines/>
              <w:spacing w:beforeLines="60" w:before="144" w:after="60"/>
              <w:rPr>
                <w:rFonts w:cs="Arial"/>
                <w:szCs w:val="24"/>
              </w:rPr>
            </w:pPr>
            <w:r w:rsidRPr="009636A9">
              <w:rPr>
                <w:szCs w:val="24"/>
              </w:rPr>
              <w:t>0</w:t>
            </w:r>
          </w:p>
        </w:tc>
        <w:tc>
          <w:tcPr>
            <w:tcW w:w="8640" w:type="dxa"/>
          </w:tcPr>
          <w:p w14:paraId="26976A3C" w14:textId="5E4DF5C2" w:rsidR="003F7E08" w:rsidRPr="009636A9" w:rsidRDefault="003F7E08" w:rsidP="00465122">
            <w:pPr>
              <w:keepNext/>
              <w:keepLines/>
              <w:spacing w:beforeLines="60" w:before="144" w:after="60"/>
              <w:rPr>
                <w:rFonts w:cs="Arial"/>
                <w:szCs w:val="24"/>
              </w:rPr>
            </w:pPr>
            <w:r w:rsidRPr="009636A9">
              <w:rPr>
                <w:szCs w:val="24"/>
              </w:rPr>
              <w:t xml:space="preserve">No status to requisitioner or </w:t>
            </w:r>
            <w:r w:rsidR="001F713C" w:rsidRPr="00BD2E8C">
              <w:rPr>
                <w:szCs w:val="24"/>
              </w:rPr>
              <w:t xml:space="preserve">ship-to and/or credit </w:t>
            </w:r>
            <w:r w:rsidRPr="009636A9">
              <w:rPr>
                <w:szCs w:val="24"/>
              </w:rPr>
              <w:t>other than mandatory shipment status to the ship-to activity</w:t>
            </w:r>
            <w:r w:rsidR="00D42AFA" w:rsidRPr="009636A9">
              <w:rPr>
                <w:szCs w:val="24"/>
              </w:rPr>
              <w:t>.</w:t>
            </w:r>
            <w:r w:rsidRPr="009636A9">
              <w:rPr>
                <w:szCs w:val="24"/>
              </w:rPr>
              <w:t xml:space="preserve">  One hundred percent supply status and shipment status to the activity designated by a significant entry in </w:t>
            </w:r>
            <w:r w:rsidR="001F713C" w:rsidRPr="00BD2E8C">
              <w:rPr>
                <w:szCs w:val="24"/>
              </w:rPr>
              <w:t>the distribution code (first position)</w:t>
            </w:r>
            <w:r w:rsidRPr="009636A9">
              <w:rPr>
                <w:szCs w:val="24"/>
              </w:rPr>
              <w:t>.</w:t>
            </w:r>
          </w:p>
        </w:tc>
      </w:tr>
      <w:tr w:rsidR="003F7E08" w:rsidRPr="009636A9" w14:paraId="26976A40" w14:textId="77777777" w:rsidTr="009636A9">
        <w:trPr>
          <w:cantSplit/>
          <w:trHeight w:val="403"/>
          <w:jc w:val="center"/>
        </w:trPr>
        <w:tc>
          <w:tcPr>
            <w:tcW w:w="1440" w:type="dxa"/>
          </w:tcPr>
          <w:p w14:paraId="26976A3E" w14:textId="77777777" w:rsidR="003F7E08" w:rsidRPr="009636A9" w:rsidRDefault="003F7E08" w:rsidP="00A43DF1">
            <w:pPr>
              <w:spacing w:beforeLines="60" w:before="144" w:after="60"/>
              <w:rPr>
                <w:rFonts w:cs="Arial"/>
                <w:szCs w:val="24"/>
              </w:rPr>
            </w:pPr>
            <w:r w:rsidRPr="009636A9">
              <w:rPr>
                <w:szCs w:val="24"/>
              </w:rPr>
              <w:t>1</w:t>
            </w:r>
          </w:p>
        </w:tc>
        <w:tc>
          <w:tcPr>
            <w:tcW w:w="8640" w:type="dxa"/>
          </w:tcPr>
          <w:p w14:paraId="26976A3F" w14:textId="77777777" w:rsidR="003F7E08" w:rsidRPr="009636A9" w:rsidRDefault="003F7E08" w:rsidP="00A43DF1">
            <w:pPr>
              <w:spacing w:beforeLines="60" w:before="144" w:after="60"/>
              <w:rPr>
                <w:rFonts w:cs="Arial"/>
                <w:szCs w:val="24"/>
              </w:rPr>
            </w:pPr>
            <w:r w:rsidRPr="009636A9">
              <w:rPr>
                <w:szCs w:val="24"/>
              </w:rPr>
              <w:t>Reserved.</w:t>
            </w:r>
          </w:p>
        </w:tc>
      </w:tr>
      <w:tr w:rsidR="003F7E08" w:rsidRPr="009636A9" w14:paraId="26976A43" w14:textId="77777777" w:rsidTr="009636A9">
        <w:trPr>
          <w:cantSplit/>
          <w:trHeight w:val="403"/>
          <w:jc w:val="center"/>
        </w:trPr>
        <w:tc>
          <w:tcPr>
            <w:tcW w:w="1440" w:type="dxa"/>
          </w:tcPr>
          <w:p w14:paraId="26976A41" w14:textId="77777777" w:rsidR="003F7E08" w:rsidRPr="009636A9" w:rsidRDefault="003F7E08" w:rsidP="00A43DF1">
            <w:pPr>
              <w:spacing w:beforeLines="60" w:before="144" w:after="60"/>
              <w:rPr>
                <w:rFonts w:cs="Arial"/>
                <w:szCs w:val="24"/>
              </w:rPr>
            </w:pPr>
            <w:r w:rsidRPr="009636A9">
              <w:rPr>
                <w:szCs w:val="24"/>
              </w:rPr>
              <w:t>2</w:t>
            </w:r>
          </w:p>
        </w:tc>
        <w:tc>
          <w:tcPr>
            <w:tcW w:w="8640" w:type="dxa"/>
          </w:tcPr>
          <w:p w14:paraId="26976A42" w14:textId="4ED4B806" w:rsidR="003F7E08" w:rsidRPr="009636A9" w:rsidRDefault="003F7E08" w:rsidP="001F713C">
            <w:pPr>
              <w:spacing w:beforeLines="60" w:before="144" w:after="60"/>
              <w:rPr>
                <w:rFonts w:cs="Arial"/>
                <w:szCs w:val="24"/>
              </w:rPr>
            </w:pPr>
            <w:r w:rsidRPr="009636A9">
              <w:rPr>
                <w:szCs w:val="24"/>
              </w:rPr>
              <w:t>Exception supply status to  requisitioner.</w:t>
            </w:r>
          </w:p>
        </w:tc>
      </w:tr>
      <w:tr w:rsidR="003F7E08" w:rsidRPr="009636A9" w14:paraId="26976A46" w14:textId="77777777" w:rsidTr="009636A9">
        <w:trPr>
          <w:cantSplit/>
          <w:trHeight w:val="403"/>
          <w:jc w:val="center"/>
        </w:trPr>
        <w:tc>
          <w:tcPr>
            <w:tcW w:w="1440" w:type="dxa"/>
          </w:tcPr>
          <w:p w14:paraId="26976A44" w14:textId="77777777" w:rsidR="003F7E08" w:rsidRPr="009636A9" w:rsidRDefault="003F7E08" w:rsidP="00A43DF1">
            <w:pPr>
              <w:spacing w:beforeLines="60" w:before="144" w:after="60"/>
              <w:rPr>
                <w:rFonts w:cs="Arial"/>
                <w:szCs w:val="24"/>
              </w:rPr>
            </w:pPr>
            <w:r w:rsidRPr="009636A9">
              <w:rPr>
                <w:szCs w:val="24"/>
              </w:rPr>
              <w:t>3</w:t>
            </w:r>
          </w:p>
        </w:tc>
        <w:tc>
          <w:tcPr>
            <w:tcW w:w="8640" w:type="dxa"/>
          </w:tcPr>
          <w:p w14:paraId="26976A45" w14:textId="77777777" w:rsidR="003F7E08" w:rsidRPr="009636A9" w:rsidRDefault="002E08CA" w:rsidP="00A43DF1">
            <w:pPr>
              <w:spacing w:beforeLines="60" w:before="144" w:after="60"/>
              <w:rPr>
                <w:rFonts w:cs="Arial"/>
                <w:szCs w:val="24"/>
              </w:rPr>
            </w:pPr>
            <w:r w:rsidRPr="009636A9">
              <w:rPr>
                <w:szCs w:val="24"/>
              </w:rPr>
              <w:t>Reserved.</w:t>
            </w:r>
          </w:p>
        </w:tc>
      </w:tr>
      <w:tr w:rsidR="003F7E08" w:rsidRPr="009636A9" w14:paraId="26976A49" w14:textId="77777777" w:rsidTr="009636A9">
        <w:trPr>
          <w:cantSplit/>
          <w:trHeight w:val="403"/>
          <w:jc w:val="center"/>
        </w:trPr>
        <w:tc>
          <w:tcPr>
            <w:tcW w:w="1440" w:type="dxa"/>
          </w:tcPr>
          <w:p w14:paraId="26976A47" w14:textId="77777777" w:rsidR="003F7E08" w:rsidRPr="009636A9" w:rsidRDefault="003F7E08" w:rsidP="00A43DF1">
            <w:pPr>
              <w:spacing w:beforeLines="60" w:before="144" w:after="60"/>
              <w:rPr>
                <w:rFonts w:cs="Arial"/>
                <w:szCs w:val="24"/>
              </w:rPr>
            </w:pPr>
            <w:r w:rsidRPr="009636A9">
              <w:rPr>
                <w:szCs w:val="24"/>
              </w:rPr>
              <w:t>4</w:t>
            </w:r>
          </w:p>
        </w:tc>
        <w:tc>
          <w:tcPr>
            <w:tcW w:w="8640" w:type="dxa"/>
          </w:tcPr>
          <w:p w14:paraId="26976A48" w14:textId="62A81A19" w:rsidR="003F7E08" w:rsidRPr="009636A9" w:rsidRDefault="003F7E08" w:rsidP="00A43DF1">
            <w:pPr>
              <w:spacing w:beforeLines="60" w:before="144" w:after="60"/>
              <w:rPr>
                <w:rFonts w:cs="Arial"/>
                <w:szCs w:val="24"/>
              </w:rPr>
            </w:pPr>
            <w:r w:rsidRPr="009636A9">
              <w:rPr>
                <w:szCs w:val="24"/>
              </w:rPr>
              <w:t xml:space="preserve">Exception supply status to </w:t>
            </w:r>
            <w:r w:rsidR="001F713C" w:rsidRPr="00BD2E8C">
              <w:rPr>
                <w:szCs w:val="24"/>
              </w:rPr>
              <w:t xml:space="preserve">ship-to and/or credit-to as perpetuated to the </w:t>
            </w:r>
            <w:r w:rsidR="001F713C" w:rsidRPr="001F713C">
              <w:rPr>
                <w:szCs w:val="24"/>
              </w:rPr>
              <w:t>SUPADD</w:t>
            </w:r>
            <w:r w:rsidR="001F713C">
              <w:rPr>
                <w:szCs w:val="24"/>
              </w:rPr>
              <w:t>.</w:t>
            </w:r>
          </w:p>
        </w:tc>
      </w:tr>
      <w:tr w:rsidR="003F7E08" w:rsidRPr="009636A9" w14:paraId="26976A4C" w14:textId="77777777" w:rsidTr="009636A9">
        <w:trPr>
          <w:cantSplit/>
          <w:trHeight w:val="403"/>
          <w:jc w:val="center"/>
        </w:trPr>
        <w:tc>
          <w:tcPr>
            <w:tcW w:w="1440" w:type="dxa"/>
          </w:tcPr>
          <w:p w14:paraId="26976A4A" w14:textId="77777777" w:rsidR="003F7E08" w:rsidRPr="009636A9" w:rsidRDefault="002E08CA" w:rsidP="00A43DF1">
            <w:pPr>
              <w:spacing w:beforeLines="60" w:before="144" w:after="60"/>
              <w:rPr>
                <w:rFonts w:cs="Arial"/>
                <w:szCs w:val="24"/>
              </w:rPr>
            </w:pPr>
            <w:r w:rsidRPr="009636A9">
              <w:rPr>
                <w:szCs w:val="24"/>
              </w:rPr>
              <w:t xml:space="preserve">5, </w:t>
            </w:r>
            <w:r w:rsidR="003F7E08" w:rsidRPr="009636A9">
              <w:rPr>
                <w:szCs w:val="24"/>
              </w:rPr>
              <w:t>6, 7</w:t>
            </w:r>
          </w:p>
        </w:tc>
        <w:tc>
          <w:tcPr>
            <w:tcW w:w="8640" w:type="dxa"/>
          </w:tcPr>
          <w:p w14:paraId="26976A4B" w14:textId="77777777" w:rsidR="003F7E08" w:rsidRPr="009636A9" w:rsidRDefault="003F7E08" w:rsidP="00A43DF1">
            <w:pPr>
              <w:spacing w:beforeLines="60" w:before="144" w:after="60"/>
              <w:rPr>
                <w:rFonts w:cs="Arial"/>
                <w:szCs w:val="24"/>
              </w:rPr>
            </w:pPr>
            <w:r w:rsidRPr="009636A9">
              <w:rPr>
                <w:szCs w:val="24"/>
              </w:rPr>
              <w:t>Reserved.</w:t>
            </w:r>
          </w:p>
        </w:tc>
      </w:tr>
      <w:tr w:rsidR="003F7E08" w:rsidRPr="009636A9" w14:paraId="26976A4F" w14:textId="77777777" w:rsidTr="009636A9">
        <w:trPr>
          <w:cantSplit/>
          <w:trHeight w:val="403"/>
          <w:jc w:val="center"/>
        </w:trPr>
        <w:tc>
          <w:tcPr>
            <w:tcW w:w="1440" w:type="dxa"/>
          </w:tcPr>
          <w:p w14:paraId="26976A4D" w14:textId="77777777" w:rsidR="003F7E08" w:rsidRPr="009636A9" w:rsidRDefault="003F7E08" w:rsidP="00A43DF1">
            <w:pPr>
              <w:spacing w:beforeLines="60" w:before="144" w:after="60"/>
              <w:rPr>
                <w:rFonts w:cs="Arial"/>
                <w:szCs w:val="24"/>
              </w:rPr>
            </w:pPr>
            <w:r w:rsidRPr="009636A9">
              <w:rPr>
                <w:szCs w:val="24"/>
              </w:rPr>
              <w:t>8</w:t>
            </w:r>
          </w:p>
        </w:tc>
        <w:tc>
          <w:tcPr>
            <w:tcW w:w="8640" w:type="dxa"/>
          </w:tcPr>
          <w:p w14:paraId="26976A4E" w14:textId="582B520E" w:rsidR="003F7E08" w:rsidRPr="009636A9" w:rsidRDefault="003F7E08" w:rsidP="00A43DF1">
            <w:pPr>
              <w:spacing w:beforeLines="60" w:before="144" w:after="60"/>
              <w:rPr>
                <w:rFonts w:cs="Arial"/>
                <w:szCs w:val="24"/>
              </w:rPr>
            </w:pPr>
            <w:r w:rsidRPr="009636A9">
              <w:rPr>
                <w:szCs w:val="24"/>
              </w:rPr>
              <w:t xml:space="preserve">One hundred percent supply status and shipment status to activity indicated in </w:t>
            </w:r>
            <w:r w:rsidR="001F713C" w:rsidRPr="00BD2E8C">
              <w:rPr>
                <w:szCs w:val="24"/>
              </w:rPr>
              <w:t>the distribution code (first position)</w:t>
            </w:r>
            <w:r w:rsidRPr="009636A9">
              <w:rPr>
                <w:szCs w:val="24"/>
              </w:rPr>
              <w:t>.  Do not provide status to any other status eligible recipient under any other circumstances.  (For use only by SICAs on transactions for nonconsumable items).</w:t>
            </w:r>
          </w:p>
        </w:tc>
      </w:tr>
      <w:tr w:rsidR="003F7E08" w:rsidRPr="009636A9" w14:paraId="26976A52" w14:textId="77777777" w:rsidTr="009636A9">
        <w:trPr>
          <w:cantSplit/>
          <w:trHeight w:val="403"/>
          <w:jc w:val="center"/>
        </w:trPr>
        <w:tc>
          <w:tcPr>
            <w:tcW w:w="1440" w:type="dxa"/>
          </w:tcPr>
          <w:p w14:paraId="26976A50" w14:textId="32C3C2D1" w:rsidR="003F7E08" w:rsidRPr="009636A9" w:rsidRDefault="003F7E08" w:rsidP="00A43DF1">
            <w:pPr>
              <w:spacing w:beforeLines="60" w:before="144" w:after="60"/>
              <w:rPr>
                <w:rFonts w:cs="Arial"/>
                <w:szCs w:val="24"/>
              </w:rPr>
            </w:pPr>
            <w:r w:rsidRPr="009636A9">
              <w:rPr>
                <w:szCs w:val="24"/>
              </w:rPr>
              <w:t>9</w:t>
            </w:r>
            <w:r w:rsidR="001F713C">
              <w:rPr>
                <w:szCs w:val="24"/>
              </w:rPr>
              <w:t>, A</w:t>
            </w:r>
          </w:p>
        </w:tc>
        <w:tc>
          <w:tcPr>
            <w:tcW w:w="8640" w:type="dxa"/>
          </w:tcPr>
          <w:p w14:paraId="26976A51" w14:textId="0FFC4441" w:rsidR="003F7E08" w:rsidRPr="009636A9" w:rsidRDefault="001F713C" w:rsidP="00A43DF1">
            <w:pPr>
              <w:spacing w:beforeLines="60" w:before="144" w:after="60"/>
              <w:rPr>
                <w:rFonts w:cs="Arial"/>
                <w:szCs w:val="24"/>
              </w:rPr>
            </w:pPr>
            <w:r w:rsidRPr="00BD2E8C">
              <w:rPr>
                <w:szCs w:val="24"/>
              </w:rPr>
              <w:t>Reserved</w:t>
            </w:r>
            <w:r w:rsidR="003F7E08" w:rsidRPr="00BD2E8C">
              <w:rPr>
                <w:szCs w:val="24"/>
              </w:rPr>
              <w:t>.</w:t>
            </w:r>
          </w:p>
        </w:tc>
      </w:tr>
      <w:tr w:rsidR="003F7E08" w:rsidRPr="009636A9" w14:paraId="26976A58" w14:textId="77777777" w:rsidTr="009636A9">
        <w:trPr>
          <w:cantSplit/>
          <w:trHeight w:val="403"/>
          <w:jc w:val="center"/>
        </w:trPr>
        <w:tc>
          <w:tcPr>
            <w:tcW w:w="1440" w:type="dxa"/>
          </w:tcPr>
          <w:p w14:paraId="26976A56" w14:textId="77777777" w:rsidR="003F7E08" w:rsidRPr="009636A9" w:rsidRDefault="003F7E08" w:rsidP="00A43DF1">
            <w:pPr>
              <w:spacing w:beforeLines="60" w:before="144" w:after="60"/>
              <w:rPr>
                <w:rFonts w:cs="Arial"/>
                <w:szCs w:val="24"/>
              </w:rPr>
            </w:pPr>
            <w:r w:rsidRPr="009636A9">
              <w:rPr>
                <w:szCs w:val="24"/>
              </w:rPr>
              <w:t>B</w:t>
            </w:r>
          </w:p>
        </w:tc>
        <w:tc>
          <w:tcPr>
            <w:tcW w:w="8640" w:type="dxa"/>
          </w:tcPr>
          <w:p w14:paraId="26976A57" w14:textId="259CA35F" w:rsidR="003F7E08" w:rsidRPr="009636A9" w:rsidRDefault="003F7E08" w:rsidP="001F713C">
            <w:pPr>
              <w:spacing w:beforeLines="60" w:before="144" w:after="60"/>
              <w:rPr>
                <w:rFonts w:cs="Arial"/>
                <w:szCs w:val="24"/>
              </w:rPr>
            </w:pPr>
            <w:r w:rsidRPr="009636A9">
              <w:rPr>
                <w:szCs w:val="24"/>
              </w:rPr>
              <w:t>One hundred percent supply status to requisitioner.</w:t>
            </w:r>
          </w:p>
        </w:tc>
      </w:tr>
      <w:tr w:rsidR="003F7E08" w:rsidRPr="009636A9" w14:paraId="26976A5B" w14:textId="77777777" w:rsidTr="009636A9">
        <w:trPr>
          <w:cantSplit/>
          <w:trHeight w:val="403"/>
          <w:jc w:val="center"/>
        </w:trPr>
        <w:tc>
          <w:tcPr>
            <w:tcW w:w="1440" w:type="dxa"/>
          </w:tcPr>
          <w:p w14:paraId="26976A59" w14:textId="77777777" w:rsidR="003F7E08" w:rsidRPr="009636A9" w:rsidRDefault="003F7E08" w:rsidP="00A43DF1">
            <w:pPr>
              <w:spacing w:beforeLines="60" w:before="144" w:after="60"/>
              <w:rPr>
                <w:rFonts w:cs="Arial"/>
                <w:szCs w:val="24"/>
              </w:rPr>
            </w:pPr>
            <w:r w:rsidRPr="009636A9">
              <w:rPr>
                <w:szCs w:val="24"/>
              </w:rPr>
              <w:t>C</w:t>
            </w:r>
          </w:p>
        </w:tc>
        <w:tc>
          <w:tcPr>
            <w:tcW w:w="8640" w:type="dxa"/>
          </w:tcPr>
          <w:p w14:paraId="26976A5A" w14:textId="77777777" w:rsidR="003F7E08" w:rsidRPr="009636A9" w:rsidRDefault="002E08CA" w:rsidP="00A43DF1">
            <w:pPr>
              <w:spacing w:beforeLines="60" w:before="144" w:after="60"/>
              <w:rPr>
                <w:rFonts w:cs="Arial"/>
                <w:szCs w:val="24"/>
              </w:rPr>
            </w:pPr>
            <w:r w:rsidRPr="009636A9">
              <w:rPr>
                <w:szCs w:val="24"/>
              </w:rPr>
              <w:t>Reserved</w:t>
            </w:r>
            <w:r w:rsidR="003F7E08" w:rsidRPr="009636A9">
              <w:rPr>
                <w:szCs w:val="24"/>
              </w:rPr>
              <w:t>.</w:t>
            </w:r>
          </w:p>
        </w:tc>
      </w:tr>
      <w:tr w:rsidR="003F7E08" w:rsidRPr="009636A9" w14:paraId="26976A5E" w14:textId="77777777" w:rsidTr="009636A9">
        <w:trPr>
          <w:cantSplit/>
          <w:trHeight w:val="403"/>
          <w:jc w:val="center"/>
        </w:trPr>
        <w:tc>
          <w:tcPr>
            <w:tcW w:w="1440" w:type="dxa"/>
          </w:tcPr>
          <w:p w14:paraId="26976A5C" w14:textId="77777777" w:rsidR="003F7E08" w:rsidRPr="009636A9" w:rsidRDefault="003F7E08" w:rsidP="00A43DF1">
            <w:pPr>
              <w:spacing w:beforeLines="60" w:before="144" w:after="60"/>
              <w:rPr>
                <w:rFonts w:cs="Arial"/>
                <w:szCs w:val="24"/>
              </w:rPr>
            </w:pPr>
            <w:r w:rsidRPr="009636A9">
              <w:rPr>
                <w:szCs w:val="24"/>
              </w:rPr>
              <w:t>D</w:t>
            </w:r>
          </w:p>
        </w:tc>
        <w:tc>
          <w:tcPr>
            <w:tcW w:w="8640" w:type="dxa"/>
          </w:tcPr>
          <w:p w14:paraId="26976A5D" w14:textId="55C9257B" w:rsidR="003F7E08" w:rsidRPr="009636A9" w:rsidRDefault="003F7E08" w:rsidP="00A43DF1">
            <w:pPr>
              <w:spacing w:beforeLines="60" w:before="144" w:after="60"/>
              <w:rPr>
                <w:rFonts w:cs="Arial"/>
                <w:szCs w:val="24"/>
              </w:rPr>
            </w:pPr>
            <w:r w:rsidRPr="009636A9">
              <w:rPr>
                <w:szCs w:val="24"/>
              </w:rPr>
              <w:t xml:space="preserve">One hundred percent supply status to </w:t>
            </w:r>
            <w:r w:rsidR="001F713C" w:rsidRPr="00BD2E8C">
              <w:rPr>
                <w:szCs w:val="24"/>
              </w:rPr>
              <w:t xml:space="preserve">ship-to and/or credit-to as perpetuated to the </w:t>
            </w:r>
            <w:r w:rsidR="001F713C" w:rsidRPr="001F713C">
              <w:rPr>
                <w:szCs w:val="24"/>
              </w:rPr>
              <w:t>SUPADD</w:t>
            </w:r>
            <w:r w:rsidR="001F713C">
              <w:rPr>
                <w:szCs w:val="24"/>
              </w:rPr>
              <w:t>.</w:t>
            </w:r>
          </w:p>
        </w:tc>
      </w:tr>
      <w:tr w:rsidR="003F7E08" w:rsidRPr="009636A9" w14:paraId="26976A61" w14:textId="77777777" w:rsidTr="009636A9">
        <w:trPr>
          <w:cantSplit/>
          <w:trHeight w:val="403"/>
          <w:jc w:val="center"/>
        </w:trPr>
        <w:tc>
          <w:tcPr>
            <w:tcW w:w="1440" w:type="dxa"/>
          </w:tcPr>
          <w:p w14:paraId="26976A5F" w14:textId="77777777" w:rsidR="003F7E08" w:rsidRPr="009636A9" w:rsidRDefault="003F7E08" w:rsidP="00A43DF1">
            <w:pPr>
              <w:spacing w:beforeLines="60" w:before="144" w:after="60"/>
              <w:rPr>
                <w:rFonts w:cs="Arial"/>
                <w:szCs w:val="24"/>
              </w:rPr>
            </w:pPr>
            <w:r w:rsidRPr="009636A9">
              <w:rPr>
                <w:szCs w:val="24"/>
              </w:rPr>
              <w:t>E</w:t>
            </w:r>
          </w:p>
        </w:tc>
        <w:tc>
          <w:tcPr>
            <w:tcW w:w="8640" w:type="dxa"/>
          </w:tcPr>
          <w:p w14:paraId="26976A60" w14:textId="77777777" w:rsidR="003F7E08" w:rsidRPr="009636A9" w:rsidRDefault="002E08CA" w:rsidP="00A43DF1">
            <w:pPr>
              <w:spacing w:beforeLines="60" w:before="144" w:after="60"/>
              <w:rPr>
                <w:rFonts w:cs="Arial"/>
                <w:szCs w:val="24"/>
              </w:rPr>
            </w:pPr>
            <w:r w:rsidRPr="009636A9">
              <w:rPr>
                <w:szCs w:val="24"/>
              </w:rPr>
              <w:t>Reserved.</w:t>
            </w:r>
          </w:p>
        </w:tc>
      </w:tr>
      <w:tr w:rsidR="003F7E08" w:rsidRPr="009636A9" w14:paraId="26976A64" w14:textId="77777777" w:rsidTr="009636A9">
        <w:trPr>
          <w:cantSplit/>
          <w:trHeight w:val="403"/>
          <w:jc w:val="center"/>
        </w:trPr>
        <w:tc>
          <w:tcPr>
            <w:tcW w:w="1440" w:type="dxa"/>
          </w:tcPr>
          <w:p w14:paraId="26976A62" w14:textId="2E1D97A1" w:rsidR="003F7E08" w:rsidRPr="009636A9" w:rsidRDefault="003F7E08" w:rsidP="00A43DF1">
            <w:pPr>
              <w:spacing w:beforeLines="60" w:before="144" w:after="60"/>
              <w:rPr>
                <w:rFonts w:cs="Arial"/>
                <w:szCs w:val="24"/>
              </w:rPr>
            </w:pPr>
            <w:r w:rsidRPr="009636A9">
              <w:rPr>
                <w:szCs w:val="24"/>
              </w:rPr>
              <w:t>F</w:t>
            </w:r>
          </w:p>
        </w:tc>
        <w:tc>
          <w:tcPr>
            <w:tcW w:w="8640" w:type="dxa"/>
          </w:tcPr>
          <w:p w14:paraId="26976A63" w14:textId="37600523" w:rsidR="003F7E08" w:rsidRPr="009636A9" w:rsidRDefault="003F7E08" w:rsidP="00A43DF1">
            <w:pPr>
              <w:spacing w:beforeLines="60" w:before="144" w:after="60"/>
              <w:rPr>
                <w:rFonts w:cs="Arial"/>
                <w:szCs w:val="24"/>
              </w:rPr>
            </w:pPr>
            <w:r w:rsidRPr="009636A9">
              <w:rPr>
                <w:szCs w:val="24"/>
              </w:rPr>
              <w:t xml:space="preserve">One hundred percent supply status and shipment status to requisitioner </w:t>
            </w:r>
            <w:r w:rsidR="001F713C" w:rsidRPr="001F713C">
              <w:rPr>
                <w:szCs w:val="24"/>
              </w:rPr>
              <w:t xml:space="preserve">and </w:t>
            </w:r>
            <w:r w:rsidR="001F713C" w:rsidRPr="00BD2E8C">
              <w:rPr>
                <w:szCs w:val="24"/>
              </w:rPr>
              <w:t xml:space="preserve">ship-to and/or credit-to as perpetuated to the </w:t>
            </w:r>
            <w:r w:rsidR="001F713C" w:rsidRPr="001F713C">
              <w:rPr>
                <w:szCs w:val="24"/>
              </w:rPr>
              <w:t>SUPADD</w:t>
            </w:r>
            <w:r w:rsidR="001F713C">
              <w:rPr>
                <w:szCs w:val="24"/>
              </w:rPr>
              <w:t>.</w:t>
            </w:r>
          </w:p>
        </w:tc>
      </w:tr>
      <w:tr w:rsidR="003F7E08" w:rsidRPr="009636A9" w14:paraId="26976A67" w14:textId="77777777" w:rsidTr="009636A9">
        <w:trPr>
          <w:cantSplit/>
          <w:trHeight w:val="403"/>
          <w:jc w:val="center"/>
        </w:trPr>
        <w:tc>
          <w:tcPr>
            <w:tcW w:w="1440" w:type="dxa"/>
          </w:tcPr>
          <w:p w14:paraId="26976A65" w14:textId="79B1F0F8" w:rsidR="003F7E08" w:rsidRPr="009636A9" w:rsidRDefault="003F7E08" w:rsidP="00A43DF1">
            <w:pPr>
              <w:spacing w:beforeLines="60" w:before="144" w:after="60"/>
              <w:rPr>
                <w:rFonts w:cs="Arial"/>
                <w:szCs w:val="24"/>
              </w:rPr>
            </w:pPr>
            <w:r w:rsidRPr="009636A9">
              <w:rPr>
                <w:szCs w:val="24"/>
              </w:rPr>
              <w:t>G</w:t>
            </w:r>
            <w:r w:rsidR="001F713C" w:rsidRPr="00BD2E8C">
              <w:rPr>
                <w:szCs w:val="24"/>
              </w:rPr>
              <w:t>, H</w:t>
            </w:r>
          </w:p>
        </w:tc>
        <w:tc>
          <w:tcPr>
            <w:tcW w:w="8640" w:type="dxa"/>
          </w:tcPr>
          <w:p w14:paraId="26976A66" w14:textId="686704F5" w:rsidR="003F7E08" w:rsidRPr="009636A9" w:rsidRDefault="00D37DC0" w:rsidP="00A43DF1">
            <w:pPr>
              <w:spacing w:beforeLines="60" w:before="144" w:after="60"/>
              <w:rPr>
                <w:rFonts w:cs="Arial"/>
                <w:szCs w:val="24"/>
              </w:rPr>
            </w:pPr>
            <w:r w:rsidRPr="00BD2E8C">
              <w:rPr>
                <w:szCs w:val="24"/>
              </w:rPr>
              <w:t>Reserved</w:t>
            </w:r>
            <w:r w:rsidR="003F7E08" w:rsidRPr="00BD2E8C">
              <w:rPr>
                <w:szCs w:val="24"/>
              </w:rPr>
              <w:t>.</w:t>
            </w:r>
          </w:p>
        </w:tc>
      </w:tr>
      <w:tr w:rsidR="003F7E08" w:rsidRPr="009636A9" w14:paraId="26976A6D" w14:textId="77777777" w:rsidTr="009636A9">
        <w:trPr>
          <w:cantSplit/>
          <w:trHeight w:val="403"/>
          <w:jc w:val="center"/>
        </w:trPr>
        <w:tc>
          <w:tcPr>
            <w:tcW w:w="1440" w:type="dxa"/>
          </w:tcPr>
          <w:p w14:paraId="26976A6B" w14:textId="77777777" w:rsidR="003F7E08" w:rsidRPr="009636A9" w:rsidRDefault="003F7E08" w:rsidP="00A43DF1">
            <w:pPr>
              <w:spacing w:beforeLines="60" w:before="144" w:after="60"/>
              <w:rPr>
                <w:rFonts w:cs="Arial"/>
                <w:szCs w:val="24"/>
              </w:rPr>
            </w:pPr>
            <w:r w:rsidRPr="009636A9">
              <w:rPr>
                <w:szCs w:val="24"/>
              </w:rPr>
              <w:t>I</w:t>
            </w:r>
          </w:p>
        </w:tc>
        <w:tc>
          <w:tcPr>
            <w:tcW w:w="8640" w:type="dxa"/>
          </w:tcPr>
          <w:p w14:paraId="26976A6C" w14:textId="77777777" w:rsidR="003F7E08" w:rsidRPr="009636A9" w:rsidRDefault="003F7E08" w:rsidP="00A43DF1">
            <w:pPr>
              <w:spacing w:beforeLines="60" w:before="144" w:after="60"/>
              <w:rPr>
                <w:rFonts w:cs="Arial"/>
                <w:szCs w:val="24"/>
              </w:rPr>
            </w:pPr>
            <w:r w:rsidRPr="009636A9">
              <w:rPr>
                <w:szCs w:val="24"/>
              </w:rPr>
              <w:t>Not used.</w:t>
            </w:r>
          </w:p>
        </w:tc>
      </w:tr>
      <w:tr w:rsidR="00467A6D" w:rsidRPr="009636A9" w14:paraId="26976A70" w14:textId="77777777" w:rsidTr="009636A9">
        <w:trPr>
          <w:cantSplit/>
          <w:trHeight w:val="403"/>
          <w:jc w:val="center"/>
        </w:trPr>
        <w:tc>
          <w:tcPr>
            <w:tcW w:w="1440" w:type="dxa"/>
          </w:tcPr>
          <w:p w14:paraId="26976A6E" w14:textId="77777777" w:rsidR="00467A6D" w:rsidRPr="009636A9" w:rsidRDefault="00467A6D" w:rsidP="00A43DF1">
            <w:pPr>
              <w:spacing w:beforeLines="60" w:before="144" w:after="60"/>
              <w:rPr>
                <w:rFonts w:cs="Arial"/>
                <w:szCs w:val="24"/>
              </w:rPr>
            </w:pPr>
            <w:r w:rsidRPr="009636A9">
              <w:rPr>
                <w:szCs w:val="24"/>
              </w:rPr>
              <w:t>J</w:t>
            </w:r>
          </w:p>
        </w:tc>
        <w:tc>
          <w:tcPr>
            <w:tcW w:w="8640" w:type="dxa"/>
          </w:tcPr>
          <w:p w14:paraId="26976A6F" w14:textId="56326036" w:rsidR="00467A6D" w:rsidRPr="009636A9" w:rsidRDefault="00467A6D" w:rsidP="00A43DF1">
            <w:pPr>
              <w:spacing w:beforeLines="60" w:before="144" w:after="60"/>
              <w:rPr>
                <w:rFonts w:cs="Arial"/>
                <w:szCs w:val="24"/>
              </w:rPr>
            </w:pPr>
            <w:r w:rsidRPr="00BD2E8C">
              <w:rPr>
                <w:szCs w:val="24"/>
              </w:rPr>
              <w:t>Reserved.</w:t>
            </w:r>
          </w:p>
        </w:tc>
      </w:tr>
      <w:tr w:rsidR="003F7E08" w:rsidRPr="009636A9" w14:paraId="26976A73" w14:textId="77777777" w:rsidTr="009636A9">
        <w:trPr>
          <w:cantSplit/>
          <w:trHeight w:val="403"/>
          <w:jc w:val="center"/>
        </w:trPr>
        <w:tc>
          <w:tcPr>
            <w:tcW w:w="1440" w:type="dxa"/>
          </w:tcPr>
          <w:p w14:paraId="26976A71" w14:textId="77777777" w:rsidR="003F7E08" w:rsidRPr="009636A9" w:rsidRDefault="003F7E08" w:rsidP="00A43DF1">
            <w:pPr>
              <w:spacing w:beforeLines="60" w:before="144" w:after="60"/>
              <w:rPr>
                <w:rFonts w:cs="Arial"/>
                <w:szCs w:val="24"/>
              </w:rPr>
            </w:pPr>
            <w:r w:rsidRPr="009636A9">
              <w:rPr>
                <w:szCs w:val="24"/>
              </w:rPr>
              <w:t>K</w:t>
            </w:r>
          </w:p>
        </w:tc>
        <w:tc>
          <w:tcPr>
            <w:tcW w:w="8640" w:type="dxa"/>
          </w:tcPr>
          <w:p w14:paraId="26976A72" w14:textId="0AC254A1" w:rsidR="003F7E08" w:rsidRPr="009636A9" w:rsidRDefault="003F7E08" w:rsidP="00467A6D">
            <w:pPr>
              <w:spacing w:beforeLines="60" w:before="144" w:after="60"/>
              <w:rPr>
                <w:rFonts w:cs="Arial"/>
                <w:szCs w:val="24"/>
              </w:rPr>
            </w:pPr>
            <w:r w:rsidRPr="009636A9">
              <w:rPr>
                <w:szCs w:val="24"/>
              </w:rPr>
              <w:t>Exception supply status and shipment status to requisitioner</w:t>
            </w:r>
            <w:r w:rsidR="002E08CA" w:rsidRPr="009636A9">
              <w:rPr>
                <w:szCs w:val="24"/>
              </w:rPr>
              <w:t>.</w:t>
            </w:r>
          </w:p>
        </w:tc>
      </w:tr>
      <w:tr w:rsidR="00467A6D" w:rsidRPr="009636A9" w14:paraId="26976A76" w14:textId="77777777" w:rsidTr="009636A9">
        <w:trPr>
          <w:cantSplit/>
          <w:trHeight w:val="403"/>
          <w:jc w:val="center"/>
        </w:trPr>
        <w:tc>
          <w:tcPr>
            <w:tcW w:w="1440" w:type="dxa"/>
          </w:tcPr>
          <w:p w14:paraId="26976A74" w14:textId="77777777" w:rsidR="00467A6D" w:rsidRPr="009636A9" w:rsidRDefault="00467A6D" w:rsidP="00A43DF1">
            <w:pPr>
              <w:spacing w:beforeLines="60" w:before="144" w:after="60"/>
              <w:rPr>
                <w:rFonts w:cs="Arial"/>
                <w:szCs w:val="24"/>
              </w:rPr>
            </w:pPr>
            <w:r w:rsidRPr="009636A9">
              <w:rPr>
                <w:szCs w:val="24"/>
              </w:rPr>
              <w:t>L</w:t>
            </w:r>
          </w:p>
        </w:tc>
        <w:tc>
          <w:tcPr>
            <w:tcW w:w="8640" w:type="dxa"/>
          </w:tcPr>
          <w:p w14:paraId="26976A75" w14:textId="7C711E28" w:rsidR="00467A6D" w:rsidRPr="009636A9" w:rsidRDefault="00467A6D" w:rsidP="00A43DF1">
            <w:pPr>
              <w:spacing w:beforeLines="60" w:before="144" w:after="60"/>
              <w:rPr>
                <w:rFonts w:cs="Arial"/>
                <w:szCs w:val="24"/>
              </w:rPr>
            </w:pPr>
            <w:r w:rsidRPr="00BD2E8C">
              <w:rPr>
                <w:szCs w:val="24"/>
              </w:rPr>
              <w:t>Reserved.</w:t>
            </w:r>
          </w:p>
        </w:tc>
      </w:tr>
      <w:tr w:rsidR="00467A6D" w:rsidRPr="009636A9" w14:paraId="26976A79" w14:textId="77777777" w:rsidTr="009636A9">
        <w:trPr>
          <w:cantSplit/>
          <w:trHeight w:val="656"/>
          <w:jc w:val="center"/>
        </w:trPr>
        <w:tc>
          <w:tcPr>
            <w:tcW w:w="1440" w:type="dxa"/>
          </w:tcPr>
          <w:p w14:paraId="26976A77" w14:textId="77777777" w:rsidR="00467A6D" w:rsidRPr="009636A9" w:rsidRDefault="00467A6D" w:rsidP="00A43DF1">
            <w:pPr>
              <w:spacing w:beforeLines="60" w:before="144" w:after="60"/>
              <w:rPr>
                <w:rFonts w:cs="Arial"/>
                <w:szCs w:val="24"/>
              </w:rPr>
            </w:pPr>
            <w:r w:rsidRPr="009636A9">
              <w:rPr>
                <w:szCs w:val="24"/>
              </w:rPr>
              <w:lastRenderedPageBreak/>
              <w:t>M</w:t>
            </w:r>
          </w:p>
        </w:tc>
        <w:tc>
          <w:tcPr>
            <w:tcW w:w="8640" w:type="dxa"/>
          </w:tcPr>
          <w:p w14:paraId="26976A78" w14:textId="00C0D77C" w:rsidR="00467A6D" w:rsidRPr="009636A9" w:rsidRDefault="00467A6D" w:rsidP="00A43DF1">
            <w:pPr>
              <w:spacing w:beforeLines="60" w:before="144" w:after="60"/>
              <w:rPr>
                <w:rFonts w:cs="Arial"/>
                <w:szCs w:val="24"/>
              </w:rPr>
            </w:pPr>
            <w:r w:rsidRPr="009636A9">
              <w:rPr>
                <w:szCs w:val="24"/>
              </w:rPr>
              <w:t xml:space="preserve">Exception supply status and shipment status to </w:t>
            </w:r>
            <w:r w:rsidRPr="00BD2E8C">
              <w:rPr>
                <w:szCs w:val="24"/>
              </w:rPr>
              <w:t xml:space="preserve">ship-to and/or credit-to as perpetuated to the </w:t>
            </w:r>
            <w:r w:rsidRPr="00467A6D">
              <w:rPr>
                <w:szCs w:val="24"/>
              </w:rPr>
              <w:t>SUPADD</w:t>
            </w:r>
            <w:r>
              <w:rPr>
                <w:szCs w:val="24"/>
              </w:rPr>
              <w:t>.</w:t>
            </w:r>
          </w:p>
        </w:tc>
      </w:tr>
      <w:tr w:rsidR="00467A6D" w:rsidRPr="009636A9" w14:paraId="26976A7C" w14:textId="77777777" w:rsidTr="009636A9">
        <w:trPr>
          <w:cantSplit/>
          <w:trHeight w:val="403"/>
          <w:jc w:val="center"/>
        </w:trPr>
        <w:tc>
          <w:tcPr>
            <w:tcW w:w="1440" w:type="dxa"/>
          </w:tcPr>
          <w:p w14:paraId="26976A7A" w14:textId="77777777" w:rsidR="00467A6D" w:rsidRPr="009636A9" w:rsidRDefault="00467A6D" w:rsidP="00A43DF1">
            <w:pPr>
              <w:spacing w:beforeLines="60" w:before="144" w:after="60"/>
              <w:rPr>
                <w:rFonts w:cs="Arial"/>
                <w:szCs w:val="24"/>
              </w:rPr>
            </w:pPr>
            <w:r w:rsidRPr="009636A9">
              <w:rPr>
                <w:szCs w:val="24"/>
              </w:rPr>
              <w:t>N</w:t>
            </w:r>
          </w:p>
        </w:tc>
        <w:tc>
          <w:tcPr>
            <w:tcW w:w="8640" w:type="dxa"/>
          </w:tcPr>
          <w:p w14:paraId="26976A7B" w14:textId="77777777" w:rsidR="00467A6D" w:rsidRPr="009636A9" w:rsidRDefault="00467A6D" w:rsidP="00A43DF1">
            <w:pPr>
              <w:spacing w:beforeLines="60" w:before="144" w:after="60"/>
              <w:rPr>
                <w:rFonts w:cs="Arial"/>
                <w:szCs w:val="24"/>
              </w:rPr>
            </w:pPr>
            <w:r w:rsidRPr="009636A9">
              <w:rPr>
                <w:szCs w:val="24"/>
              </w:rPr>
              <w:t>Reserved.</w:t>
            </w:r>
          </w:p>
        </w:tc>
      </w:tr>
      <w:tr w:rsidR="00467A6D" w:rsidRPr="009636A9" w14:paraId="26976A7F" w14:textId="77777777" w:rsidTr="009636A9">
        <w:trPr>
          <w:cantSplit/>
          <w:trHeight w:val="403"/>
          <w:jc w:val="center"/>
        </w:trPr>
        <w:tc>
          <w:tcPr>
            <w:tcW w:w="1440" w:type="dxa"/>
          </w:tcPr>
          <w:p w14:paraId="26976A7D" w14:textId="77777777" w:rsidR="00467A6D" w:rsidRPr="009636A9" w:rsidRDefault="00467A6D" w:rsidP="00A43DF1">
            <w:pPr>
              <w:spacing w:beforeLines="60" w:before="144" w:after="60"/>
              <w:rPr>
                <w:rFonts w:cs="Arial"/>
                <w:szCs w:val="24"/>
              </w:rPr>
            </w:pPr>
            <w:r w:rsidRPr="009636A9">
              <w:rPr>
                <w:szCs w:val="24"/>
              </w:rPr>
              <w:t>O</w:t>
            </w:r>
          </w:p>
        </w:tc>
        <w:tc>
          <w:tcPr>
            <w:tcW w:w="8640" w:type="dxa"/>
          </w:tcPr>
          <w:p w14:paraId="26976A7E" w14:textId="77777777" w:rsidR="00467A6D" w:rsidRPr="009636A9" w:rsidRDefault="00467A6D" w:rsidP="00A43DF1">
            <w:pPr>
              <w:spacing w:beforeLines="60" w:before="144" w:after="60"/>
              <w:rPr>
                <w:rFonts w:cs="Arial"/>
                <w:szCs w:val="24"/>
              </w:rPr>
            </w:pPr>
            <w:r w:rsidRPr="009636A9">
              <w:rPr>
                <w:szCs w:val="24"/>
              </w:rPr>
              <w:t>Not used.</w:t>
            </w:r>
          </w:p>
        </w:tc>
      </w:tr>
      <w:tr w:rsidR="00467A6D" w:rsidRPr="009636A9" w14:paraId="26976A82" w14:textId="77777777" w:rsidTr="009636A9">
        <w:trPr>
          <w:cantSplit/>
          <w:trHeight w:val="403"/>
          <w:jc w:val="center"/>
        </w:trPr>
        <w:tc>
          <w:tcPr>
            <w:tcW w:w="1440" w:type="dxa"/>
          </w:tcPr>
          <w:p w14:paraId="26976A80" w14:textId="32055BF2" w:rsidR="00467A6D" w:rsidRPr="009636A9" w:rsidRDefault="00467A6D" w:rsidP="00A43DF1">
            <w:pPr>
              <w:spacing w:beforeLines="60" w:before="144" w:after="60"/>
              <w:rPr>
                <w:rFonts w:cs="Arial"/>
                <w:szCs w:val="24"/>
              </w:rPr>
            </w:pPr>
            <w:r w:rsidRPr="009636A9">
              <w:rPr>
                <w:szCs w:val="24"/>
              </w:rPr>
              <w:t>P</w:t>
            </w:r>
            <w:r w:rsidRPr="00BD2E8C">
              <w:rPr>
                <w:szCs w:val="24"/>
              </w:rPr>
              <w:t>, Q, R</w:t>
            </w:r>
          </w:p>
        </w:tc>
        <w:tc>
          <w:tcPr>
            <w:tcW w:w="8640" w:type="dxa"/>
          </w:tcPr>
          <w:p w14:paraId="26976A81" w14:textId="17ACCCE6" w:rsidR="00467A6D" w:rsidRPr="009636A9" w:rsidRDefault="00467A6D" w:rsidP="00A43DF1">
            <w:pPr>
              <w:spacing w:beforeLines="60" w:before="144" w:after="60"/>
              <w:rPr>
                <w:rFonts w:cs="Arial"/>
                <w:szCs w:val="24"/>
              </w:rPr>
            </w:pPr>
            <w:r w:rsidRPr="00BD2E8C">
              <w:rPr>
                <w:szCs w:val="24"/>
              </w:rPr>
              <w:t>Reserved.</w:t>
            </w:r>
          </w:p>
        </w:tc>
      </w:tr>
      <w:tr w:rsidR="00467A6D" w:rsidRPr="009636A9" w14:paraId="26976A8B" w14:textId="77777777" w:rsidTr="009636A9">
        <w:trPr>
          <w:cantSplit/>
          <w:trHeight w:val="403"/>
          <w:jc w:val="center"/>
        </w:trPr>
        <w:tc>
          <w:tcPr>
            <w:tcW w:w="1440" w:type="dxa"/>
          </w:tcPr>
          <w:p w14:paraId="26976A89" w14:textId="77777777" w:rsidR="00467A6D" w:rsidRPr="009636A9" w:rsidRDefault="00467A6D" w:rsidP="00A43DF1">
            <w:pPr>
              <w:spacing w:beforeLines="60" w:before="144" w:after="60"/>
              <w:rPr>
                <w:rFonts w:cs="Arial"/>
                <w:szCs w:val="24"/>
              </w:rPr>
            </w:pPr>
            <w:r w:rsidRPr="009636A9">
              <w:rPr>
                <w:szCs w:val="24"/>
              </w:rPr>
              <w:t>S</w:t>
            </w:r>
          </w:p>
        </w:tc>
        <w:tc>
          <w:tcPr>
            <w:tcW w:w="8640" w:type="dxa"/>
          </w:tcPr>
          <w:p w14:paraId="26976A8A" w14:textId="1DB21AA8" w:rsidR="00467A6D" w:rsidRPr="009636A9" w:rsidRDefault="00467A6D" w:rsidP="00467A6D">
            <w:pPr>
              <w:spacing w:beforeLines="60" w:before="144" w:after="60"/>
              <w:rPr>
                <w:rFonts w:cs="Arial"/>
                <w:szCs w:val="24"/>
              </w:rPr>
            </w:pPr>
            <w:r w:rsidRPr="009636A9">
              <w:rPr>
                <w:szCs w:val="24"/>
              </w:rPr>
              <w:t>One hundred percent supply status and shipment status to requisitioner</w:t>
            </w:r>
            <w:r>
              <w:rPr>
                <w:szCs w:val="24"/>
              </w:rPr>
              <w:t>.</w:t>
            </w:r>
          </w:p>
        </w:tc>
      </w:tr>
      <w:tr w:rsidR="00467A6D" w:rsidRPr="009636A9" w14:paraId="26976A8E" w14:textId="77777777" w:rsidTr="009636A9">
        <w:trPr>
          <w:cantSplit/>
          <w:trHeight w:val="403"/>
          <w:jc w:val="center"/>
        </w:trPr>
        <w:tc>
          <w:tcPr>
            <w:tcW w:w="1440" w:type="dxa"/>
          </w:tcPr>
          <w:p w14:paraId="26976A8C" w14:textId="77777777" w:rsidR="00467A6D" w:rsidRPr="009636A9" w:rsidRDefault="00467A6D" w:rsidP="00A43DF1">
            <w:pPr>
              <w:spacing w:beforeLines="60" w:before="144" w:after="60"/>
              <w:rPr>
                <w:rFonts w:cs="Arial"/>
                <w:szCs w:val="24"/>
              </w:rPr>
            </w:pPr>
            <w:r w:rsidRPr="009636A9">
              <w:rPr>
                <w:szCs w:val="24"/>
              </w:rPr>
              <w:t>T</w:t>
            </w:r>
          </w:p>
        </w:tc>
        <w:tc>
          <w:tcPr>
            <w:tcW w:w="8640" w:type="dxa"/>
          </w:tcPr>
          <w:p w14:paraId="26976A8D" w14:textId="77777777" w:rsidR="00467A6D" w:rsidRPr="009636A9" w:rsidRDefault="00467A6D" w:rsidP="00A43DF1">
            <w:pPr>
              <w:spacing w:beforeLines="60" w:before="144" w:after="60"/>
              <w:rPr>
                <w:rFonts w:cs="Arial"/>
                <w:szCs w:val="24"/>
              </w:rPr>
            </w:pPr>
            <w:r w:rsidRPr="009636A9">
              <w:rPr>
                <w:szCs w:val="24"/>
              </w:rPr>
              <w:t>Reserved.</w:t>
            </w:r>
          </w:p>
        </w:tc>
      </w:tr>
      <w:tr w:rsidR="00467A6D" w:rsidRPr="009636A9" w14:paraId="26976A91" w14:textId="77777777" w:rsidTr="009636A9">
        <w:trPr>
          <w:cantSplit/>
          <w:trHeight w:val="403"/>
          <w:jc w:val="center"/>
        </w:trPr>
        <w:tc>
          <w:tcPr>
            <w:tcW w:w="1440" w:type="dxa"/>
          </w:tcPr>
          <w:p w14:paraId="26976A8F" w14:textId="77777777" w:rsidR="00467A6D" w:rsidRPr="009636A9" w:rsidRDefault="00467A6D" w:rsidP="00A43DF1">
            <w:pPr>
              <w:spacing w:beforeLines="60" w:before="144" w:after="60"/>
              <w:rPr>
                <w:rFonts w:cs="Arial"/>
                <w:szCs w:val="24"/>
              </w:rPr>
            </w:pPr>
            <w:r w:rsidRPr="009636A9">
              <w:rPr>
                <w:szCs w:val="24"/>
              </w:rPr>
              <w:t>U</w:t>
            </w:r>
          </w:p>
        </w:tc>
        <w:tc>
          <w:tcPr>
            <w:tcW w:w="8640" w:type="dxa"/>
          </w:tcPr>
          <w:p w14:paraId="26976A90" w14:textId="4728A417" w:rsidR="00467A6D" w:rsidRPr="009636A9" w:rsidRDefault="00467A6D" w:rsidP="00A43DF1">
            <w:pPr>
              <w:spacing w:beforeLines="60" w:before="144" w:after="60"/>
              <w:rPr>
                <w:rFonts w:cs="Arial"/>
                <w:szCs w:val="24"/>
              </w:rPr>
            </w:pPr>
            <w:r w:rsidRPr="009636A9">
              <w:rPr>
                <w:szCs w:val="24"/>
              </w:rPr>
              <w:t xml:space="preserve">One hundred percent supply status and shipment status to </w:t>
            </w:r>
            <w:r w:rsidRPr="00BD2E8C">
              <w:rPr>
                <w:szCs w:val="24"/>
              </w:rPr>
              <w:t xml:space="preserve">ship-to and/or credit-to as perpetuated to the </w:t>
            </w:r>
            <w:r w:rsidRPr="00467A6D">
              <w:rPr>
                <w:szCs w:val="24"/>
              </w:rPr>
              <w:t>SUPADD</w:t>
            </w:r>
            <w:r w:rsidRPr="009636A9">
              <w:rPr>
                <w:szCs w:val="24"/>
              </w:rPr>
              <w:t>.</w:t>
            </w:r>
          </w:p>
        </w:tc>
      </w:tr>
      <w:tr w:rsidR="00467A6D" w:rsidRPr="009636A9" w14:paraId="26976A94" w14:textId="77777777" w:rsidTr="009636A9">
        <w:trPr>
          <w:cantSplit/>
          <w:trHeight w:val="403"/>
          <w:jc w:val="center"/>
        </w:trPr>
        <w:tc>
          <w:tcPr>
            <w:tcW w:w="1440" w:type="dxa"/>
          </w:tcPr>
          <w:p w14:paraId="26976A92" w14:textId="0C32C8B1" w:rsidR="00467A6D" w:rsidRPr="009636A9" w:rsidRDefault="00467A6D" w:rsidP="00A43DF1">
            <w:pPr>
              <w:spacing w:beforeLines="60" w:before="144" w:after="60"/>
              <w:rPr>
                <w:rFonts w:cs="Arial"/>
                <w:szCs w:val="24"/>
              </w:rPr>
            </w:pPr>
            <w:r w:rsidRPr="009636A9">
              <w:rPr>
                <w:szCs w:val="24"/>
              </w:rPr>
              <w:t>V</w:t>
            </w:r>
            <w:r w:rsidRPr="00BD2E8C">
              <w:rPr>
                <w:szCs w:val="24"/>
              </w:rPr>
              <w:t>, W, X</w:t>
            </w:r>
          </w:p>
        </w:tc>
        <w:tc>
          <w:tcPr>
            <w:tcW w:w="8640" w:type="dxa"/>
          </w:tcPr>
          <w:p w14:paraId="26976A93" w14:textId="151E498B" w:rsidR="00467A6D" w:rsidRPr="009636A9" w:rsidRDefault="00467A6D" w:rsidP="00A43DF1">
            <w:pPr>
              <w:spacing w:beforeLines="60" w:before="144" w:after="60"/>
              <w:rPr>
                <w:rFonts w:cs="Arial"/>
                <w:szCs w:val="24"/>
              </w:rPr>
            </w:pPr>
            <w:r w:rsidRPr="00BD2E8C">
              <w:rPr>
                <w:szCs w:val="24"/>
              </w:rPr>
              <w:t>Reserved.</w:t>
            </w:r>
          </w:p>
        </w:tc>
      </w:tr>
      <w:tr w:rsidR="00467A6D" w:rsidRPr="009636A9" w14:paraId="26976A9A" w14:textId="77777777" w:rsidTr="009636A9">
        <w:trPr>
          <w:cantSplit/>
          <w:trHeight w:val="403"/>
          <w:jc w:val="center"/>
        </w:trPr>
        <w:tc>
          <w:tcPr>
            <w:tcW w:w="1440" w:type="dxa"/>
          </w:tcPr>
          <w:p w14:paraId="26976A98" w14:textId="77777777" w:rsidR="00467A6D" w:rsidRPr="009636A9" w:rsidRDefault="00467A6D" w:rsidP="00A43DF1">
            <w:pPr>
              <w:spacing w:beforeLines="60" w:before="144" w:after="60"/>
              <w:rPr>
                <w:rFonts w:cs="Arial"/>
                <w:szCs w:val="24"/>
              </w:rPr>
            </w:pPr>
            <w:r w:rsidRPr="009636A9">
              <w:rPr>
                <w:szCs w:val="24"/>
              </w:rPr>
              <w:t>Y</w:t>
            </w:r>
          </w:p>
        </w:tc>
        <w:tc>
          <w:tcPr>
            <w:tcW w:w="8640" w:type="dxa"/>
          </w:tcPr>
          <w:p w14:paraId="26976A99" w14:textId="5BCDF4A5" w:rsidR="00467A6D" w:rsidRPr="009636A9" w:rsidRDefault="00467A6D" w:rsidP="00467A6D">
            <w:pPr>
              <w:spacing w:beforeLines="60" w:before="144" w:after="60"/>
              <w:rPr>
                <w:rFonts w:cs="Arial"/>
                <w:szCs w:val="24"/>
              </w:rPr>
            </w:pPr>
            <w:r w:rsidRPr="009636A9">
              <w:rPr>
                <w:szCs w:val="24"/>
              </w:rPr>
              <w:t xml:space="preserve">No status to requisitioner or </w:t>
            </w:r>
            <w:r w:rsidRPr="00BD2E8C">
              <w:rPr>
                <w:szCs w:val="24"/>
              </w:rPr>
              <w:t xml:space="preserve">ship-to and/or credit-to as perpetuated to the </w:t>
            </w:r>
            <w:r w:rsidRPr="009636A9">
              <w:rPr>
                <w:szCs w:val="24"/>
              </w:rPr>
              <w:t xml:space="preserve">SUPADD other than mandatory shipment status to the ship-to activity.  Exception supply status and shipment status to the activity designated by a significant entry in </w:t>
            </w:r>
            <w:r w:rsidRPr="00BD2E8C">
              <w:rPr>
                <w:szCs w:val="24"/>
              </w:rPr>
              <w:t>the distribution code</w:t>
            </w:r>
            <w:r w:rsidRPr="009636A9">
              <w:rPr>
                <w:szCs w:val="24"/>
              </w:rPr>
              <w:t>.</w:t>
            </w:r>
          </w:p>
        </w:tc>
      </w:tr>
      <w:tr w:rsidR="00467A6D" w:rsidRPr="009636A9" w14:paraId="26976A9D" w14:textId="77777777" w:rsidTr="009636A9">
        <w:trPr>
          <w:cantSplit/>
          <w:trHeight w:val="403"/>
          <w:jc w:val="center"/>
        </w:trPr>
        <w:tc>
          <w:tcPr>
            <w:tcW w:w="1440" w:type="dxa"/>
          </w:tcPr>
          <w:p w14:paraId="26976A9B" w14:textId="7912EAAF" w:rsidR="00467A6D" w:rsidRPr="009636A9" w:rsidRDefault="00467A6D" w:rsidP="00A43DF1">
            <w:pPr>
              <w:spacing w:beforeLines="60" w:before="144" w:after="60"/>
              <w:rPr>
                <w:rFonts w:cs="Arial"/>
                <w:szCs w:val="24"/>
              </w:rPr>
            </w:pPr>
            <w:r w:rsidRPr="009636A9">
              <w:rPr>
                <w:szCs w:val="24"/>
              </w:rPr>
              <w:t>Z</w:t>
            </w:r>
          </w:p>
        </w:tc>
        <w:tc>
          <w:tcPr>
            <w:tcW w:w="8640" w:type="dxa"/>
          </w:tcPr>
          <w:p w14:paraId="26976A9C" w14:textId="4EF55EA2" w:rsidR="00467A6D" w:rsidRPr="009636A9" w:rsidRDefault="00467A6D" w:rsidP="00A43DF1">
            <w:pPr>
              <w:spacing w:beforeLines="60" w:before="144" w:after="60"/>
              <w:rPr>
                <w:rFonts w:cs="Arial"/>
                <w:szCs w:val="24"/>
              </w:rPr>
            </w:pPr>
            <w:r w:rsidRPr="009636A9">
              <w:rPr>
                <w:szCs w:val="24"/>
              </w:rPr>
              <w:t xml:space="preserve">Exception supply status and shipment status to requisitioner and </w:t>
            </w:r>
            <w:r w:rsidRPr="00BD2E8C">
              <w:rPr>
                <w:szCs w:val="24"/>
              </w:rPr>
              <w:t xml:space="preserve">ship-to and/or credit-to as perpetuated to the </w:t>
            </w:r>
            <w:r w:rsidRPr="00467A6D">
              <w:rPr>
                <w:szCs w:val="24"/>
              </w:rPr>
              <w:t>SUPADD</w:t>
            </w:r>
            <w:r>
              <w:rPr>
                <w:szCs w:val="24"/>
              </w:rPr>
              <w:t>.</w:t>
            </w:r>
          </w:p>
        </w:tc>
      </w:tr>
    </w:tbl>
    <w:p w14:paraId="26976A9E" w14:textId="77777777" w:rsidR="003767CC" w:rsidRPr="009636A9" w:rsidRDefault="003767CC" w:rsidP="00C44541">
      <w:pPr>
        <w:spacing w:after="240"/>
      </w:pPr>
    </w:p>
    <w:sectPr w:rsidR="003767CC" w:rsidRPr="009636A9" w:rsidSect="00525959">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76AA1" w14:textId="77777777" w:rsidR="000963B1" w:rsidRDefault="000963B1">
      <w:r>
        <w:separator/>
      </w:r>
    </w:p>
  </w:endnote>
  <w:endnote w:type="continuationSeparator" w:id="0">
    <w:p w14:paraId="26976AA2" w14:textId="77777777" w:rsidR="000963B1" w:rsidRDefault="0009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6AA6" w14:textId="77777777" w:rsidR="000963B1" w:rsidRPr="00BD2E8C" w:rsidRDefault="000963B1" w:rsidP="00727C4C">
    <w:pPr>
      <w:pStyle w:val="Footer"/>
      <w:framePr w:wrap="around" w:vAnchor="text" w:hAnchor="margin" w:xAlign="center" w:y="1"/>
      <w:rPr>
        <w:rStyle w:val="PageNumber"/>
        <w:b w:val="0"/>
      </w:rPr>
    </w:pPr>
    <w:r w:rsidRPr="00BD2E8C">
      <w:rPr>
        <w:rStyle w:val="PageNumber"/>
        <w:b w:val="0"/>
      </w:rPr>
      <w:fldChar w:fldCharType="begin"/>
    </w:r>
    <w:r w:rsidRPr="00BD2E8C">
      <w:rPr>
        <w:rStyle w:val="PageNumber"/>
        <w:b w:val="0"/>
      </w:rPr>
      <w:instrText xml:space="preserve">PAGE  </w:instrText>
    </w:r>
    <w:r w:rsidRPr="00BD2E8C">
      <w:rPr>
        <w:rStyle w:val="PageNumber"/>
        <w:b w:val="0"/>
      </w:rPr>
      <w:fldChar w:fldCharType="separate"/>
    </w:r>
    <w:r w:rsidRPr="00BD2E8C">
      <w:rPr>
        <w:rStyle w:val="PageNumber"/>
        <w:b w:val="0"/>
        <w:noProof/>
      </w:rPr>
      <w:t>7</w:t>
    </w:r>
    <w:r w:rsidRPr="00BD2E8C">
      <w:rPr>
        <w:rStyle w:val="PageNumber"/>
        <w:b w:val="0"/>
      </w:rPr>
      <w:fldChar w:fldCharType="end"/>
    </w:r>
  </w:p>
  <w:p w14:paraId="26976AA7" w14:textId="77777777" w:rsidR="000963B1" w:rsidRDefault="000963B1" w:rsidP="00C05110">
    <w:pPr>
      <w:pStyle w:val="Footer"/>
      <w:jc w:val="right"/>
    </w:pPr>
    <w:r>
      <w:t>APPENDIX 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6AA8" w14:textId="5A15E121" w:rsidR="000963B1" w:rsidRPr="00B66BFE" w:rsidRDefault="000963B1" w:rsidP="00727C4C">
    <w:pPr>
      <w:pStyle w:val="Footer"/>
      <w:framePr w:wrap="around" w:vAnchor="text" w:hAnchor="margin" w:xAlign="center" w:y="1"/>
      <w:rPr>
        <w:rStyle w:val="PageNumber"/>
        <w:b w:val="0"/>
      </w:rPr>
    </w:pPr>
    <w:r>
      <w:rPr>
        <w:rStyle w:val="PageNumber"/>
        <w:b w:val="0"/>
      </w:rPr>
      <w:t>AP-7.4-</w:t>
    </w:r>
    <w:r w:rsidRPr="00B66BFE">
      <w:rPr>
        <w:rStyle w:val="PageNumber"/>
        <w:b w:val="0"/>
      </w:rPr>
      <w:fldChar w:fldCharType="begin"/>
    </w:r>
    <w:r w:rsidRPr="00B66BFE">
      <w:rPr>
        <w:rStyle w:val="PageNumber"/>
        <w:b w:val="0"/>
      </w:rPr>
      <w:instrText xml:space="preserve">PAGE  </w:instrText>
    </w:r>
    <w:r w:rsidRPr="00B66BFE">
      <w:rPr>
        <w:rStyle w:val="PageNumber"/>
        <w:b w:val="0"/>
      </w:rPr>
      <w:fldChar w:fldCharType="separate"/>
    </w:r>
    <w:r w:rsidR="006F679D">
      <w:rPr>
        <w:rStyle w:val="PageNumber"/>
        <w:b w:val="0"/>
        <w:noProof/>
      </w:rPr>
      <w:t>1</w:t>
    </w:r>
    <w:r w:rsidRPr="00B66BFE">
      <w:rPr>
        <w:rStyle w:val="PageNumber"/>
        <w:b w:val="0"/>
      </w:rPr>
      <w:fldChar w:fldCharType="end"/>
    </w:r>
  </w:p>
  <w:p w14:paraId="26976AA9" w14:textId="47E992C7" w:rsidR="000963B1" w:rsidRPr="00C05110" w:rsidRDefault="000963B1" w:rsidP="00AF2F18">
    <w:pPr>
      <w:pStyle w:val="Footer"/>
      <w:tabs>
        <w:tab w:val="clear" w:pos="4320"/>
        <w:tab w:val="clear" w:pos="8640"/>
      </w:tabs>
      <w:jc w:val="right"/>
    </w:pPr>
    <w:r w:rsidRPr="00C05110">
      <w:t xml:space="preserve">APPENDIX </w:t>
    </w:r>
    <w:r>
      <w:t>7.4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76A9F" w14:textId="77777777" w:rsidR="000963B1" w:rsidRDefault="000963B1">
      <w:r>
        <w:separator/>
      </w:r>
    </w:p>
  </w:footnote>
  <w:footnote w:type="continuationSeparator" w:id="0">
    <w:p w14:paraId="26976AA0" w14:textId="77777777" w:rsidR="000963B1" w:rsidRDefault="000963B1">
      <w:r>
        <w:continuationSeparator/>
      </w:r>
    </w:p>
  </w:footnote>
  <w:footnote w:id="1">
    <w:p w14:paraId="4ACB3E82" w14:textId="77777777" w:rsidR="000963B1" w:rsidRPr="00BD2E8C" w:rsidRDefault="000963B1" w:rsidP="000C29F2">
      <w:pPr>
        <w:pStyle w:val="FootnoteText"/>
        <w:rPr>
          <w:rFonts w:cs="Arial"/>
        </w:rPr>
      </w:pPr>
      <w:r w:rsidRPr="00BD2E8C">
        <w:rPr>
          <w:rStyle w:val="FootnoteReference"/>
          <w:rFonts w:cs="Arial"/>
        </w:rPr>
        <w:footnoteRef/>
      </w:r>
      <w:r w:rsidRPr="00BD2E8C">
        <w:rPr>
          <w:rFonts w:cs="Arial"/>
        </w:rPr>
        <w:t xml:space="preserve"> Refer to PDC 1067.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6AA3" w14:textId="77777777" w:rsidR="000963B1" w:rsidRDefault="000963B1" w:rsidP="00B24A88">
    <w:pPr>
      <w:pStyle w:val="Header"/>
      <w:jc w:val="right"/>
      <w:rPr>
        <w:i/>
        <w:u w:val="none"/>
      </w:rPr>
    </w:pPr>
    <w:r w:rsidRPr="0090338D">
      <w:rPr>
        <w:i/>
        <w:u w:val="none"/>
      </w:rPr>
      <w:t xml:space="preserve">DoD 4000.25-1-M, </w:t>
    </w:r>
    <w:r>
      <w:rPr>
        <w:i/>
        <w:u w:val="none"/>
      </w:rPr>
      <w:t>January, 2006</w:t>
    </w:r>
  </w:p>
  <w:p w14:paraId="26976AA4" w14:textId="77777777" w:rsidR="000963B1" w:rsidRPr="0090338D" w:rsidRDefault="000963B1" w:rsidP="00B24A88">
    <w:pPr>
      <w:pStyle w:val="Header"/>
      <w:jc w:val="right"/>
      <w:rPr>
        <w:i/>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04D7" w14:textId="179E65D1" w:rsidR="000963B1" w:rsidRPr="00F27BCA" w:rsidRDefault="000963B1" w:rsidP="00F27BCA">
    <w:pPr>
      <w:tabs>
        <w:tab w:val="center" w:pos="4320"/>
        <w:tab w:val="right" w:pos="8640"/>
      </w:tabs>
      <w:autoSpaceDN w:val="0"/>
      <w:jc w:val="right"/>
      <w:rPr>
        <w:i/>
        <w:iCs/>
      </w:rPr>
    </w:pPr>
    <w:r w:rsidRPr="00F27BCA">
      <w:rPr>
        <w:i/>
        <w:iCs/>
      </w:rPr>
      <w:t xml:space="preserve">DLM 4000.25, Volume 2, </w:t>
    </w:r>
    <w:r w:rsidR="006F679D">
      <w:rPr>
        <w:i/>
      </w:rPr>
      <w:t>November 26</w:t>
    </w:r>
    <w:r w:rsidRPr="00F27BCA">
      <w:rPr>
        <w:i/>
        <w:iCs/>
      </w:rPr>
      <w:t>, 2019</w:t>
    </w:r>
  </w:p>
  <w:p w14:paraId="58E87C25" w14:textId="71AF9D68" w:rsidR="000963B1" w:rsidRPr="00150E59" w:rsidRDefault="000963B1" w:rsidP="0086794E">
    <w:pPr>
      <w:pStyle w:val="Header"/>
      <w:jc w:val="right"/>
      <w:rPr>
        <w:i/>
        <w:u w:val="none"/>
      </w:rPr>
    </w:pPr>
    <w:r w:rsidRPr="00F27BCA">
      <w:rPr>
        <w:i/>
        <w:iCs/>
        <w:u w:val="none"/>
      </w:rPr>
      <w:t>Change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76AAA" w14:textId="77777777" w:rsidR="000963B1" w:rsidRPr="00BD2E8C" w:rsidRDefault="000963B1">
    <w:pPr>
      <w:pStyle w:val="Header"/>
      <w:jc w:val="right"/>
      <w:rPr>
        <w:iCs/>
        <w:u w:val="none"/>
      </w:rPr>
    </w:pPr>
  </w:p>
  <w:p w14:paraId="26976AAB" w14:textId="77777777" w:rsidR="000963B1" w:rsidRDefault="000963B1">
    <w:pPr>
      <w:pStyle w:val="Header"/>
      <w:jc w:val="right"/>
      <w:rPr>
        <w:b/>
        <w:u w:val="none"/>
      </w:rPr>
    </w:pPr>
    <w:r>
      <w:rPr>
        <w:b/>
        <w:u w:val="none"/>
      </w:rPr>
      <w:t>DoD 4000.25-1-M</w:t>
    </w:r>
    <w:r>
      <w:rPr>
        <w:b/>
        <w:u w:val="none"/>
      </w:rPr>
      <w:br/>
    </w:r>
  </w:p>
  <w:p w14:paraId="26976AAC" w14:textId="77777777" w:rsidR="000963B1" w:rsidRDefault="000963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9C04DB04"/>
    <w:lvl w:ilvl="0">
      <w:start w:val="34"/>
      <w:numFmt w:val="none"/>
      <w:pStyle w:val="Heading1"/>
      <w:suff w:val="nothing"/>
      <w:lvlText w:val="AP2.4 APPENDIX 2.4"/>
      <w:lvlJc w:val="left"/>
      <w:pPr>
        <w:ind w:left="0" w:firstLine="0"/>
      </w:pPr>
      <w:rPr>
        <w:rFonts w:ascii="Arial" w:hAnsi="Arial" w:hint="default"/>
        <w:b/>
        <w:i w:val="0"/>
        <w:sz w:val="48"/>
      </w:rPr>
    </w:lvl>
    <w:lvl w:ilvl="1">
      <w:start w:val="1"/>
      <w:numFmt w:val="none"/>
      <w:pStyle w:val="Heading2"/>
      <w:suff w:val="nothing"/>
      <w:lvlText w:val="AP2.4. "/>
      <w:lvlJc w:val="left"/>
      <w:pPr>
        <w:ind w:left="0" w:firstLine="0"/>
      </w:pPr>
      <w:rPr>
        <w:rFonts w:ascii="Arial" w:hAnsi="Arial" w:hint="default"/>
        <w:b/>
        <w:i w:val="0"/>
        <w:sz w:val="24"/>
      </w:rPr>
    </w:lvl>
    <w:lvl w:ilvl="2">
      <w:start w:val="1"/>
      <w:numFmt w:val="decimal"/>
      <w:pStyle w:val="Heading3"/>
      <w:suff w:val="nothing"/>
      <w:lvlText w:val="AP2%1.4.%3. "/>
      <w:lvlJc w:val="left"/>
      <w:pPr>
        <w:ind w:left="0" w:firstLine="360"/>
      </w:pPr>
      <w:rPr>
        <w:rFonts w:ascii="Arial" w:hAnsi="Arial" w:hint="default"/>
        <w:b/>
        <w:i w:val="0"/>
        <w:sz w:val="24"/>
      </w:rPr>
    </w:lvl>
    <w:lvl w:ilvl="3">
      <w:start w:val="1"/>
      <w:numFmt w:val="decimal"/>
      <w:pStyle w:val="Heading4"/>
      <w:suff w:val="nothing"/>
      <w:lvlText w:val="AP2%1.4.%3.%4. "/>
      <w:lvlJc w:val="left"/>
      <w:pPr>
        <w:ind w:left="0" w:firstLine="720"/>
      </w:pPr>
      <w:rPr>
        <w:rFonts w:ascii="Arial" w:hAnsi="Arial" w:hint="default"/>
        <w:b w:val="0"/>
        <w:i w:val="0"/>
        <w:sz w:val="24"/>
      </w:rPr>
    </w:lvl>
    <w:lvl w:ilvl="4">
      <w:start w:val="1"/>
      <w:numFmt w:val="decimal"/>
      <w:pStyle w:val="Heading5"/>
      <w:suff w:val="nothing"/>
      <w:lvlText w:val="AP2%1.4.%3.%4.%5. "/>
      <w:lvlJc w:val="left"/>
      <w:pPr>
        <w:ind w:left="0" w:firstLine="1080"/>
      </w:pPr>
      <w:rPr>
        <w:rFonts w:ascii="Arial" w:hAnsi="Arial" w:hint="default"/>
        <w:b/>
        <w:i w:val="0"/>
        <w:sz w:val="24"/>
      </w:rPr>
    </w:lvl>
    <w:lvl w:ilvl="5">
      <w:start w:val="1"/>
      <w:numFmt w:val="decimal"/>
      <w:pStyle w:val="Heading6"/>
      <w:suff w:val="nothing"/>
      <w:lvlText w:val="AP2%1.4.%3.%4.%5.%6. "/>
      <w:lvlJc w:val="left"/>
      <w:pPr>
        <w:ind w:left="0" w:firstLine="1440"/>
      </w:pPr>
      <w:rPr>
        <w:rFonts w:ascii="Arial" w:hAnsi="Arial" w:hint="default"/>
        <w:b/>
        <w:i w:val="0"/>
        <w:sz w:val="24"/>
      </w:rPr>
    </w:lvl>
    <w:lvl w:ilvl="6">
      <w:start w:val="1"/>
      <w:numFmt w:val="decimal"/>
      <w:pStyle w:val="Heading7"/>
      <w:suff w:val="nothing"/>
      <w:lvlText w:val="AP2%1.4.%3.%4.%5.%6.%7. "/>
      <w:lvlJc w:val="left"/>
      <w:pPr>
        <w:ind w:left="0" w:firstLine="1800"/>
      </w:pPr>
      <w:rPr>
        <w:rFonts w:ascii="Arial" w:hAnsi="Arial" w:hint="default"/>
        <w:b/>
        <w:i w:val="0"/>
        <w:sz w:val="24"/>
      </w:rPr>
    </w:lvl>
    <w:lvl w:ilvl="7">
      <w:start w:val="1"/>
      <w:numFmt w:val="decimal"/>
      <w:pStyle w:val="Heading8"/>
      <w:suff w:val="nothing"/>
      <w:lvlText w:val="AP2%1.4.%3.%4.%5.%6.%7.%8. "/>
      <w:lvlJc w:val="left"/>
      <w:pPr>
        <w:ind w:left="0" w:firstLine="2160"/>
      </w:pPr>
      <w:rPr>
        <w:rFonts w:ascii="Arial" w:hAnsi="Arial" w:hint="default"/>
        <w:b/>
        <w:i w:val="0"/>
        <w:sz w:val="24"/>
      </w:rPr>
    </w:lvl>
    <w:lvl w:ilvl="8">
      <w:start w:val="1"/>
      <w:numFmt w:val="decimal"/>
      <w:pStyle w:val="Codes"/>
      <w:suff w:val="nothing"/>
      <w:lvlText w:val="AP2%1.4.%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DA8238D"/>
    <w:multiLevelType w:val="multilevel"/>
    <w:tmpl w:val="867CB75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none"/>
      <w:lvlText w:val="–"/>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4D7109"/>
    <w:multiLevelType w:val="hybridMultilevel"/>
    <w:tmpl w:val="7D2EE918"/>
    <w:lvl w:ilvl="0" w:tplc="ED463BF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C5B5CE1"/>
    <w:multiLevelType w:val="multilevel"/>
    <w:tmpl w:val="867CB75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none"/>
      <w:lvlText w:val="–"/>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30B54C8B"/>
    <w:multiLevelType w:val="multilevel"/>
    <w:tmpl w:val="867CB75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none"/>
      <w:lvlText w:val="–"/>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34641776"/>
    <w:multiLevelType w:val="multilevel"/>
    <w:tmpl w:val="867CB75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none"/>
      <w:lvlText w:val="–"/>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56D86097"/>
    <w:multiLevelType w:val="multilevel"/>
    <w:tmpl w:val="867CB75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5C3A69A8"/>
    <w:multiLevelType w:val="multilevel"/>
    <w:tmpl w:val="867CB75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9"/>
  </w:num>
  <w:num w:numId="3">
    <w:abstractNumId w:val="5"/>
  </w:num>
  <w:num w:numId="4">
    <w:abstractNumId w:val="3"/>
  </w:num>
  <w:num w:numId="5">
    <w:abstractNumId w:val="2"/>
  </w:num>
  <w:num w:numId="6">
    <w:abstractNumId w:val="4"/>
  </w:num>
  <w:num w:numId="7">
    <w:abstractNumId w:val="1"/>
  </w:num>
  <w:num w:numId="8">
    <w:abstractNumId w:val="0"/>
  </w:num>
  <w:num w:numId="9">
    <w:abstractNumId w:val="14"/>
  </w:num>
  <w:num w:numId="10">
    <w:abstractNumId w:val="15"/>
  </w:num>
  <w:num w:numId="11">
    <w:abstractNumId w:val="16"/>
  </w:num>
  <w:num w:numId="12">
    <w:abstractNumId w:val="20"/>
  </w:num>
  <w:num w:numId="13">
    <w:abstractNumId w:val="17"/>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8"/>
  </w:num>
  <w:num w:numId="19">
    <w:abstractNumId w:val="13"/>
  </w:num>
  <w:num w:numId="20">
    <w:abstractNumId w:val="13"/>
    <w:lvlOverride w:ilvl="0">
      <w:lvl w:ilvl="0">
        <w:start w:val="1"/>
        <w:numFmt w:val="decimal"/>
        <w:lvlText w:val="%1."/>
        <w:legacy w:legacy="1" w:legacySpace="0" w:legacyIndent="0"/>
        <w:lvlJc w:val="left"/>
      </w:lvl>
    </w:lvlOverride>
    <w:lvlOverride w:ilvl="1">
      <w:lvl w:ilvl="1">
        <w:start w:val="1"/>
        <w:numFmt w:val="decimal"/>
        <w:lvlText w:val="%2."/>
        <w:legacy w:legacy="1" w:legacySpace="0" w:legacyIndent="0"/>
        <w:lvlJc w:val="left"/>
      </w:lvl>
    </w:lvlOverride>
    <w:lvlOverride w:ilvl="2">
      <w:lvl w:ilvl="2">
        <w:start w:val="1"/>
        <w:numFmt w:val="decimal"/>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decimal"/>
        <w:lvlText w:val="%5."/>
        <w:legacy w:legacy="1" w:legacySpace="0" w:legacyIndent="0"/>
        <w:lvlJc w:val="left"/>
      </w:lvl>
    </w:lvlOverride>
    <w:lvlOverride w:ilvl="5">
      <w:lvl w:ilvl="5">
        <w:start w:val="1"/>
        <w:numFmt w:val="decimal"/>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none"/>
        <w:lvlText w:val=""/>
        <w:legacy w:legacy="1" w:legacySpace="0" w:legacyIndent="0"/>
        <w:lvlJc w:val="left"/>
      </w:lvl>
    </w:lvlOverride>
    <w:lvlOverride w:ilvl="8">
      <w:lvl w:ilvl="8">
        <w:start w:val="1"/>
        <w:numFmt w:val="lowerRoman"/>
        <w:lvlText w:val="%9"/>
        <w:legacy w:legacy="1" w:legacySpace="0" w:legacyIndent="0"/>
        <w:lvlJc w:val="left"/>
      </w:lvl>
    </w:lvlOverride>
  </w:num>
  <w:num w:numId="21">
    <w:abstractNumId w:val="19"/>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A96777"/>
    <w:rsid w:val="00001BE2"/>
    <w:rsid w:val="0002217C"/>
    <w:rsid w:val="0002767F"/>
    <w:rsid w:val="000963B1"/>
    <w:rsid w:val="000C29F2"/>
    <w:rsid w:val="000D2186"/>
    <w:rsid w:val="000E51D8"/>
    <w:rsid w:val="00120E0C"/>
    <w:rsid w:val="00140E0E"/>
    <w:rsid w:val="00150E59"/>
    <w:rsid w:val="0018190E"/>
    <w:rsid w:val="001B14B8"/>
    <w:rsid w:val="001F188C"/>
    <w:rsid w:val="001F713C"/>
    <w:rsid w:val="001F7CB5"/>
    <w:rsid w:val="0021389D"/>
    <w:rsid w:val="00213D3B"/>
    <w:rsid w:val="002177DB"/>
    <w:rsid w:val="00227C40"/>
    <w:rsid w:val="0027203C"/>
    <w:rsid w:val="00284CE1"/>
    <w:rsid w:val="00285907"/>
    <w:rsid w:val="002C2769"/>
    <w:rsid w:val="002C3F2E"/>
    <w:rsid w:val="002E08CA"/>
    <w:rsid w:val="00304A45"/>
    <w:rsid w:val="00323B7C"/>
    <w:rsid w:val="00353730"/>
    <w:rsid w:val="003656C1"/>
    <w:rsid w:val="003767CC"/>
    <w:rsid w:val="003C1EF7"/>
    <w:rsid w:val="003F2DBA"/>
    <w:rsid w:val="003F7E08"/>
    <w:rsid w:val="00465122"/>
    <w:rsid w:val="00467A6D"/>
    <w:rsid w:val="004A661E"/>
    <w:rsid w:val="00525959"/>
    <w:rsid w:val="00530453"/>
    <w:rsid w:val="00536825"/>
    <w:rsid w:val="00554CBC"/>
    <w:rsid w:val="005C13A2"/>
    <w:rsid w:val="00605DF4"/>
    <w:rsid w:val="0061637E"/>
    <w:rsid w:val="0064533B"/>
    <w:rsid w:val="00657DD0"/>
    <w:rsid w:val="00672448"/>
    <w:rsid w:val="00683242"/>
    <w:rsid w:val="006A1BC0"/>
    <w:rsid w:val="006D1BEA"/>
    <w:rsid w:val="006E03F3"/>
    <w:rsid w:val="006E2C8C"/>
    <w:rsid w:val="006E4030"/>
    <w:rsid w:val="006F5B9B"/>
    <w:rsid w:val="006F679D"/>
    <w:rsid w:val="006F7D78"/>
    <w:rsid w:val="00705CB4"/>
    <w:rsid w:val="00716BC6"/>
    <w:rsid w:val="00727C4C"/>
    <w:rsid w:val="00784F84"/>
    <w:rsid w:val="007C1B61"/>
    <w:rsid w:val="008131E9"/>
    <w:rsid w:val="00817393"/>
    <w:rsid w:val="00860B96"/>
    <w:rsid w:val="0086794E"/>
    <w:rsid w:val="00890882"/>
    <w:rsid w:val="0090338D"/>
    <w:rsid w:val="00914AF8"/>
    <w:rsid w:val="009539BD"/>
    <w:rsid w:val="009636A9"/>
    <w:rsid w:val="009A5C77"/>
    <w:rsid w:val="009A7248"/>
    <w:rsid w:val="00A0473A"/>
    <w:rsid w:val="00A43DF1"/>
    <w:rsid w:val="00A6276F"/>
    <w:rsid w:val="00A7505F"/>
    <w:rsid w:val="00A80CA3"/>
    <w:rsid w:val="00A96777"/>
    <w:rsid w:val="00AD6043"/>
    <w:rsid w:val="00AE162B"/>
    <w:rsid w:val="00AF2F18"/>
    <w:rsid w:val="00AF5A0F"/>
    <w:rsid w:val="00B1539B"/>
    <w:rsid w:val="00B24A88"/>
    <w:rsid w:val="00B53970"/>
    <w:rsid w:val="00B66BFE"/>
    <w:rsid w:val="00B723AA"/>
    <w:rsid w:val="00B93D60"/>
    <w:rsid w:val="00BA1862"/>
    <w:rsid w:val="00BA65B6"/>
    <w:rsid w:val="00BB123E"/>
    <w:rsid w:val="00BC508C"/>
    <w:rsid w:val="00BD2E8C"/>
    <w:rsid w:val="00C05110"/>
    <w:rsid w:val="00C10A53"/>
    <w:rsid w:val="00C44541"/>
    <w:rsid w:val="00CA24B0"/>
    <w:rsid w:val="00CD321E"/>
    <w:rsid w:val="00CE52BE"/>
    <w:rsid w:val="00CF5FEB"/>
    <w:rsid w:val="00D21FC8"/>
    <w:rsid w:val="00D30A40"/>
    <w:rsid w:val="00D37DC0"/>
    <w:rsid w:val="00D42AFA"/>
    <w:rsid w:val="00D54898"/>
    <w:rsid w:val="00D703C2"/>
    <w:rsid w:val="00D75EC5"/>
    <w:rsid w:val="00D9505A"/>
    <w:rsid w:val="00DC5BC2"/>
    <w:rsid w:val="00DC7A1B"/>
    <w:rsid w:val="00E431A8"/>
    <w:rsid w:val="00E44883"/>
    <w:rsid w:val="00E876B2"/>
    <w:rsid w:val="00EA5168"/>
    <w:rsid w:val="00EA6B77"/>
    <w:rsid w:val="00ED0EFF"/>
    <w:rsid w:val="00EE389B"/>
    <w:rsid w:val="00F03ADC"/>
    <w:rsid w:val="00F1083D"/>
    <w:rsid w:val="00F17630"/>
    <w:rsid w:val="00F27BCA"/>
    <w:rsid w:val="00F37242"/>
    <w:rsid w:val="00F51E4C"/>
    <w:rsid w:val="00F6525D"/>
    <w:rsid w:val="00F75977"/>
    <w:rsid w:val="00F926F1"/>
    <w:rsid w:val="00F95496"/>
    <w:rsid w:val="00FA7086"/>
    <w:rsid w:val="00FB654D"/>
    <w:rsid w:val="00FD4838"/>
    <w:rsid w:val="00FE26E3"/>
    <w:rsid w:val="00FE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9769E5"/>
  <w15:docId w15:val="{60BE14EC-0EA0-4CC8-85E7-1BD58A99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043"/>
    <w:rPr>
      <w:rFonts w:ascii="Arial" w:hAnsi="Arial"/>
      <w:sz w:val="24"/>
    </w:rPr>
  </w:style>
  <w:style w:type="paragraph" w:styleId="Heading1">
    <w:name w:val="heading 1"/>
    <w:basedOn w:val="Normal"/>
    <w:next w:val="Heading2"/>
    <w:qFormat/>
    <w:rsid w:val="00AD6043"/>
    <w:pPr>
      <w:numPr>
        <w:numId w:val="1"/>
      </w:numPr>
      <w:spacing w:before="60" w:after="120"/>
      <w:outlineLvl w:val="0"/>
    </w:pPr>
    <w:rPr>
      <w:b/>
      <w:caps/>
      <w:sz w:val="28"/>
    </w:rPr>
  </w:style>
  <w:style w:type="paragraph" w:styleId="Heading2">
    <w:name w:val="heading 2"/>
    <w:basedOn w:val="Normal"/>
    <w:qFormat/>
    <w:rsid w:val="00AD6043"/>
    <w:pPr>
      <w:numPr>
        <w:ilvl w:val="1"/>
        <w:numId w:val="1"/>
      </w:numPr>
      <w:spacing w:before="60" w:after="120"/>
      <w:outlineLvl w:val="1"/>
    </w:pPr>
  </w:style>
  <w:style w:type="paragraph" w:styleId="Heading3">
    <w:name w:val="heading 3"/>
    <w:basedOn w:val="Normal"/>
    <w:qFormat/>
    <w:rsid w:val="00AD6043"/>
    <w:pPr>
      <w:numPr>
        <w:ilvl w:val="2"/>
        <w:numId w:val="1"/>
      </w:numPr>
      <w:tabs>
        <w:tab w:val="left" w:pos="1530"/>
      </w:tabs>
      <w:spacing w:before="60" w:after="120"/>
      <w:outlineLvl w:val="2"/>
    </w:pPr>
  </w:style>
  <w:style w:type="paragraph" w:styleId="Heading4">
    <w:name w:val="heading 4"/>
    <w:basedOn w:val="Normal"/>
    <w:qFormat/>
    <w:rsid w:val="00AD6043"/>
    <w:pPr>
      <w:numPr>
        <w:ilvl w:val="3"/>
        <w:numId w:val="1"/>
      </w:numPr>
      <w:spacing w:before="60" w:after="120"/>
      <w:outlineLvl w:val="3"/>
    </w:pPr>
  </w:style>
  <w:style w:type="paragraph" w:styleId="Heading5">
    <w:name w:val="heading 5"/>
    <w:basedOn w:val="Normal"/>
    <w:qFormat/>
    <w:rsid w:val="00AD6043"/>
    <w:pPr>
      <w:numPr>
        <w:ilvl w:val="4"/>
        <w:numId w:val="1"/>
      </w:numPr>
      <w:spacing w:before="60" w:after="120"/>
      <w:outlineLvl w:val="4"/>
    </w:pPr>
  </w:style>
  <w:style w:type="paragraph" w:styleId="Heading6">
    <w:name w:val="heading 6"/>
    <w:basedOn w:val="Normal"/>
    <w:qFormat/>
    <w:rsid w:val="00AD6043"/>
    <w:pPr>
      <w:numPr>
        <w:ilvl w:val="5"/>
        <w:numId w:val="1"/>
      </w:numPr>
      <w:tabs>
        <w:tab w:val="left" w:pos="3150"/>
      </w:tabs>
      <w:spacing w:before="60" w:after="120"/>
      <w:outlineLvl w:val="5"/>
    </w:pPr>
  </w:style>
  <w:style w:type="paragraph" w:styleId="Heading7">
    <w:name w:val="heading 7"/>
    <w:basedOn w:val="Normal"/>
    <w:qFormat/>
    <w:rsid w:val="00AD6043"/>
    <w:pPr>
      <w:numPr>
        <w:ilvl w:val="6"/>
        <w:numId w:val="1"/>
      </w:numPr>
      <w:spacing w:before="60" w:after="120"/>
      <w:outlineLvl w:val="6"/>
    </w:pPr>
  </w:style>
  <w:style w:type="paragraph" w:styleId="Heading8">
    <w:name w:val="heading 8"/>
    <w:basedOn w:val="Normal"/>
    <w:next w:val="Heading9"/>
    <w:qFormat/>
    <w:rsid w:val="00AD6043"/>
    <w:pPr>
      <w:numPr>
        <w:ilvl w:val="7"/>
        <w:numId w:val="1"/>
      </w:numPr>
      <w:spacing w:before="60" w:after="120"/>
      <w:outlineLvl w:val="7"/>
    </w:pPr>
  </w:style>
  <w:style w:type="paragraph" w:styleId="Heading9">
    <w:name w:val="heading 9"/>
    <w:basedOn w:val="Normal"/>
    <w:qFormat/>
    <w:rsid w:val="00AD6043"/>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AD6043"/>
    <w:rPr>
      <w:vertAlign w:val="superscript"/>
    </w:rPr>
  </w:style>
  <w:style w:type="character" w:styleId="FootnoteReference">
    <w:name w:val="footnote reference"/>
    <w:semiHidden/>
    <w:rsid w:val="00AD6043"/>
    <w:rPr>
      <w:vertAlign w:val="superscript"/>
    </w:rPr>
  </w:style>
  <w:style w:type="character" w:styleId="PageNumber">
    <w:name w:val="page number"/>
    <w:rsid w:val="00AD6043"/>
    <w:rPr>
      <w:rFonts w:ascii="Arial" w:hAnsi="Arial"/>
      <w:b/>
      <w:sz w:val="24"/>
    </w:rPr>
  </w:style>
  <w:style w:type="paragraph" w:styleId="Footer">
    <w:name w:val="footer"/>
    <w:basedOn w:val="Normal"/>
    <w:rsid w:val="00AD6043"/>
    <w:pPr>
      <w:tabs>
        <w:tab w:val="center" w:pos="4320"/>
        <w:tab w:val="right" w:pos="8640"/>
      </w:tabs>
    </w:pPr>
  </w:style>
  <w:style w:type="paragraph" w:styleId="Header">
    <w:name w:val="header"/>
    <w:basedOn w:val="Normal"/>
    <w:rsid w:val="00AD6043"/>
    <w:pPr>
      <w:tabs>
        <w:tab w:val="center" w:pos="4320"/>
        <w:tab w:val="right" w:pos="8640"/>
      </w:tabs>
      <w:jc w:val="center"/>
    </w:pPr>
    <w:rPr>
      <w:u w:val="single"/>
    </w:rPr>
  </w:style>
  <w:style w:type="paragraph" w:styleId="FootnoteText">
    <w:name w:val="footnote text"/>
    <w:basedOn w:val="Normal"/>
    <w:link w:val="FootnoteTextChar"/>
    <w:semiHidden/>
    <w:rsid w:val="00AD6043"/>
    <w:rPr>
      <w:sz w:val="20"/>
    </w:rPr>
  </w:style>
  <w:style w:type="paragraph" w:customStyle="1" w:styleId="SubTitle">
    <w:name w:val="Sub Title"/>
    <w:basedOn w:val="Title"/>
    <w:rsid w:val="00AD6043"/>
    <w:rPr>
      <w:u w:val="single"/>
    </w:rPr>
  </w:style>
  <w:style w:type="paragraph" w:styleId="Title">
    <w:name w:val="Title"/>
    <w:basedOn w:val="Normal"/>
    <w:next w:val="Header"/>
    <w:qFormat/>
    <w:rsid w:val="00AD6043"/>
    <w:pPr>
      <w:spacing w:after="240"/>
      <w:jc w:val="center"/>
    </w:pPr>
    <w:rPr>
      <w:b/>
      <w:caps/>
      <w:kern w:val="28"/>
      <w:sz w:val="28"/>
    </w:rPr>
  </w:style>
  <w:style w:type="paragraph" w:styleId="Subtitle0">
    <w:name w:val="Subtitle"/>
    <w:basedOn w:val="Normal"/>
    <w:qFormat/>
    <w:rsid w:val="00AD6043"/>
    <w:pPr>
      <w:spacing w:after="240"/>
      <w:jc w:val="center"/>
    </w:pPr>
    <w:rPr>
      <w:b/>
      <w:caps/>
      <w:sz w:val="28"/>
      <w:u w:val="single"/>
    </w:rPr>
  </w:style>
  <w:style w:type="paragraph" w:customStyle="1" w:styleId="BodyTextHanging">
    <w:name w:val="Body Text Hanging"/>
    <w:basedOn w:val="Normal"/>
    <w:rsid w:val="00AD6043"/>
    <w:pPr>
      <w:spacing w:after="160"/>
      <w:ind w:left="1440"/>
    </w:pPr>
  </w:style>
  <w:style w:type="paragraph" w:styleId="BodyText">
    <w:name w:val="Body Text"/>
    <w:basedOn w:val="Normal"/>
    <w:rsid w:val="00AD6043"/>
    <w:pPr>
      <w:spacing w:after="120"/>
    </w:pPr>
  </w:style>
  <w:style w:type="paragraph" w:styleId="ListBullet">
    <w:name w:val="List Bullet"/>
    <w:basedOn w:val="Normal"/>
    <w:rsid w:val="00AD6043"/>
    <w:pPr>
      <w:spacing w:after="120"/>
      <w:ind w:left="360" w:hanging="360"/>
    </w:pPr>
  </w:style>
  <w:style w:type="paragraph" w:styleId="ListBullet2">
    <w:name w:val="List Bullet 2"/>
    <w:basedOn w:val="Normal"/>
    <w:rsid w:val="00AD6043"/>
    <w:pPr>
      <w:ind w:left="720" w:hanging="360"/>
    </w:pPr>
  </w:style>
  <w:style w:type="paragraph" w:styleId="ListBullet3">
    <w:name w:val="List Bullet 3"/>
    <w:basedOn w:val="Normal"/>
    <w:rsid w:val="00AD6043"/>
    <w:pPr>
      <w:ind w:left="1080" w:hanging="360"/>
    </w:pPr>
  </w:style>
  <w:style w:type="paragraph" w:styleId="ListNumber">
    <w:name w:val="List Number"/>
    <w:basedOn w:val="Normal"/>
    <w:rsid w:val="00AD6043"/>
    <w:pPr>
      <w:ind w:left="360" w:hanging="360"/>
    </w:pPr>
  </w:style>
  <w:style w:type="paragraph" w:styleId="ListNumber2">
    <w:name w:val="List Number 2"/>
    <w:basedOn w:val="Normal"/>
    <w:rsid w:val="00AD6043"/>
    <w:pPr>
      <w:ind w:left="720" w:hanging="360"/>
    </w:pPr>
  </w:style>
  <w:style w:type="paragraph" w:styleId="ListNumber3">
    <w:name w:val="List Number 3"/>
    <w:basedOn w:val="Normal"/>
    <w:rsid w:val="00AD6043"/>
    <w:pPr>
      <w:ind w:left="1080" w:hanging="360"/>
    </w:pPr>
  </w:style>
  <w:style w:type="paragraph" w:styleId="DocumentMap">
    <w:name w:val="Document Map"/>
    <w:basedOn w:val="Normal"/>
    <w:semiHidden/>
    <w:rsid w:val="00AD6043"/>
    <w:pPr>
      <w:shd w:val="clear" w:color="auto" w:fill="000080"/>
    </w:pPr>
    <w:rPr>
      <w:rFonts w:ascii="Tahoma" w:hAnsi="Tahoma"/>
    </w:rPr>
  </w:style>
  <w:style w:type="paragraph" w:customStyle="1" w:styleId="Codes">
    <w:name w:val="Codes"/>
    <w:rsid w:val="00AD6043"/>
    <w:pPr>
      <w:numPr>
        <w:ilvl w:val="8"/>
        <w:numId w:val="1"/>
      </w:numPr>
    </w:pPr>
    <w:rPr>
      <w:rFonts w:ascii="Arial" w:hAnsi="Arial"/>
      <w:noProof/>
      <w:sz w:val="24"/>
    </w:rPr>
  </w:style>
  <w:style w:type="paragraph" w:customStyle="1" w:styleId="2MANUALPara">
    <w:name w:val="2MANUAL Para"/>
    <w:rsid w:val="00AD6043"/>
    <w:pPr>
      <w:autoSpaceDE w:val="0"/>
      <w:autoSpaceDN w:val="0"/>
      <w:adjustRightInd w:val="0"/>
    </w:pPr>
    <w:rPr>
      <w:rFonts w:ascii="Arial" w:hAnsi="Arial"/>
      <w:szCs w:val="24"/>
    </w:rPr>
  </w:style>
  <w:style w:type="paragraph" w:customStyle="1" w:styleId="1MANUALPara">
    <w:name w:val="1MANUAL Para"/>
    <w:rsid w:val="00AD6043"/>
    <w:pPr>
      <w:autoSpaceDE w:val="0"/>
      <w:autoSpaceDN w:val="0"/>
      <w:adjustRightInd w:val="0"/>
    </w:pPr>
    <w:rPr>
      <w:rFonts w:ascii="Arial" w:hAnsi="Arial"/>
      <w:szCs w:val="24"/>
    </w:rPr>
  </w:style>
  <w:style w:type="character" w:styleId="CommentReference">
    <w:name w:val="annotation reference"/>
    <w:semiHidden/>
    <w:rsid w:val="00AD6043"/>
    <w:rPr>
      <w:sz w:val="16"/>
      <w:szCs w:val="16"/>
    </w:rPr>
  </w:style>
  <w:style w:type="paragraph" w:styleId="CommentText">
    <w:name w:val="annotation text"/>
    <w:basedOn w:val="Normal"/>
    <w:link w:val="CommentTextChar"/>
    <w:semiHidden/>
    <w:rsid w:val="00AD6043"/>
    <w:rPr>
      <w:sz w:val="20"/>
    </w:rPr>
  </w:style>
  <w:style w:type="paragraph" w:customStyle="1" w:styleId="5MANUALPara">
    <w:name w:val="5MANUAL Para"/>
    <w:rsid w:val="00AD6043"/>
    <w:pPr>
      <w:autoSpaceDE w:val="0"/>
      <w:autoSpaceDN w:val="0"/>
      <w:adjustRightInd w:val="0"/>
    </w:pPr>
    <w:rPr>
      <w:rFonts w:ascii="Arial" w:hAnsi="Arial"/>
      <w:szCs w:val="24"/>
    </w:rPr>
  </w:style>
  <w:style w:type="paragraph" w:customStyle="1" w:styleId="3MANUALPara">
    <w:name w:val="3MANUAL Para"/>
    <w:rsid w:val="00AD6043"/>
    <w:pPr>
      <w:autoSpaceDE w:val="0"/>
      <w:autoSpaceDN w:val="0"/>
      <w:adjustRightInd w:val="0"/>
    </w:pPr>
    <w:rPr>
      <w:rFonts w:ascii="Arial" w:hAnsi="Arial"/>
      <w:szCs w:val="24"/>
    </w:rPr>
  </w:style>
  <w:style w:type="paragraph" w:styleId="BalloonText">
    <w:name w:val="Balloon Text"/>
    <w:basedOn w:val="Normal"/>
    <w:semiHidden/>
    <w:rsid w:val="00A96777"/>
    <w:rPr>
      <w:rFonts w:ascii="Tahoma" w:hAnsi="Tahoma" w:cs="Tahoma"/>
      <w:sz w:val="16"/>
      <w:szCs w:val="16"/>
    </w:rPr>
  </w:style>
  <w:style w:type="table" w:styleId="TableGrid">
    <w:name w:val="Table Grid"/>
    <w:basedOn w:val="TableNormal"/>
    <w:rsid w:val="00FE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4488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4488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0C29F2"/>
    <w:rPr>
      <w:rFonts w:ascii="Arial" w:hAnsi="Arial"/>
    </w:rPr>
  </w:style>
  <w:style w:type="paragraph" w:styleId="CommentSubject">
    <w:name w:val="annotation subject"/>
    <w:basedOn w:val="CommentText"/>
    <w:next w:val="CommentText"/>
    <w:link w:val="CommentSubjectChar"/>
    <w:semiHidden/>
    <w:unhideWhenUsed/>
    <w:rsid w:val="000963B1"/>
    <w:rPr>
      <w:b/>
      <w:bCs/>
    </w:rPr>
  </w:style>
  <w:style w:type="character" w:customStyle="1" w:styleId="CommentTextChar">
    <w:name w:val="Comment Text Char"/>
    <w:basedOn w:val="DefaultParagraphFont"/>
    <w:link w:val="CommentText"/>
    <w:semiHidden/>
    <w:rsid w:val="000963B1"/>
    <w:rPr>
      <w:rFonts w:ascii="Arial" w:hAnsi="Arial"/>
    </w:rPr>
  </w:style>
  <w:style w:type="character" w:customStyle="1" w:styleId="CommentSubjectChar">
    <w:name w:val="Comment Subject Char"/>
    <w:basedOn w:val="CommentTextChar"/>
    <w:link w:val="CommentSubject"/>
    <w:semiHidden/>
    <w:rsid w:val="000963B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80331">
      <w:bodyDiv w:val="1"/>
      <w:marLeft w:val="0"/>
      <w:marRight w:val="0"/>
      <w:marTop w:val="0"/>
      <w:marBottom w:val="0"/>
      <w:divBdr>
        <w:top w:val="none" w:sz="0" w:space="0" w:color="auto"/>
        <w:left w:val="none" w:sz="0" w:space="0" w:color="auto"/>
        <w:bottom w:val="none" w:sz="0" w:space="0" w:color="auto"/>
        <w:right w:val="none" w:sz="0" w:space="0" w:color="auto"/>
      </w:divBdr>
    </w:div>
    <w:div w:id="535775490">
      <w:bodyDiv w:val="1"/>
      <w:marLeft w:val="0"/>
      <w:marRight w:val="0"/>
      <w:marTop w:val="0"/>
      <w:marBottom w:val="0"/>
      <w:divBdr>
        <w:top w:val="none" w:sz="0" w:space="0" w:color="auto"/>
        <w:left w:val="none" w:sz="0" w:space="0" w:color="auto"/>
        <w:bottom w:val="none" w:sz="0" w:space="0" w:color="auto"/>
        <w:right w:val="none" w:sz="0" w:space="0" w:color="auto"/>
      </w:divBdr>
    </w:div>
    <w:div w:id="572589603">
      <w:bodyDiv w:val="1"/>
      <w:marLeft w:val="0"/>
      <w:marRight w:val="0"/>
      <w:marTop w:val="0"/>
      <w:marBottom w:val="0"/>
      <w:divBdr>
        <w:top w:val="none" w:sz="0" w:space="0" w:color="auto"/>
        <w:left w:val="none" w:sz="0" w:space="0" w:color="auto"/>
        <w:bottom w:val="none" w:sz="0" w:space="0" w:color="auto"/>
        <w:right w:val="none" w:sz="0" w:space="0" w:color="auto"/>
      </w:divBdr>
    </w:div>
    <w:div w:id="764686541">
      <w:bodyDiv w:val="1"/>
      <w:marLeft w:val="0"/>
      <w:marRight w:val="0"/>
      <w:marTop w:val="0"/>
      <w:marBottom w:val="0"/>
      <w:divBdr>
        <w:top w:val="none" w:sz="0" w:space="0" w:color="auto"/>
        <w:left w:val="none" w:sz="0" w:space="0" w:color="auto"/>
        <w:bottom w:val="none" w:sz="0" w:space="0" w:color="auto"/>
        <w:right w:val="none" w:sz="0" w:space="0" w:color="auto"/>
      </w:divBdr>
    </w:div>
    <w:div w:id="923878647">
      <w:bodyDiv w:val="1"/>
      <w:marLeft w:val="0"/>
      <w:marRight w:val="0"/>
      <w:marTop w:val="0"/>
      <w:marBottom w:val="0"/>
      <w:divBdr>
        <w:top w:val="none" w:sz="0" w:space="0" w:color="auto"/>
        <w:left w:val="none" w:sz="0" w:space="0" w:color="auto"/>
        <w:bottom w:val="none" w:sz="0" w:space="0" w:color="auto"/>
        <w:right w:val="none" w:sz="0" w:space="0" w:color="auto"/>
      </w:divBdr>
    </w:div>
    <w:div w:id="934947658">
      <w:bodyDiv w:val="1"/>
      <w:marLeft w:val="0"/>
      <w:marRight w:val="0"/>
      <w:marTop w:val="0"/>
      <w:marBottom w:val="0"/>
      <w:divBdr>
        <w:top w:val="none" w:sz="0" w:space="0" w:color="auto"/>
        <w:left w:val="none" w:sz="0" w:space="0" w:color="auto"/>
        <w:bottom w:val="none" w:sz="0" w:space="0" w:color="auto"/>
        <w:right w:val="none" w:sz="0" w:space="0" w:color="auto"/>
      </w:divBdr>
    </w:div>
    <w:div w:id="945160442">
      <w:bodyDiv w:val="1"/>
      <w:marLeft w:val="0"/>
      <w:marRight w:val="0"/>
      <w:marTop w:val="0"/>
      <w:marBottom w:val="0"/>
      <w:divBdr>
        <w:top w:val="none" w:sz="0" w:space="0" w:color="auto"/>
        <w:left w:val="none" w:sz="0" w:space="0" w:color="auto"/>
        <w:bottom w:val="none" w:sz="0" w:space="0" w:color="auto"/>
        <w:right w:val="none" w:sz="0" w:space="0" w:color="auto"/>
      </w:divBdr>
    </w:div>
    <w:div w:id="1095176659">
      <w:bodyDiv w:val="1"/>
      <w:marLeft w:val="0"/>
      <w:marRight w:val="0"/>
      <w:marTop w:val="0"/>
      <w:marBottom w:val="0"/>
      <w:divBdr>
        <w:top w:val="none" w:sz="0" w:space="0" w:color="auto"/>
        <w:left w:val="none" w:sz="0" w:space="0" w:color="auto"/>
        <w:bottom w:val="none" w:sz="0" w:space="0" w:color="auto"/>
        <w:right w:val="none" w:sz="0" w:space="0" w:color="auto"/>
      </w:divBdr>
    </w:div>
    <w:div w:id="1297688137">
      <w:bodyDiv w:val="1"/>
      <w:marLeft w:val="0"/>
      <w:marRight w:val="0"/>
      <w:marTop w:val="0"/>
      <w:marBottom w:val="0"/>
      <w:divBdr>
        <w:top w:val="none" w:sz="0" w:space="0" w:color="auto"/>
        <w:left w:val="none" w:sz="0" w:space="0" w:color="auto"/>
        <w:bottom w:val="none" w:sz="0" w:space="0" w:color="auto"/>
        <w:right w:val="none" w:sz="0" w:space="0" w:color="auto"/>
      </w:divBdr>
    </w:div>
    <w:div w:id="1333794102">
      <w:bodyDiv w:val="1"/>
      <w:marLeft w:val="0"/>
      <w:marRight w:val="0"/>
      <w:marTop w:val="0"/>
      <w:marBottom w:val="0"/>
      <w:divBdr>
        <w:top w:val="none" w:sz="0" w:space="0" w:color="auto"/>
        <w:left w:val="none" w:sz="0" w:space="0" w:color="auto"/>
        <w:bottom w:val="none" w:sz="0" w:space="0" w:color="auto"/>
        <w:right w:val="none" w:sz="0" w:space="0" w:color="auto"/>
      </w:divBdr>
    </w:div>
    <w:div w:id="21217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5861-0CFA-4531-BF5A-ECD9FB5373CF}">
  <ds:schemaRefs>
    <ds:schemaRef ds:uri="http://schemas.microsoft.com/office/2006/metadata/longProperties"/>
  </ds:schemaRefs>
</ds:datastoreItem>
</file>

<file path=customXml/itemProps2.xml><?xml version="1.0" encoding="utf-8"?>
<ds:datastoreItem xmlns:ds="http://schemas.openxmlformats.org/officeDocument/2006/customXml" ds:itemID="{97644D04-6D11-40F0-BC9B-851910FFD6A0}"/>
</file>

<file path=customXml/itemProps3.xml><?xml version="1.0" encoding="utf-8"?>
<ds:datastoreItem xmlns:ds="http://schemas.openxmlformats.org/officeDocument/2006/customXml" ds:itemID="{2A1ABA24-4B1C-4C3A-BCF7-76AD5DDB36C7}">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D1ACF8AF-1BD5-4F00-9248-695B43D0F1A8}">
  <ds:schemaRefs>
    <ds:schemaRef ds:uri="http://schemas.microsoft.com/sharepoint/v3/contenttype/forms"/>
  </ds:schemaRefs>
</ds:datastoreItem>
</file>

<file path=customXml/itemProps5.xml><?xml version="1.0" encoding="utf-8"?>
<ds:datastoreItem xmlns:ds="http://schemas.openxmlformats.org/officeDocument/2006/customXml" ds:itemID="{882135E3-797C-4D72-97F5-9417A099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310</TotalTime>
  <Pages>8</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Appendix 7.4 - Media and Status Codes</vt:lpstr>
    </vt:vector>
  </TitlesOfParts>
  <Company>DLA Logistics Management Standards Office</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7.4 - Media and Status Codes</dc:title>
  <dc:subject/>
  <dc:creator>Heidi Daverede</dc:creator>
  <cp:lastModifiedBy>Nguyen, Bao X CTR DLA INFO OPERATIONS (USA)</cp:lastModifiedBy>
  <cp:revision>31</cp:revision>
  <cp:lastPrinted>2007-10-26T13:05:00Z</cp:lastPrinted>
  <dcterms:created xsi:type="dcterms:W3CDTF">2012-01-16T17:53:00Z</dcterms:created>
  <dcterms:modified xsi:type="dcterms:W3CDTF">2019-11-26T21:27:00Z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2290800</vt:r8>
  </property>
</Properties>
</file>