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BC431" w14:textId="4483D90C" w:rsidR="00531663" w:rsidRPr="00983113" w:rsidRDefault="00F40B61" w:rsidP="00B336F5">
      <w:pPr>
        <w:tabs>
          <w:tab w:val="left" w:pos="540"/>
          <w:tab w:val="left" w:pos="1080"/>
        </w:tabs>
        <w:spacing w:after="24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AP7</w:t>
      </w:r>
      <w:r w:rsidR="00457946" w:rsidRPr="00983113">
        <w:rPr>
          <w:b/>
          <w:sz w:val="44"/>
          <w:szCs w:val="44"/>
          <w:u w:val="single"/>
        </w:rPr>
        <w:t>.8</w:t>
      </w:r>
      <w:r w:rsidR="00C5053A" w:rsidRPr="00983113">
        <w:rPr>
          <w:b/>
          <w:sz w:val="44"/>
          <w:szCs w:val="44"/>
          <w:u w:val="single"/>
        </w:rPr>
        <w:t>.</w:t>
      </w:r>
      <w:r w:rsidR="00457946" w:rsidRPr="00983113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7</w:t>
      </w:r>
      <w:r w:rsidR="00457946" w:rsidRPr="00983113">
        <w:rPr>
          <w:b/>
          <w:sz w:val="44"/>
          <w:szCs w:val="44"/>
          <w:u w:val="single"/>
        </w:rPr>
        <w:t>.8</w:t>
      </w:r>
    </w:p>
    <w:p w14:paraId="04ABC432" w14:textId="77777777" w:rsidR="00231BD7" w:rsidRDefault="00231BD7" w:rsidP="00350DA8">
      <w:pPr>
        <w:tabs>
          <w:tab w:val="left" w:pos="540"/>
          <w:tab w:val="left" w:pos="1080"/>
        </w:tabs>
        <w:spacing w:after="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DEMAND AND SUFFIX CODES</w:t>
      </w:r>
    </w:p>
    <w:tbl>
      <w:tblPr>
        <w:tblW w:w="972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80"/>
        <w:gridCol w:w="5940"/>
      </w:tblGrid>
      <w:tr w:rsidR="00231BD7" w:rsidRPr="009B268E" w14:paraId="04ABC436" w14:textId="77777777" w:rsidTr="00350DA8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BC434" w14:textId="77777777" w:rsidR="00231BD7" w:rsidRPr="009B268E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NUMBER OF CHARACTERS: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4ABC435" w14:textId="77777777" w:rsidR="00231BD7" w:rsidRPr="009B268E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One.</w:t>
            </w:r>
          </w:p>
        </w:tc>
      </w:tr>
      <w:tr w:rsidR="00231BD7" w14:paraId="04ABC439" w14:textId="77777777" w:rsidTr="00350DA8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BC437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TYPE OF CODE: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4ABC438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Alpha/Numeric.</w:t>
            </w:r>
          </w:p>
        </w:tc>
      </w:tr>
      <w:tr w:rsidR="00231BD7" w14:paraId="04ABC43C" w14:textId="77777777" w:rsidTr="00350DA8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BC43A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EXPLANATION: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4ABC43B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Has dual use and the meaning of the code entered is dependent upon the directional flow of the document.</w:t>
            </w:r>
          </w:p>
        </w:tc>
      </w:tr>
      <w:tr w:rsidR="00231BD7" w14:paraId="04ABC43F" w14:textId="77777777" w:rsidTr="00350DA8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ABC43D" w14:textId="13D57272" w:rsidR="00231BD7" w:rsidRDefault="00231BD7" w:rsidP="00712FD2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RECORD POSITION: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4ABC43E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</w:tbl>
    <w:p w14:paraId="04ABC440" w14:textId="112A7AD4" w:rsidR="00231BD7" w:rsidRDefault="00F40B61" w:rsidP="00AF5214">
      <w:pPr>
        <w:tabs>
          <w:tab w:val="left" w:pos="540"/>
          <w:tab w:val="left" w:pos="1080"/>
        </w:tabs>
        <w:spacing w:before="120" w:after="240"/>
      </w:pPr>
      <w:r>
        <w:t>AP7</w:t>
      </w:r>
      <w:r w:rsidR="00457946">
        <w:t xml:space="preserve">.8.1.  </w:t>
      </w:r>
      <w:r w:rsidR="00231BD7" w:rsidRPr="00531663">
        <w:rPr>
          <w:u w:val="single"/>
        </w:rPr>
        <w:t>Demand Codes</w:t>
      </w:r>
      <w:r w:rsidR="00231BD7">
        <w:t>.</w:t>
      </w:r>
      <w:r w:rsidR="00231BD7">
        <w:rPr>
          <w:vertAlign w:val="superscript"/>
        </w:rPr>
        <w:footnoteReference w:id="1"/>
      </w:r>
      <w:r w:rsidR="00231BD7">
        <w:t xml:space="preserve">  Requisitions </w:t>
      </w:r>
      <w:r w:rsidR="00712FD2">
        <w:t>requir</w:t>
      </w:r>
      <w:r w:rsidR="00D37C90">
        <w:t>ing</w:t>
      </w:r>
      <w:r w:rsidR="00712FD2">
        <w:t xml:space="preserve"> </w:t>
      </w:r>
      <w:r w:rsidR="00231BD7">
        <w:t xml:space="preserve">demand codes </w:t>
      </w:r>
      <w:r w:rsidR="00D37C90">
        <w:t xml:space="preserve">shall </w:t>
      </w:r>
      <w:r w:rsidR="00231BD7">
        <w:t xml:space="preserve">be entered in this position by the activity creating the request.  The demand code is a mandatory entry of an alphabetic character to indicate to the management element of </w:t>
      </w:r>
      <w:bookmarkStart w:id="0" w:name="_GoBack"/>
      <w:bookmarkEnd w:id="0"/>
      <w:r w:rsidR="00231BD7">
        <w:t>a distribution system whether the demand is recurring or nonrecurring as follows:</w:t>
      </w:r>
    </w:p>
    <w:tbl>
      <w:tblPr>
        <w:tblW w:w="972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231BD7" w:rsidRPr="009B268E" w14:paraId="04ABC443" w14:textId="77777777" w:rsidTr="00350DA8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41" w14:textId="77777777" w:rsidR="00231BD7" w:rsidRPr="009B268E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CODE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42" w14:textId="77777777" w:rsidR="00231BD7" w:rsidRPr="009B268E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EXPLANATION</w:t>
            </w:r>
          </w:p>
        </w:tc>
      </w:tr>
      <w:tr w:rsidR="00231BD7" w14:paraId="04ABC446" w14:textId="77777777" w:rsidTr="00350DA8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44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45" w14:textId="03BA6B95" w:rsidR="00231BD7" w:rsidRDefault="00231BD7" w:rsidP="00712FD2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AC2EF2">
              <w:rPr>
                <w:szCs w:val="24"/>
                <w:u w:val="single"/>
              </w:rPr>
              <w:t>INACTIVATED ITEM DEMAND</w:t>
            </w:r>
            <w:r>
              <w:rPr>
                <w:szCs w:val="24"/>
              </w:rPr>
              <w:t>.  This code will be entered only in requisitions (</w:t>
            </w:r>
            <w:r w:rsidR="00712FD2">
              <w:rPr>
                <w:szCs w:val="24"/>
              </w:rPr>
              <w:t>document identifier code (</w:t>
            </w:r>
            <w:r w:rsidR="00DA78DD">
              <w:rPr>
                <w:szCs w:val="24"/>
              </w:rPr>
              <w:t>DIC</w:t>
            </w:r>
            <w:r w:rsidR="00712FD2">
              <w:rPr>
                <w:szCs w:val="24"/>
              </w:rPr>
              <w:t xml:space="preserve">) </w:t>
            </w:r>
            <w:r>
              <w:rPr>
                <w:szCs w:val="24"/>
              </w:rPr>
              <w:t>A0_) applicable to inactivated items by DAAS.</w:t>
            </w:r>
          </w:p>
        </w:tc>
      </w:tr>
      <w:tr w:rsidR="00231BD7" w14:paraId="04ABC449" w14:textId="77777777" w:rsidTr="00350DA8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47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48" w14:textId="0DF11239" w:rsidR="00231BD7" w:rsidRDefault="00231BD7" w:rsidP="00712FD2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AC2EF2">
              <w:rPr>
                <w:szCs w:val="24"/>
                <w:u w:val="single"/>
              </w:rPr>
              <w:t>NONRECURRING DEMAND</w:t>
            </w:r>
            <w:r>
              <w:rPr>
                <w:szCs w:val="24"/>
              </w:rPr>
              <w:t>.  A request made for a requirement known to be a one-time occurrence; for example, a</w:t>
            </w:r>
            <w:r w:rsidR="00712FD2">
              <w:rPr>
                <w:szCs w:val="24"/>
              </w:rPr>
              <w:t xml:space="preserve"> modification work order (</w:t>
            </w:r>
            <w:r>
              <w:rPr>
                <w:szCs w:val="24"/>
              </w:rPr>
              <w:t>MWO</w:t>
            </w:r>
            <w:r w:rsidR="00712FD2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kit for application or an initial request for storage.  Requisitions </w:t>
            </w:r>
            <w:r w:rsidR="00DA78DD">
              <w:rPr>
                <w:szCs w:val="24"/>
              </w:rPr>
              <w:t>shall</w:t>
            </w:r>
            <w:r>
              <w:rPr>
                <w:szCs w:val="24"/>
              </w:rPr>
              <w:t xml:space="preserve"> be </w:t>
            </w:r>
            <w:r w:rsidR="004B24FC">
              <w:rPr>
                <w:szCs w:val="24"/>
              </w:rPr>
              <w:t>coded</w:t>
            </w:r>
            <w:r>
              <w:rPr>
                <w:szCs w:val="24"/>
              </w:rPr>
              <w:t xml:space="preserve"> nonrecurring when the demand is anticipated to be nonrepetitive.</w:t>
            </w:r>
          </w:p>
        </w:tc>
      </w:tr>
      <w:tr w:rsidR="00231BD7" w14:paraId="04ABC44D" w14:textId="77777777" w:rsidTr="00350DA8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4A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O</w:t>
            </w:r>
          </w:p>
          <w:p w14:paraId="04ABC44B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(Alpha)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4C" w14:textId="7454DD03" w:rsidR="00231BD7" w:rsidRDefault="00231BD7" w:rsidP="00712FD2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AC2EF2">
              <w:rPr>
                <w:szCs w:val="24"/>
                <w:u w:val="single"/>
              </w:rPr>
              <w:t>NO DEMAND</w:t>
            </w:r>
            <w:r>
              <w:rPr>
                <w:szCs w:val="24"/>
              </w:rPr>
              <w:t xml:space="preserve">.  To be assigned by requisitioning activities in submitting requisitions for substitute items which are acceptable in lieu of previously requisitioned but delayed items and for initial fill of </w:t>
            </w:r>
            <w:r w:rsidR="00712FD2">
              <w:rPr>
                <w:szCs w:val="24"/>
              </w:rPr>
              <w:t>prepositioned war reserve materiel stock (</w:t>
            </w:r>
            <w:r>
              <w:rPr>
                <w:szCs w:val="24"/>
              </w:rPr>
              <w:t>PWRMS</w:t>
            </w:r>
            <w:r w:rsidR="00712FD2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consumable item requirements. </w:t>
            </w:r>
            <w:r w:rsidRPr="008F121A">
              <w:rPr>
                <w:iCs/>
                <w:szCs w:val="24"/>
              </w:rPr>
              <w:t xml:space="preserve">Also applicable to resubmission of previously requisitioned requirements under a new document number when associated with shortage or nonreceipt for which shipment status was received. </w:t>
            </w:r>
            <w:r w:rsidRPr="008F121A">
              <w:rPr>
                <w:szCs w:val="24"/>
              </w:rPr>
              <w:t xml:space="preserve"> </w:t>
            </w:r>
            <w:r w:rsidRPr="008F121A">
              <w:rPr>
                <w:iCs/>
                <w:szCs w:val="24"/>
              </w:rPr>
              <w:t>M</w:t>
            </w:r>
            <w:r w:rsidRPr="008F121A">
              <w:rPr>
                <w:szCs w:val="24"/>
              </w:rPr>
              <w:t>ay</w:t>
            </w:r>
            <w:r>
              <w:rPr>
                <w:szCs w:val="24"/>
              </w:rPr>
              <w:t xml:space="preserve"> be prescribed by the program manager on the basis of a nonrepetitive program requirement for which use of Demand </w:t>
            </w:r>
            <w:r w:rsidR="00F3480C">
              <w:rPr>
                <w:szCs w:val="24"/>
              </w:rPr>
              <w:t xml:space="preserve">Code </w:t>
            </w:r>
            <w:r>
              <w:rPr>
                <w:szCs w:val="24"/>
              </w:rPr>
              <w:t>N or P is determined to be inappropriate.</w:t>
            </w:r>
          </w:p>
        </w:tc>
      </w:tr>
      <w:tr w:rsidR="00231BD7" w14:paraId="04ABC450" w14:textId="77777777" w:rsidTr="00350DA8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4E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4F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AC2EF2">
              <w:rPr>
                <w:szCs w:val="24"/>
                <w:u w:val="single"/>
              </w:rPr>
              <w:t>NONRECURRING DEMAND FOR SPECIAL PROGRAM REQUIREMENTS</w:t>
            </w:r>
            <w:r>
              <w:rPr>
                <w:szCs w:val="24"/>
              </w:rPr>
              <w:t>.  Entered in requisitions by a requisition initiator to identify a requisition for special program/requirements for which stocks were known to have been acquired by the ICP in anticipation of such demands.</w:t>
            </w:r>
          </w:p>
        </w:tc>
      </w:tr>
      <w:tr w:rsidR="00231BD7" w14:paraId="04ABC453" w14:textId="77777777" w:rsidTr="00350DA8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51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lastRenderedPageBreak/>
              <w:t>R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52" w14:textId="36D49A20" w:rsidR="00231BD7" w:rsidRDefault="00231BD7" w:rsidP="00D37C90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i/>
                <w:iCs/>
                <w:szCs w:val="24"/>
              </w:rPr>
            </w:pPr>
            <w:r w:rsidRPr="00AC2EF2">
              <w:rPr>
                <w:szCs w:val="24"/>
                <w:u w:val="single"/>
              </w:rPr>
              <w:t>RECURRING DEMAND</w:t>
            </w:r>
            <w:r>
              <w:rPr>
                <w:szCs w:val="24"/>
              </w:rPr>
              <w:t>.  A request made periodically or anticipated to be repetitive by an authorized requisitioner for consumption or use</w:t>
            </w:r>
            <w:r w:rsidR="00F3480C">
              <w:rPr>
                <w:szCs w:val="24"/>
              </w:rPr>
              <w:t>,</w:t>
            </w:r>
            <w:r>
              <w:rPr>
                <w:szCs w:val="24"/>
              </w:rPr>
              <w:t xml:space="preserve"> or for stock replenishment.  The occurrences encompass most demands; therefore, a demand </w:t>
            </w:r>
            <w:r w:rsidR="00DA78DD">
              <w:rPr>
                <w:szCs w:val="24"/>
              </w:rPr>
              <w:t>shall</w:t>
            </w:r>
            <w:r>
              <w:rPr>
                <w:szCs w:val="24"/>
              </w:rPr>
              <w:t xml:space="preserve"> be considered recurring when a doubt exists.  </w:t>
            </w:r>
            <w:r w:rsidRPr="008F121A">
              <w:rPr>
                <w:iCs/>
                <w:szCs w:val="24"/>
              </w:rPr>
              <w:t xml:space="preserve">Note: </w:t>
            </w:r>
            <w:r w:rsidR="00F3480C">
              <w:rPr>
                <w:iCs/>
                <w:szCs w:val="24"/>
              </w:rPr>
              <w:t>This requirement is n</w:t>
            </w:r>
            <w:r w:rsidRPr="008F121A">
              <w:rPr>
                <w:iCs/>
                <w:szCs w:val="24"/>
              </w:rPr>
              <w:t xml:space="preserve">ot applicable to resubmission of previously requisitioned requirements under a new document number when associated with shortage or nonreceipt for which shipment  status was received; use </w:t>
            </w:r>
            <w:r w:rsidR="00F3480C">
              <w:rPr>
                <w:iCs/>
                <w:szCs w:val="24"/>
              </w:rPr>
              <w:t>D</w:t>
            </w:r>
            <w:r w:rsidRPr="008F121A">
              <w:rPr>
                <w:iCs/>
                <w:szCs w:val="24"/>
              </w:rPr>
              <w:t xml:space="preserve">emand </w:t>
            </w:r>
            <w:r w:rsidR="00F3480C">
              <w:rPr>
                <w:iCs/>
                <w:szCs w:val="24"/>
              </w:rPr>
              <w:t>C</w:t>
            </w:r>
            <w:r w:rsidRPr="008F121A">
              <w:rPr>
                <w:iCs/>
                <w:szCs w:val="24"/>
              </w:rPr>
              <w:t>ode O</w:t>
            </w:r>
            <w:r w:rsidR="00F3480C">
              <w:rPr>
                <w:iCs/>
                <w:szCs w:val="24"/>
              </w:rPr>
              <w:t xml:space="preserve"> </w:t>
            </w:r>
            <w:r w:rsidRPr="008F121A">
              <w:rPr>
                <w:iCs/>
                <w:szCs w:val="24"/>
              </w:rPr>
              <w:t>for these requirements.</w:t>
            </w:r>
          </w:p>
        </w:tc>
      </w:tr>
      <w:tr w:rsidR="00231BD7" w14:paraId="04ABC456" w14:textId="77777777" w:rsidTr="00350DA8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ABC454" w14:textId="77777777" w:rsidR="00231BD7" w:rsidRDefault="00231BD7" w:rsidP="00350DA8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S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4ABC455" w14:textId="15298A94" w:rsidR="00231BD7" w:rsidRDefault="00231BD7" w:rsidP="00D37C90">
            <w:pPr>
              <w:tabs>
                <w:tab w:val="left" w:pos="540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AC2EF2">
              <w:rPr>
                <w:szCs w:val="24"/>
                <w:u w:val="single"/>
              </w:rPr>
              <w:t>COMMISSARY RESALE DEMAND</w:t>
            </w:r>
            <w:r>
              <w:rPr>
                <w:szCs w:val="24"/>
              </w:rPr>
              <w:t xml:space="preserve">.  A demand for perishable and nonperishable subsistence items only for resale.  Commissary demands for troop issue subsistence </w:t>
            </w:r>
            <w:r w:rsidR="00DA78DD">
              <w:rPr>
                <w:szCs w:val="24"/>
              </w:rPr>
              <w:t>shall</w:t>
            </w:r>
            <w:r>
              <w:rPr>
                <w:szCs w:val="24"/>
              </w:rPr>
              <w:t xml:space="preserve"> be identified with </w:t>
            </w:r>
            <w:r w:rsidR="00D37C90">
              <w:rPr>
                <w:szCs w:val="24"/>
              </w:rPr>
              <w:t xml:space="preserve">Demand Codes </w:t>
            </w:r>
            <w:r>
              <w:rPr>
                <w:szCs w:val="24"/>
              </w:rPr>
              <w:t xml:space="preserve">R </w:t>
            </w:r>
            <w:r w:rsidR="00D37C90">
              <w:rPr>
                <w:szCs w:val="24"/>
              </w:rPr>
              <w:t xml:space="preserve">or </w:t>
            </w:r>
            <w:r>
              <w:rPr>
                <w:szCs w:val="24"/>
              </w:rPr>
              <w:t>N only.</w:t>
            </w:r>
          </w:p>
        </w:tc>
      </w:tr>
    </w:tbl>
    <w:p w14:paraId="04ABC457" w14:textId="25B6C5D9" w:rsidR="00231BD7" w:rsidRDefault="00F40B61" w:rsidP="00AF5214">
      <w:pPr>
        <w:tabs>
          <w:tab w:val="left" w:pos="540"/>
          <w:tab w:val="left" w:pos="1080"/>
        </w:tabs>
        <w:spacing w:before="120" w:after="240"/>
      </w:pPr>
      <w:r>
        <w:t>AP7</w:t>
      </w:r>
      <w:r w:rsidR="00457946">
        <w:t xml:space="preserve">.8.2.  </w:t>
      </w:r>
      <w:r w:rsidR="00231BD7" w:rsidRPr="00531663">
        <w:rPr>
          <w:u w:val="single"/>
        </w:rPr>
        <w:t>Suffix Codes – General</w:t>
      </w:r>
    </w:p>
    <w:p w14:paraId="04ABC458" w14:textId="6FD0DD76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.8.2.1.  </w:t>
      </w:r>
      <w:r w:rsidR="00231BD7">
        <w:t>Suffix</w:t>
      </w:r>
      <w:r w:rsidR="00D37C90">
        <w:t xml:space="preserve"> </w:t>
      </w:r>
      <w:r w:rsidR="008F7CBE">
        <w:t>c</w:t>
      </w:r>
      <w:r w:rsidR="00D37C90">
        <w:t>od</w:t>
      </w:r>
      <w:r w:rsidR="00231BD7">
        <w:t xml:space="preserve">es </w:t>
      </w:r>
      <w:r w:rsidR="00DA78DD">
        <w:t>shall</w:t>
      </w:r>
      <w:r w:rsidR="00231BD7">
        <w:t xml:space="preserve"> be entered in this position by elements of the distribution system as transactions occur.  The purpose of the suffix </w:t>
      </w:r>
      <w:r w:rsidR="00D37C90">
        <w:t xml:space="preserve">code </w:t>
      </w:r>
      <w:r w:rsidR="00231BD7">
        <w:t xml:space="preserve">is to relate and identify requisition and </w:t>
      </w:r>
      <w:r w:rsidR="00357177">
        <w:t>Materiel Returns Program (</w:t>
      </w:r>
      <w:r w:rsidR="00231BD7">
        <w:t>MRP</w:t>
      </w:r>
      <w:r w:rsidR="00357177">
        <w:t>)</w:t>
      </w:r>
      <w:r w:rsidR="00231BD7">
        <w:t xml:space="preserve"> transaction “partial actions” taken on the original requisition or MRP transaction without duplicating or causing loss of </w:t>
      </w:r>
      <w:r w:rsidR="00231BD7" w:rsidRPr="008F121A">
        <w:t>identity</w:t>
      </w:r>
      <w:r w:rsidR="00231BD7">
        <w:t xml:space="preserve"> of the original number.</w:t>
      </w:r>
    </w:p>
    <w:p w14:paraId="04ABC459" w14:textId="3ACCEA95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.8.2.2.  </w:t>
      </w:r>
      <w:r w:rsidR="00231BD7">
        <w:t>Suffix</w:t>
      </w:r>
      <w:r w:rsidR="00D37C90">
        <w:t xml:space="preserve"> </w:t>
      </w:r>
      <w:r w:rsidR="008F7CBE">
        <w:t>c</w:t>
      </w:r>
      <w:r w:rsidR="00D37C90">
        <w:t>od</w:t>
      </w:r>
      <w:r w:rsidR="00231BD7">
        <w:t>es do not relate to separate transportation units involved in the shipment of materiel.  Neither do they identify final shipments nor differentiate between partial and final shipments.</w:t>
      </w:r>
    </w:p>
    <w:p w14:paraId="04ABC45A" w14:textId="62503390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.8.2.3.  </w:t>
      </w:r>
      <w:r w:rsidR="00231BD7">
        <w:t>Suffix</w:t>
      </w:r>
      <w:r w:rsidR="00D37C90">
        <w:t xml:space="preserve"> </w:t>
      </w:r>
      <w:r w:rsidR="008F7CBE">
        <w:t>c</w:t>
      </w:r>
      <w:r w:rsidR="00D37C90">
        <w:t>od</w:t>
      </w:r>
      <w:r w:rsidR="00231BD7">
        <w:t xml:space="preserve">es </w:t>
      </w:r>
      <w:r w:rsidR="00DA78DD">
        <w:t>shall</w:t>
      </w:r>
      <w:r w:rsidR="00231BD7">
        <w:t xml:space="preserve"> be alphabetic or numeric with the exception that the following alpha and numeric characters </w:t>
      </w:r>
      <w:r w:rsidR="00DA78DD">
        <w:t>shall</w:t>
      </w:r>
      <w:r w:rsidR="00231BD7">
        <w:t xml:space="preserve"> never be used: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5040"/>
      </w:tblGrid>
      <w:tr w:rsidR="00231BD7" w:rsidRPr="009B268E" w14:paraId="04ABC45D" w14:textId="77777777">
        <w:trPr>
          <w:cantSplit/>
          <w:trHeight w:val="403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ABC45B" w14:textId="77777777" w:rsidR="00231BD7" w:rsidRPr="009B268E" w:rsidRDefault="00231BD7" w:rsidP="00881C88">
            <w:pPr>
              <w:tabs>
                <w:tab w:val="left" w:pos="540"/>
                <w:tab w:val="left" w:pos="1080"/>
              </w:tabs>
              <w:spacing w:after="12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ALPHA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4ABC45C" w14:textId="77777777" w:rsidR="00231BD7" w:rsidRPr="009B268E" w:rsidRDefault="00231BD7" w:rsidP="00881C88">
            <w:pPr>
              <w:tabs>
                <w:tab w:val="left" w:pos="540"/>
                <w:tab w:val="left" w:pos="1080"/>
              </w:tabs>
              <w:spacing w:after="12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NUMERIC</w:t>
            </w:r>
          </w:p>
        </w:tc>
      </w:tr>
      <w:tr w:rsidR="00231BD7" w14:paraId="04ABC460" w14:textId="77777777">
        <w:trPr>
          <w:cantSplit/>
          <w:trHeight w:val="403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4ABC45E" w14:textId="77777777" w:rsidR="00231BD7" w:rsidRPr="001901C2" w:rsidRDefault="00231BD7" w:rsidP="00881C88">
            <w:pPr>
              <w:tabs>
                <w:tab w:val="left" w:pos="540"/>
                <w:tab w:val="left" w:pos="1080"/>
              </w:tabs>
              <w:spacing w:after="120"/>
              <w:rPr>
                <w:rFonts w:cs="Arial"/>
                <w:szCs w:val="24"/>
                <w:lang w:val="pt-BR"/>
              </w:rPr>
            </w:pPr>
            <w:r w:rsidRPr="001901C2">
              <w:rPr>
                <w:szCs w:val="24"/>
                <w:lang w:val="pt-BR"/>
              </w:rPr>
              <w:t>I, N, O, P, R, S, and Z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4ABC45F" w14:textId="77777777" w:rsidR="00231BD7" w:rsidRDefault="00231BD7" w:rsidP="00881C88">
            <w:pPr>
              <w:tabs>
                <w:tab w:val="left" w:pos="540"/>
                <w:tab w:val="left" w:pos="1080"/>
              </w:tabs>
              <w:spacing w:after="120"/>
              <w:rPr>
                <w:rFonts w:cs="Arial"/>
                <w:szCs w:val="24"/>
              </w:rPr>
            </w:pPr>
            <w:r>
              <w:rPr>
                <w:szCs w:val="24"/>
              </w:rPr>
              <w:t>1 and 0</w:t>
            </w:r>
          </w:p>
        </w:tc>
      </w:tr>
    </w:tbl>
    <w:p w14:paraId="04ABC461" w14:textId="39D7088F" w:rsidR="00231BD7" w:rsidRDefault="00350DA8" w:rsidP="00881C88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.8.2.4.  </w:t>
      </w:r>
      <w:r w:rsidR="00231BD7">
        <w:t>Suffix Y is reserved for used by Navy and DLA only in their intra</w:t>
      </w:r>
      <w:r w:rsidR="00F3480C">
        <w:t>-</w:t>
      </w:r>
      <w:r w:rsidR="00231BD7">
        <w:t>Service action involving duplicate shipments.</w:t>
      </w:r>
    </w:p>
    <w:p w14:paraId="04ABC462" w14:textId="09702959" w:rsidR="008D26BB" w:rsidRDefault="00350DA8" w:rsidP="00881C88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.8.2.5. </w:t>
      </w:r>
      <w:r w:rsidR="00DA78DD">
        <w:t>Service/Agency (</w:t>
      </w:r>
      <w:r w:rsidR="00231BD7">
        <w:t>S/A</w:t>
      </w:r>
      <w:r w:rsidR="00DA78DD">
        <w:t>)</w:t>
      </w:r>
      <w:r w:rsidR="00231BD7">
        <w:t xml:space="preserve"> implementation of these instructions </w:t>
      </w:r>
      <w:r w:rsidR="00DA78DD">
        <w:t>shall</w:t>
      </w:r>
      <w:r w:rsidR="00231BD7">
        <w:t xml:space="preserve"> provide for block assignment of suffix</w:t>
      </w:r>
      <w:r w:rsidR="00D37C90">
        <w:t xml:space="preserve"> cod</w:t>
      </w:r>
      <w:r w:rsidR="00231BD7">
        <w:t xml:space="preserve">es in </w:t>
      </w:r>
      <w:r w:rsidR="00084A16">
        <w:t xml:space="preserve">a </w:t>
      </w:r>
      <w:r w:rsidR="00231BD7">
        <w:t>decentralized system to preclude duplicate assignment of suffix</w:t>
      </w:r>
      <w:r w:rsidR="00D37C90">
        <w:t xml:space="preserve"> cod</w:t>
      </w:r>
      <w:r w:rsidR="00231BD7">
        <w:t>es against the same document number.  Block assignment of the suffix</w:t>
      </w:r>
      <w:r w:rsidR="00D37C90">
        <w:t xml:space="preserve"> cod</w:t>
      </w:r>
      <w:r w:rsidR="00231BD7">
        <w:t>es should be accomplished essentially as follows: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90"/>
        <w:gridCol w:w="3510"/>
      </w:tblGrid>
      <w:tr w:rsidR="00627886" w14:paraId="04ABC465" w14:textId="77777777" w:rsidTr="00881C88">
        <w:trPr>
          <w:cantSplit/>
          <w:trHeight w:val="403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63" w14:textId="77777777" w:rsidR="00627886" w:rsidRPr="009B268E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PROCESSING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64" w14:textId="77777777" w:rsidR="00627886" w:rsidRPr="009B268E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ASSIGNED SUFFIXES</w:t>
            </w:r>
          </w:p>
        </w:tc>
      </w:tr>
      <w:tr w:rsidR="00627886" w14:paraId="04ABC468" w14:textId="77777777" w:rsidTr="00881C88">
        <w:trPr>
          <w:cantSplit/>
          <w:trHeight w:val="403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66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Initial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67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A through E</w:t>
            </w:r>
          </w:p>
        </w:tc>
      </w:tr>
      <w:tr w:rsidR="00627886" w14:paraId="04ABC46B" w14:textId="77777777" w:rsidTr="00881C88">
        <w:trPr>
          <w:cantSplit/>
          <w:trHeight w:val="403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69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First Secondary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6A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F through H, J and K</w:t>
            </w:r>
          </w:p>
        </w:tc>
      </w:tr>
      <w:tr w:rsidR="00627886" w14:paraId="04ABC46E" w14:textId="77777777" w:rsidTr="00881C88">
        <w:trPr>
          <w:cantSplit/>
          <w:trHeight w:val="403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6C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Second Secondary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6D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L, M, Q, T, and U</w:t>
            </w:r>
          </w:p>
        </w:tc>
      </w:tr>
      <w:tr w:rsidR="00627886" w14:paraId="04ABC471" w14:textId="77777777" w:rsidTr="00881C88">
        <w:trPr>
          <w:cantSplit/>
          <w:trHeight w:val="403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6F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Third Secondary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70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V through X</w:t>
            </w:r>
          </w:p>
        </w:tc>
      </w:tr>
      <w:tr w:rsidR="00627886" w14:paraId="04ABC474" w14:textId="77777777" w:rsidTr="00881C88">
        <w:trPr>
          <w:cantSplit/>
          <w:trHeight w:val="403"/>
          <w:jc w:val="center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72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Fourth Secondary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73" w14:textId="77777777" w:rsidR="00627886" w:rsidRDefault="00627886" w:rsidP="00881C88">
            <w:pPr>
              <w:tabs>
                <w:tab w:val="left" w:pos="540"/>
                <w:tab w:val="left" w:pos="1080"/>
              </w:tabs>
              <w:spacing w:before="60"/>
              <w:rPr>
                <w:rFonts w:cs="Arial"/>
                <w:szCs w:val="24"/>
              </w:rPr>
            </w:pPr>
            <w:r>
              <w:rPr>
                <w:szCs w:val="24"/>
              </w:rPr>
              <w:t>2 through 9</w:t>
            </w:r>
          </w:p>
        </w:tc>
      </w:tr>
    </w:tbl>
    <w:p w14:paraId="04ABC476" w14:textId="2EEEF52E" w:rsidR="00231BD7" w:rsidRDefault="00350DA8" w:rsidP="00C13894">
      <w:pPr>
        <w:tabs>
          <w:tab w:val="left" w:pos="540"/>
          <w:tab w:val="left" w:pos="1080"/>
        </w:tabs>
        <w:spacing w:after="240"/>
      </w:pPr>
      <w:r>
        <w:lastRenderedPageBreak/>
        <w:tab/>
      </w:r>
      <w:r w:rsidR="00F40B61">
        <w:t>AP7</w:t>
      </w:r>
      <w:r w:rsidR="00457946">
        <w:t xml:space="preserve">.8.2.6.  </w:t>
      </w:r>
      <w:r w:rsidR="00231BD7">
        <w:t xml:space="preserve">Suffix assignment within centralized distribution systems </w:t>
      </w:r>
      <w:r w:rsidR="00DA78DD">
        <w:t>shall</w:t>
      </w:r>
      <w:r w:rsidR="00231BD7">
        <w:t xml:space="preserve"> be accomplished from the authorized codes as listed below</w:t>
      </w:r>
      <w:r w:rsidR="00531663">
        <w:t>:</w:t>
      </w:r>
    </w:p>
    <w:tbl>
      <w:tblPr>
        <w:tblW w:w="0" w:type="auto"/>
        <w:tblInd w:w="12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90"/>
        <w:gridCol w:w="3510"/>
      </w:tblGrid>
      <w:tr w:rsidR="00231BD7" w14:paraId="04ABC479" w14:textId="77777777" w:rsidTr="00350DA8">
        <w:trPr>
          <w:cantSplit/>
          <w:trHeight w:val="403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77" w14:textId="77777777" w:rsidR="00231BD7" w:rsidRDefault="00231BD7" w:rsidP="00C13894">
            <w:pPr>
              <w:tabs>
                <w:tab w:val="left" w:pos="540"/>
                <w:tab w:val="left" w:pos="1080"/>
              </w:tabs>
              <w:spacing w:before="60" w:after="120"/>
              <w:rPr>
                <w:rFonts w:cs="Arial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78" w14:textId="77777777" w:rsidR="00231BD7" w:rsidRPr="009B268E" w:rsidRDefault="00231BD7" w:rsidP="00C13894">
            <w:pPr>
              <w:tabs>
                <w:tab w:val="left" w:pos="540"/>
                <w:tab w:val="left" w:pos="1080"/>
              </w:tabs>
              <w:spacing w:before="60" w:after="120"/>
              <w:rPr>
                <w:rFonts w:cs="Arial"/>
                <w:szCs w:val="24"/>
                <w:u w:val="single"/>
              </w:rPr>
            </w:pPr>
            <w:r w:rsidRPr="009B268E">
              <w:rPr>
                <w:szCs w:val="24"/>
                <w:u w:val="single"/>
              </w:rPr>
              <w:t>AUTHORIZED SUFFIXES</w:t>
            </w:r>
          </w:p>
        </w:tc>
      </w:tr>
      <w:tr w:rsidR="00231BD7" w14:paraId="04ABC47C" w14:textId="77777777" w:rsidTr="00350DA8">
        <w:trPr>
          <w:cantSplit/>
          <w:trHeight w:val="403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4ABC47A" w14:textId="77777777" w:rsidR="00231BD7" w:rsidRDefault="00231BD7" w:rsidP="00C13894">
            <w:pPr>
              <w:tabs>
                <w:tab w:val="left" w:pos="540"/>
                <w:tab w:val="left" w:pos="1080"/>
              </w:tabs>
              <w:spacing w:before="60" w:after="120"/>
              <w:rPr>
                <w:rFonts w:cs="Arial"/>
                <w:szCs w:val="24"/>
              </w:rPr>
            </w:pPr>
            <w:r>
              <w:rPr>
                <w:szCs w:val="24"/>
              </w:rPr>
              <w:t>Central Processing Source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4ABC47B" w14:textId="77777777" w:rsidR="00231BD7" w:rsidRDefault="00231BD7" w:rsidP="00C13894">
            <w:pPr>
              <w:tabs>
                <w:tab w:val="left" w:pos="540"/>
                <w:tab w:val="left" w:pos="1080"/>
              </w:tabs>
              <w:spacing w:before="60" w:after="120"/>
              <w:rPr>
                <w:rFonts w:cs="Arial"/>
                <w:szCs w:val="24"/>
              </w:rPr>
            </w:pPr>
            <w:r>
              <w:rPr>
                <w:szCs w:val="24"/>
              </w:rPr>
              <w:t>A through Z and 2 through 9, exclusive of I, N, O, P, R, S, Y, and Z</w:t>
            </w:r>
          </w:p>
        </w:tc>
      </w:tr>
    </w:tbl>
    <w:p w14:paraId="04ABC47D" w14:textId="2040A1E1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.8.2.7.  </w:t>
      </w:r>
      <w:r w:rsidR="00231BD7">
        <w:t xml:space="preserve">Storage and other activities responsible for processing transactions containing suffixes </w:t>
      </w:r>
      <w:r w:rsidR="00DA78DD">
        <w:t>shall</w:t>
      </w:r>
      <w:r w:rsidR="00231BD7">
        <w:t xml:space="preserve"> always perpetuate the suffix </w:t>
      </w:r>
      <w:r w:rsidR="00084A16">
        <w:t xml:space="preserve">code </w:t>
      </w:r>
      <w:r w:rsidR="00231BD7">
        <w:t xml:space="preserve">onto related transactions </w:t>
      </w:r>
      <w:r w:rsidR="00084A16">
        <w:t xml:space="preserve">that </w:t>
      </w:r>
      <w:r w:rsidR="00231BD7">
        <w:t>they generate.</w:t>
      </w:r>
    </w:p>
    <w:p w14:paraId="04ABC47E" w14:textId="6A8F091B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.8.2.8.  </w:t>
      </w:r>
      <w:r w:rsidR="00231BD7">
        <w:t>When assigned, suffix</w:t>
      </w:r>
      <w:r w:rsidR="00084A16">
        <w:t xml:space="preserve"> cod</w:t>
      </w:r>
      <w:r w:rsidR="00231BD7">
        <w:t xml:space="preserve">es </w:t>
      </w:r>
      <w:r w:rsidR="00DA78DD">
        <w:t>shall</w:t>
      </w:r>
      <w:r w:rsidR="00231BD7">
        <w:t xml:space="preserve"> be sequentially advanced within code assignments as split actions occur.  Recipients of status transactions containing suffix</w:t>
      </w:r>
      <w:r w:rsidR="00084A16">
        <w:t xml:space="preserve"> cod</w:t>
      </w:r>
      <w:r w:rsidR="00231BD7">
        <w:t>es shall consider the suffix</w:t>
      </w:r>
      <w:r w:rsidR="00084A16">
        <w:t xml:space="preserve"> cod</w:t>
      </w:r>
      <w:r w:rsidR="00231BD7">
        <w:t>es in combination with dates, status codes, and quantities when accounting for split transactions.</w:t>
      </w:r>
    </w:p>
    <w:p w14:paraId="04ABC47F" w14:textId="0C5D3EE2" w:rsidR="00231BD7" w:rsidRDefault="00F40B61" w:rsidP="00AF5214">
      <w:pPr>
        <w:tabs>
          <w:tab w:val="left" w:pos="540"/>
          <w:tab w:val="left" w:pos="1080"/>
        </w:tabs>
        <w:spacing w:after="240"/>
      </w:pPr>
      <w:r>
        <w:t>AP7</w:t>
      </w:r>
      <w:r w:rsidR="00457946">
        <w:t xml:space="preserve">.8.3.  </w:t>
      </w:r>
      <w:r w:rsidR="00231BD7" w:rsidRPr="00531663">
        <w:rPr>
          <w:u w:val="single"/>
        </w:rPr>
        <w:t>Suffix</w:t>
      </w:r>
      <w:r w:rsidR="00084A16">
        <w:rPr>
          <w:u w:val="single"/>
        </w:rPr>
        <w:t xml:space="preserve"> Cod</w:t>
      </w:r>
      <w:r w:rsidR="00231BD7" w:rsidRPr="00531663">
        <w:rPr>
          <w:u w:val="single"/>
        </w:rPr>
        <w:t>es</w:t>
      </w:r>
      <w:r w:rsidR="00F3480C">
        <w:rPr>
          <w:u w:val="single"/>
        </w:rPr>
        <w:t xml:space="preserve"> – </w:t>
      </w:r>
      <w:r w:rsidR="00231BD7" w:rsidRPr="00531663">
        <w:rPr>
          <w:u w:val="single"/>
        </w:rPr>
        <w:t>Requisition Transaction</w:t>
      </w:r>
    </w:p>
    <w:p w14:paraId="04ABC480" w14:textId="7042110E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.8.3.1.  </w:t>
      </w:r>
      <w:r w:rsidR="00231BD7">
        <w:t xml:space="preserve">Processing elements of the distribution system </w:t>
      </w:r>
      <w:r w:rsidR="00DA78DD">
        <w:t>shall</w:t>
      </w:r>
      <w:r w:rsidR="00231BD7">
        <w:t xml:space="preserve"> enter a suffix</w:t>
      </w:r>
      <w:r w:rsidR="00084A16">
        <w:t xml:space="preserve"> code in</w:t>
      </w:r>
      <w:r w:rsidR="00231BD7">
        <w:t xml:space="preserve"> rp 44</w:t>
      </w:r>
      <w:r w:rsidR="0000436A">
        <w:rPr>
          <w:rStyle w:val="FootnoteReference"/>
        </w:rPr>
        <w:footnoteReference w:id="2"/>
      </w:r>
      <w:r w:rsidR="00231BD7">
        <w:t xml:space="preserve"> of transactions involving partial quantities such as:</w:t>
      </w:r>
    </w:p>
    <w:p w14:paraId="04ABC481" w14:textId="52F99002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.8.3.1.1.  </w:t>
      </w:r>
      <w:r w:rsidR="00231BD7">
        <w:t>Referral actions for a partial quantity.</w:t>
      </w:r>
    </w:p>
    <w:p w14:paraId="04ABC482" w14:textId="4B168E3E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.8.3.1.2.  </w:t>
      </w:r>
      <w:r w:rsidR="00231BD7">
        <w:t>Passing actions for a partial quantity.</w:t>
      </w:r>
    </w:p>
    <w:p w14:paraId="04ABC483" w14:textId="3B5BC17B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.8.3.1.3.  </w:t>
      </w:r>
      <w:r w:rsidR="00231BD7">
        <w:t>Release of a partial quantity.</w:t>
      </w:r>
    </w:p>
    <w:p w14:paraId="04ABC484" w14:textId="4A1A672C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.8.3.1.4.  </w:t>
      </w:r>
      <w:r w:rsidR="00231BD7">
        <w:t>Rejection of a partial quantity.</w:t>
      </w:r>
    </w:p>
    <w:p w14:paraId="04ABC485" w14:textId="71F4D481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.8.3.1.5.  </w:t>
      </w:r>
      <w:r w:rsidR="00231BD7">
        <w:t>Backorder of a partial quantity.</w:t>
      </w:r>
    </w:p>
    <w:p w14:paraId="04ABC486" w14:textId="58894AAE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.8.3.1.6.  </w:t>
      </w:r>
      <w:r w:rsidR="00231BD7">
        <w:t>Backorder release of a partial quantity.</w:t>
      </w:r>
    </w:p>
    <w:p w14:paraId="04ABC487" w14:textId="2602CBC1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.8.3.1.7.  </w:t>
      </w:r>
      <w:r w:rsidR="00231BD7">
        <w:t>Procurement of a partial quantity for direct delivery by a vendor.</w:t>
      </w:r>
    </w:p>
    <w:p w14:paraId="04ABC488" w14:textId="544F7D15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.8.3.1.8.  </w:t>
      </w:r>
      <w:r w:rsidR="00231BD7">
        <w:t>Any other action applicable to a partial quantity.</w:t>
      </w:r>
    </w:p>
    <w:p w14:paraId="04ABC489" w14:textId="087E83E5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.8.3.2.  </w:t>
      </w:r>
      <w:r w:rsidR="00231BD7">
        <w:t xml:space="preserve">Processing elements of distribution systems </w:t>
      </w:r>
      <w:r w:rsidR="00DA78DD">
        <w:t>shall</w:t>
      </w:r>
      <w:r w:rsidR="00231BD7">
        <w:t xml:space="preserve"> not enter suffix codes under the following conditions:</w:t>
      </w:r>
    </w:p>
    <w:p w14:paraId="04ABC48A" w14:textId="7896A5EE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.8.3.2.1.  </w:t>
      </w:r>
      <w:r w:rsidR="00231BD7">
        <w:t>Referral actions for a total quantity.</w:t>
      </w:r>
    </w:p>
    <w:p w14:paraId="04ABC48B" w14:textId="46688F13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.8.3.2.2.  </w:t>
      </w:r>
      <w:r w:rsidR="00231BD7">
        <w:t>Passing actions for a total quantity.</w:t>
      </w:r>
    </w:p>
    <w:p w14:paraId="04ABC48C" w14:textId="3445B03B" w:rsidR="00231BD7" w:rsidRDefault="00350DA8" w:rsidP="00AF5214">
      <w:pPr>
        <w:tabs>
          <w:tab w:val="left" w:pos="540"/>
          <w:tab w:val="left" w:pos="1080"/>
        </w:tabs>
        <w:spacing w:after="240"/>
      </w:pPr>
      <w:r>
        <w:lastRenderedPageBreak/>
        <w:tab/>
      </w:r>
      <w:r>
        <w:tab/>
      </w:r>
      <w:r w:rsidR="00F40B61">
        <w:t>AP7</w:t>
      </w:r>
      <w:r w:rsidR="00457946">
        <w:t xml:space="preserve">.8.3.2.3.  </w:t>
      </w:r>
      <w:r w:rsidR="00231BD7">
        <w:t>Release of a total quantity.</w:t>
      </w:r>
    </w:p>
    <w:p w14:paraId="04ABC48D" w14:textId="7086A996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.8.3.2.4.  </w:t>
      </w:r>
      <w:r w:rsidR="00231BD7">
        <w:t>Rejection of a total quantity.</w:t>
      </w:r>
    </w:p>
    <w:p w14:paraId="04ABC48E" w14:textId="7924DDBE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.8.3.2.5.  </w:t>
      </w:r>
      <w:r w:rsidR="00231BD7">
        <w:t>Backorder of a total quantity.</w:t>
      </w:r>
    </w:p>
    <w:p w14:paraId="04ABC48F" w14:textId="165BC4C7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.8.3.2.6.  </w:t>
      </w:r>
      <w:r w:rsidR="00231BD7">
        <w:t>Backorder release of a total quantity.</w:t>
      </w:r>
    </w:p>
    <w:p w14:paraId="04ABC490" w14:textId="5998B86B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.8.3.2.7.  </w:t>
      </w:r>
      <w:r w:rsidR="00231BD7">
        <w:t>Procurement of a total quantity for direct delivery by a vendor.</w:t>
      </w:r>
    </w:p>
    <w:p w14:paraId="04ABC491" w14:textId="52E7CE91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.8.3.2.8.  </w:t>
      </w:r>
      <w:r w:rsidR="00231BD7">
        <w:t>Any other action applicable to a total quantity.</w:t>
      </w:r>
    </w:p>
    <w:p w14:paraId="04ABC492" w14:textId="21EC6785" w:rsidR="00231BD7" w:rsidRDefault="00F40B61" w:rsidP="00AF5214">
      <w:pPr>
        <w:tabs>
          <w:tab w:val="left" w:pos="540"/>
          <w:tab w:val="left" w:pos="1080"/>
        </w:tabs>
        <w:spacing w:after="240"/>
      </w:pPr>
      <w:r>
        <w:t>AP7</w:t>
      </w:r>
      <w:r w:rsidR="00457946">
        <w:t xml:space="preserve">.8.4.  </w:t>
      </w:r>
      <w:r w:rsidR="00231BD7" w:rsidRPr="00AC2EF2">
        <w:rPr>
          <w:u w:val="single"/>
        </w:rPr>
        <w:t>Suffix</w:t>
      </w:r>
      <w:r w:rsidR="00084A16">
        <w:rPr>
          <w:u w:val="single"/>
        </w:rPr>
        <w:t xml:space="preserve"> Cod</w:t>
      </w:r>
      <w:r w:rsidR="00231BD7" w:rsidRPr="00AC2EF2">
        <w:rPr>
          <w:u w:val="single"/>
        </w:rPr>
        <w:t>es - Materiel Returns Program</w:t>
      </w:r>
    </w:p>
    <w:p w14:paraId="04ABC493" w14:textId="054C20CD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.8.4.1.  </w:t>
      </w:r>
      <w:r w:rsidR="00231BD7">
        <w:t xml:space="preserve">Processing elements of the distribution system </w:t>
      </w:r>
      <w:r w:rsidR="00DA78DD">
        <w:t>shall</w:t>
      </w:r>
      <w:r w:rsidR="00231BD7">
        <w:t xml:space="preserve"> enter a suffix </w:t>
      </w:r>
      <w:r w:rsidR="00084A16">
        <w:t xml:space="preserve">code </w:t>
      </w:r>
      <w:r w:rsidR="00231BD7">
        <w:t>in rp 44 of MRP transactions involving partial quantities, such as:</w:t>
      </w:r>
    </w:p>
    <w:p w14:paraId="04ABC494" w14:textId="549316E3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.8.4.1.1.  </w:t>
      </w:r>
      <w:r w:rsidR="00231BD7">
        <w:t>Return partial quantity with credit.</w:t>
      </w:r>
    </w:p>
    <w:p w14:paraId="04ABC495" w14:textId="29E1E812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.8.4.1.2.  </w:t>
      </w:r>
      <w:r w:rsidR="00231BD7">
        <w:t>Return partial quantity without credit.</w:t>
      </w:r>
    </w:p>
    <w:p w14:paraId="04ABC496" w14:textId="5A90B9B4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.8.4.1.3.  </w:t>
      </w:r>
      <w:r w:rsidR="00231BD7">
        <w:t>Partial quantity authorized for disposal.</w:t>
      </w:r>
    </w:p>
    <w:p w14:paraId="04ABC497" w14:textId="7D310CF2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.8.4.1.4.  </w:t>
      </w:r>
      <w:r w:rsidR="00231BD7">
        <w:t>Effect lateral redistribution of partial quantity.</w:t>
      </w:r>
    </w:p>
    <w:p w14:paraId="04ABC498" w14:textId="5DCAA8F5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.8.4.1.5.  </w:t>
      </w:r>
      <w:r w:rsidR="00231BD7">
        <w:t>Effect split returns by separate priority.</w:t>
      </w:r>
    </w:p>
    <w:p w14:paraId="04ABC499" w14:textId="42C0A163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>
        <w:tab/>
      </w:r>
      <w:r w:rsidR="00F40B61">
        <w:t>AP7</w:t>
      </w:r>
      <w:r w:rsidR="00457946">
        <w:t xml:space="preserve">.8.4.1.6.  </w:t>
      </w:r>
      <w:r w:rsidR="00231BD7">
        <w:t>Any other action applicable to a partial quantity.</w:t>
      </w:r>
    </w:p>
    <w:p w14:paraId="04ABC49A" w14:textId="72FC1965" w:rsidR="00231BD7" w:rsidRDefault="00350DA8" w:rsidP="00AF5214">
      <w:pPr>
        <w:tabs>
          <w:tab w:val="left" w:pos="540"/>
          <w:tab w:val="left" w:pos="1080"/>
        </w:tabs>
        <w:spacing w:after="240"/>
      </w:pPr>
      <w:r>
        <w:tab/>
      </w:r>
      <w:r w:rsidR="00F40B61">
        <w:t>AP7</w:t>
      </w:r>
      <w:r w:rsidR="00457946">
        <w:t xml:space="preserve">.8.4.2.  </w:t>
      </w:r>
      <w:r w:rsidR="00231BD7">
        <w:t xml:space="preserve">Processing elements of distribution systems </w:t>
      </w:r>
      <w:r w:rsidR="00DA78DD">
        <w:t>shall</w:t>
      </w:r>
      <w:r w:rsidR="00357177">
        <w:t xml:space="preserve"> not enter suffix</w:t>
      </w:r>
      <w:r w:rsidR="00084A16">
        <w:t xml:space="preserve"> cod</w:t>
      </w:r>
      <w:r w:rsidR="00357177">
        <w:t xml:space="preserve">es in </w:t>
      </w:r>
      <w:r w:rsidR="00231BD7">
        <w:t>MRP transactions for total quantity.</w:t>
      </w:r>
    </w:p>
    <w:sectPr w:rsidR="00231BD7" w:rsidSect="00350D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C49D" w14:textId="77777777" w:rsidR="008F7CBE" w:rsidRDefault="008F7CBE">
      <w:r>
        <w:separator/>
      </w:r>
    </w:p>
  </w:endnote>
  <w:endnote w:type="continuationSeparator" w:id="0">
    <w:p w14:paraId="04ABC49E" w14:textId="77777777" w:rsidR="008F7CBE" w:rsidRDefault="008F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C4A2" w14:textId="77777777" w:rsidR="008F7CBE" w:rsidRPr="003B2CBA" w:rsidRDefault="008F7CBE" w:rsidP="00E42A01">
    <w:pPr>
      <w:pStyle w:val="Footer"/>
      <w:framePr w:wrap="around" w:vAnchor="text" w:hAnchor="margin" w:xAlign="center" w:y="1"/>
      <w:rPr>
        <w:rStyle w:val="PageNumber"/>
        <w:b w:val="0"/>
      </w:rPr>
    </w:pPr>
    <w:r w:rsidRPr="003B2CBA">
      <w:rPr>
        <w:rStyle w:val="PageNumber"/>
        <w:b w:val="0"/>
      </w:rPr>
      <w:fldChar w:fldCharType="begin"/>
    </w:r>
    <w:r w:rsidRPr="003B2CBA">
      <w:rPr>
        <w:rStyle w:val="PageNumber"/>
        <w:b w:val="0"/>
      </w:rPr>
      <w:instrText xml:space="preserve">PAGE  </w:instrText>
    </w:r>
    <w:r w:rsidRPr="003B2CBA">
      <w:rPr>
        <w:rStyle w:val="PageNumber"/>
        <w:b w:val="0"/>
      </w:rPr>
      <w:fldChar w:fldCharType="separate"/>
    </w:r>
    <w:r w:rsidRPr="003B2CBA">
      <w:rPr>
        <w:rStyle w:val="PageNumber"/>
        <w:b w:val="0"/>
        <w:noProof/>
      </w:rPr>
      <w:t>4</w:t>
    </w:r>
    <w:r w:rsidRPr="003B2CBA">
      <w:rPr>
        <w:rStyle w:val="PageNumber"/>
        <w:b w:val="0"/>
      </w:rPr>
      <w:fldChar w:fldCharType="end"/>
    </w:r>
  </w:p>
  <w:p w14:paraId="04ABC4A3" w14:textId="77777777" w:rsidR="008F7CBE" w:rsidRDefault="008F7CBE" w:rsidP="00457946">
    <w:pPr>
      <w:pStyle w:val="Footer"/>
      <w:jc w:val="right"/>
    </w:pPr>
    <w:r>
      <w:t>APPENDIX 2.8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C4A4" w14:textId="4D457C5B" w:rsidR="008F7CBE" w:rsidRPr="00350DA8" w:rsidRDefault="00F40B61" w:rsidP="00E42A01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AP7AP7</w:t>
    </w:r>
    <w:r w:rsidR="008F7CBE">
      <w:rPr>
        <w:rStyle w:val="PageNumber"/>
        <w:b w:val="0"/>
      </w:rPr>
      <w:t>.8-</w:t>
    </w:r>
    <w:r w:rsidR="008F7CBE" w:rsidRPr="00350DA8">
      <w:rPr>
        <w:rStyle w:val="PageNumber"/>
        <w:b w:val="0"/>
      </w:rPr>
      <w:fldChar w:fldCharType="begin"/>
    </w:r>
    <w:r w:rsidR="008F7CBE" w:rsidRPr="00350DA8">
      <w:rPr>
        <w:rStyle w:val="PageNumber"/>
        <w:b w:val="0"/>
      </w:rPr>
      <w:instrText xml:space="preserve">PAGE  </w:instrText>
    </w:r>
    <w:r w:rsidR="008F7CBE" w:rsidRPr="00350DA8">
      <w:rPr>
        <w:rStyle w:val="PageNumber"/>
        <w:b w:val="0"/>
      </w:rPr>
      <w:fldChar w:fldCharType="separate"/>
    </w:r>
    <w:r w:rsidR="003B7F39">
      <w:rPr>
        <w:rStyle w:val="PageNumber"/>
        <w:b w:val="0"/>
        <w:noProof/>
      </w:rPr>
      <w:t>1</w:t>
    </w:r>
    <w:r w:rsidR="008F7CBE" w:rsidRPr="00350DA8">
      <w:rPr>
        <w:rStyle w:val="PageNumber"/>
        <w:b w:val="0"/>
      </w:rPr>
      <w:fldChar w:fldCharType="end"/>
    </w:r>
  </w:p>
  <w:p w14:paraId="04ABC4A5" w14:textId="2D5CAF03" w:rsidR="008F7CBE" w:rsidRPr="00512707" w:rsidRDefault="008F7CBE" w:rsidP="00E70226">
    <w:pPr>
      <w:pStyle w:val="Footer"/>
      <w:tabs>
        <w:tab w:val="clear" w:pos="8640"/>
      </w:tabs>
      <w:jc w:val="right"/>
    </w:pPr>
    <w:r>
      <w:t xml:space="preserve">APPENDIX </w:t>
    </w:r>
    <w:r w:rsidR="00F40B61">
      <w:t>7</w:t>
    </w:r>
    <w:r>
      <w:t>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C49B" w14:textId="77777777" w:rsidR="008F7CBE" w:rsidRDefault="008F7CBE">
      <w:r>
        <w:separator/>
      </w:r>
    </w:p>
  </w:footnote>
  <w:footnote w:type="continuationSeparator" w:id="0">
    <w:p w14:paraId="04ABC49C" w14:textId="77777777" w:rsidR="008F7CBE" w:rsidRDefault="008F7CBE">
      <w:r>
        <w:continuationSeparator/>
      </w:r>
    </w:p>
  </w:footnote>
  <w:footnote w:id="1">
    <w:p w14:paraId="04ABC4AB" w14:textId="19208F68" w:rsidR="008F7CBE" w:rsidRPr="00512707" w:rsidRDefault="008F7CBE">
      <w:pPr>
        <w:spacing w:after="115"/>
        <w:ind w:right="864"/>
        <w:rPr>
          <w:sz w:val="20"/>
        </w:rPr>
      </w:pPr>
      <w:r w:rsidRPr="00512707"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 w:rsidRPr="00512707">
        <w:rPr>
          <w:sz w:val="20"/>
        </w:rPr>
        <w:t xml:space="preserve">When no demand code is entered in the requisition, the ICP </w:t>
      </w:r>
      <w:r>
        <w:rPr>
          <w:sz w:val="20"/>
        </w:rPr>
        <w:t>shall</w:t>
      </w:r>
      <w:r w:rsidRPr="00512707">
        <w:rPr>
          <w:sz w:val="20"/>
        </w:rPr>
        <w:t xml:space="preserve"> consider such demand as R.  (See </w:t>
      </w:r>
      <w:r w:rsidR="00B71E89">
        <w:rPr>
          <w:sz w:val="20"/>
        </w:rPr>
        <w:t>DLMS Volume 2, C</w:t>
      </w:r>
      <w:r w:rsidRPr="00512707">
        <w:rPr>
          <w:sz w:val="20"/>
        </w:rPr>
        <w:t xml:space="preserve">hapter </w:t>
      </w:r>
      <w:r w:rsidR="00B71E89">
        <w:rPr>
          <w:sz w:val="20"/>
        </w:rPr>
        <w:t>4</w:t>
      </w:r>
      <w:r w:rsidRPr="00512707">
        <w:rPr>
          <w:sz w:val="20"/>
        </w:rPr>
        <w:t>.)</w:t>
      </w:r>
    </w:p>
  </w:footnote>
  <w:footnote w:id="2">
    <w:p w14:paraId="04ABC4AC" w14:textId="4832494B" w:rsidR="008F7CBE" w:rsidRDefault="008F7CBE">
      <w:pPr>
        <w:pStyle w:val="FootnoteText"/>
      </w:pPr>
      <w:r>
        <w:rPr>
          <w:rStyle w:val="FootnoteReference"/>
        </w:rPr>
        <w:footnoteRef/>
      </w:r>
      <w:r>
        <w:rPr>
          <w:rFonts w:cs="Arial"/>
          <w:szCs w:val="24"/>
        </w:rPr>
        <w:t xml:space="preserve"> </w:t>
      </w:r>
      <w:r w:rsidRPr="0000436A">
        <w:rPr>
          <w:rFonts w:cs="Arial"/>
          <w:szCs w:val="24"/>
        </w:rPr>
        <w:t>MILSTRIP supports the valid use of Suffix Code X, which may be perpetuated into the 15</w:t>
      </w:r>
      <w:r w:rsidRPr="0000436A">
        <w:rPr>
          <w:rFonts w:cs="Arial"/>
          <w:szCs w:val="24"/>
          <w:vertAlign w:val="superscript"/>
        </w:rPr>
        <w:t>th</w:t>
      </w:r>
      <w:r w:rsidRPr="0000436A">
        <w:rPr>
          <w:rFonts w:cs="Arial"/>
          <w:szCs w:val="24"/>
        </w:rPr>
        <w:t xml:space="preserve"> character of the Transportation Control Number (TCN) (which is normally derived from the MILSTRIP suffix code).  However, the Defense Transportation Regulation (DTR) also allows X as a default value when no suffix code is assigned.  This redundancy in the significance of the X in the TCN is recognized and accepted</w:t>
      </w:r>
      <w:r>
        <w:rPr>
          <w:rFonts w:cs="Arial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C49F" w14:textId="77777777" w:rsidR="008F7CBE" w:rsidRDefault="008F7CBE" w:rsidP="001A0E0A">
    <w:pPr>
      <w:pStyle w:val="Header"/>
      <w:jc w:val="right"/>
      <w:rPr>
        <w:i/>
        <w:u w:val="none"/>
      </w:rPr>
    </w:pPr>
    <w:r w:rsidRPr="00C13894">
      <w:rPr>
        <w:i/>
        <w:u w:val="none"/>
      </w:rPr>
      <w:t xml:space="preserve">DoD 4000.25-1-M, </w:t>
    </w:r>
    <w:r>
      <w:rPr>
        <w:i/>
        <w:u w:val="none"/>
      </w:rPr>
      <w:t>January, 2006</w:t>
    </w:r>
  </w:p>
  <w:p w14:paraId="04ABC4A0" w14:textId="77777777" w:rsidR="008F7CBE" w:rsidRPr="00C13894" w:rsidRDefault="008F7CBE" w:rsidP="001A0E0A">
    <w:pPr>
      <w:pStyle w:val="Header"/>
      <w:jc w:val="right"/>
      <w:rPr>
        <w:i/>
        <w:u w:val="none"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32E86" w14:textId="0C1AAF13" w:rsidR="00F40B61" w:rsidRPr="00F40B61" w:rsidRDefault="00F40B61" w:rsidP="00F40B61">
    <w:pPr>
      <w:tabs>
        <w:tab w:val="center" w:pos="4320"/>
        <w:tab w:val="right" w:pos="8640"/>
      </w:tabs>
      <w:autoSpaceDN w:val="0"/>
      <w:jc w:val="right"/>
      <w:rPr>
        <w:i/>
        <w:iCs/>
      </w:rPr>
    </w:pPr>
    <w:r w:rsidRPr="00F40B61">
      <w:rPr>
        <w:i/>
        <w:iCs/>
      </w:rPr>
      <w:t xml:space="preserve">DLM 4000.25, Volume 2, </w:t>
    </w:r>
    <w:r w:rsidR="003B7F39">
      <w:rPr>
        <w:i/>
      </w:rPr>
      <w:t>November 26</w:t>
    </w:r>
    <w:r w:rsidRPr="00F40B61">
      <w:rPr>
        <w:i/>
        <w:iCs/>
      </w:rPr>
      <w:t>, 2019</w:t>
    </w:r>
  </w:p>
  <w:p w14:paraId="04ABC4A1" w14:textId="0D48AA5B" w:rsidR="008F7CBE" w:rsidRPr="00712FD2" w:rsidRDefault="00F40B61" w:rsidP="00F40B61">
    <w:pPr>
      <w:pStyle w:val="Header"/>
      <w:tabs>
        <w:tab w:val="clear" w:pos="8640"/>
      </w:tabs>
      <w:jc w:val="right"/>
      <w:rPr>
        <w:iCs/>
        <w:u w:val="none"/>
      </w:rPr>
    </w:pPr>
    <w:r w:rsidRPr="00F40B61">
      <w:rPr>
        <w:i/>
        <w:iCs/>
        <w:u w:val="none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C4A6" w14:textId="77777777" w:rsidR="008F7CBE" w:rsidRPr="003B2CBA" w:rsidRDefault="008F7CBE">
    <w:pPr>
      <w:pStyle w:val="Header"/>
      <w:ind w:left="7920"/>
      <w:jc w:val="left"/>
      <w:rPr>
        <w:iCs/>
        <w:u w:val="none"/>
      </w:rPr>
    </w:pPr>
    <w:r w:rsidRPr="003B2CBA">
      <w:rPr>
        <w:iCs/>
        <w:u w:val="none"/>
      </w:rPr>
      <w:t xml:space="preserve"> </w:t>
    </w:r>
  </w:p>
  <w:p w14:paraId="04ABC4A7" w14:textId="77777777" w:rsidR="008F7CBE" w:rsidRDefault="008F7CBE">
    <w:pPr>
      <w:pStyle w:val="Header"/>
      <w:ind w:left="7920"/>
      <w:jc w:val="left"/>
      <w:rPr>
        <w:b/>
        <w:u w:val="none"/>
      </w:rPr>
    </w:pPr>
    <w:r>
      <w:rPr>
        <w:b/>
        <w:u w:val="none"/>
      </w:rPr>
      <w:t>DoD 4000.25-1-M</w:t>
    </w:r>
  </w:p>
  <w:p w14:paraId="04ABC4A8" w14:textId="77777777" w:rsidR="008F7CBE" w:rsidRPr="003B2CBA" w:rsidRDefault="008F7CBE">
    <w:pPr>
      <w:pStyle w:val="Header"/>
      <w:ind w:left="7920"/>
      <w:jc w:val="left"/>
      <w:rPr>
        <w:u w:val="none"/>
      </w:rPr>
    </w:pPr>
  </w:p>
  <w:p w14:paraId="04ABC4A9" w14:textId="77777777" w:rsidR="008F7CBE" w:rsidRDefault="008F7CBE">
    <w:pPr>
      <w:pStyle w:val="Header"/>
      <w:jc w:val="left"/>
      <w:rPr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7FA4508E"/>
    <w:lvl w:ilvl="0">
      <w:start w:val="34"/>
      <w:numFmt w:val="none"/>
      <w:pStyle w:val="Heading1"/>
      <w:suff w:val="nothing"/>
      <w:lvlText w:val="AP2.8 APPENDIX 2.8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2.8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%1.8.%3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%1.8.%3.%4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%1.8.%3.%4.%5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%1.8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%1.8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%1.8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%1.8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0A3121E2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9" w15:restartNumberingAfterBreak="0">
    <w:nsid w:val="0C4B49FB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4" w15:restartNumberingAfterBreak="0">
    <w:nsid w:val="4F133F9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5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6" w15:restartNumberingAfterBreak="0">
    <w:nsid w:val="601542C2"/>
    <w:multiLevelType w:val="multilevel"/>
    <w:tmpl w:val="7A9AE434"/>
    <w:lvl w:ilvl="0">
      <w:start w:val="34"/>
      <w:numFmt w:val="none"/>
      <w:suff w:val="nothing"/>
      <w:lvlText w:val="AP2.8 APPENDIX 2.8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8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8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8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8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8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8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8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8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61CC2775"/>
    <w:multiLevelType w:val="multilevel"/>
    <w:tmpl w:val="109A5C34"/>
    <w:lvl w:ilvl="0">
      <w:start w:val="34"/>
      <w:numFmt w:val="none"/>
      <w:suff w:val="nothing"/>
      <w:lvlText w:val="AP2.8 APPENDIX 2.8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8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8.%3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8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8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8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8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8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8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6AA50936"/>
    <w:multiLevelType w:val="multilevel"/>
    <w:tmpl w:val="32D6B50A"/>
    <w:lvl w:ilvl="0">
      <w:start w:val="34"/>
      <w:numFmt w:val="none"/>
      <w:suff w:val="nothing"/>
      <w:lvlText w:val="AP2.8 APPENDIX 2.8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8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8.%3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8.%3.%4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8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8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8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8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8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19"/>
  </w:num>
  <w:num w:numId="13">
    <w:abstractNumId w:val="15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8"/>
  </w:num>
  <w:num w:numId="19">
    <w:abstractNumId w:val="16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21A"/>
    <w:rsid w:val="0000283F"/>
    <w:rsid w:val="0000436A"/>
    <w:rsid w:val="00027BDF"/>
    <w:rsid w:val="00070A2C"/>
    <w:rsid w:val="00082455"/>
    <w:rsid w:val="00084A16"/>
    <w:rsid w:val="000C1206"/>
    <w:rsid w:val="000C2D22"/>
    <w:rsid w:val="00103223"/>
    <w:rsid w:val="00110838"/>
    <w:rsid w:val="00113CA9"/>
    <w:rsid w:val="001901C2"/>
    <w:rsid w:val="001A0E0A"/>
    <w:rsid w:val="001B7CA1"/>
    <w:rsid w:val="001D4191"/>
    <w:rsid w:val="00231BD7"/>
    <w:rsid w:val="00233C4A"/>
    <w:rsid w:val="002A3F85"/>
    <w:rsid w:val="002C0B10"/>
    <w:rsid w:val="002E3339"/>
    <w:rsid w:val="002F21C6"/>
    <w:rsid w:val="003314D5"/>
    <w:rsid w:val="00350DA8"/>
    <w:rsid w:val="00357177"/>
    <w:rsid w:val="0036737D"/>
    <w:rsid w:val="003A2916"/>
    <w:rsid w:val="003B2CBA"/>
    <w:rsid w:val="003B7F39"/>
    <w:rsid w:val="00412B61"/>
    <w:rsid w:val="00457946"/>
    <w:rsid w:val="004B24FC"/>
    <w:rsid w:val="004B525F"/>
    <w:rsid w:val="00512707"/>
    <w:rsid w:val="00531663"/>
    <w:rsid w:val="00557F82"/>
    <w:rsid w:val="00586C92"/>
    <w:rsid w:val="00593992"/>
    <w:rsid w:val="005B0C3A"/>
    <w:rsid w:val="005E5D7E"/>
    <w:rsid w:val="00627886"/>
    <w:rsid w:val="00631592"/>
    <w:rsid w:val="00637954"/>
    <w:rsid w:val="00637CC4"/>
    <w:rsid w:val="006C3A71"/>
    <w:rsid w:val="00712FD2"/>
    <w:rsid w:val="007C7282"/>
    <w:rsid w:val="007E02EC"/>
    <w:rsid w:val="007E335C"/>
    <w:rsid w:val="0085219B"/>
    <w:rsid w:val="00867230"/>
    <w:rsid w:val="00881C88"/>
    <w:rsid w:val="008841FF"/>
    <w:rsid w:val="0089725F"/>
    <w:rsid w:val="008D26BB"/>
    <w:rsid w:val="008D4A05"/>
    <w:rsid w:val="008F121A"/>
    <w:rsid w:val="008F58E6"/>
    <w:rsid w:val="008F7CBE"/>
    <w:rsid w:val="0091512B"/>
    <w:rsid w:val="00983113"/>
    <w:rsid w:val="009A09D2"/>
    <w:rsid w:val="009B268E"/>
    <w:rsid w:val="00A066FC"/>
    <w:rsid w:val="00A50EE8"/>
    <w:rsid w:val="00A77EA4"/>
    <w:rsid w:val="00AC2EF2"/>
    <w:rsid w:val="00AF5214"/>
    <w:rsid w:val="00B336F5"/>
    <w:rsid w:val="00B624F7"/>
    <w:rsid w:val="00B71E89"/>
    <w:rsid w:val="00BD586A"/>
    <w:rsid w:val="00BE0361"/>
    <w:rsid w:val="00BF377E"/>
    <w:rsid w:val="00C13894"/>
    <w:rsid w:val="00C433CD"/>
    <w:rsid w:val="00C5053A"/>
    <w:rsid w:val="00CC1CD5"/>
    <w:rsid w:val="00D05866"/>
    <w:rsid w:val="00D37C90"/>
    <w:rsid w:val="00D71068"/>
    <w:rsid w:val="00D867FF"/>
    <w:rsid w:val="00D87452"/>
    <w:rsid w:val="00DA78DD"/>
    <w:rsid w:val="00E209E6"/>
    <w:rsid w:val="00E3129C"/>
    <w:rsid w:val="00E42A01"/>
    <w:rsid w:val="00E4632D"/>
    <w:rsid w:val="00E70226"/>
    <w:rsid w:val="00EB655D"/>
    <w:rsid w:val="00EB7ADA"/>
    <w:rsid w:val="00F3480C"/>
    <w:rsid w:val="00F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ABC431"/>
  <w15:docId w15:val="{9C510459-9ADA-4111-9E24-F6176B3A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2C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070A2C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070A2C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070A2C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070A2C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070A2C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070A2C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070A2C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070A2C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070A2C"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070A2C"/>
    <w:rPr>
      <w:vertAlign w:val="superscript"/>
    </w:rPr>
  </w:style>
  <w:style w:type="character" w:styleId="FootnoteReference">
    <w:name w:val="footnote reference"/>
    <w:semiHidden/>
    <w:rsid w:val="00070A2C"/>
    <w:rPr>
      <w:vertAlign w:val="superscript"/>
    </w:rPr>
  </w:style>
  <w:style w:type="character" w:styleId="PageNumber">
    <w:name w:val="page number"/>
    <w:rsid w:val="00070A2C"/>
    <w:rPr>
      <w:rFonts w:ascii="Arial" w:hAnsi="Arial"/>
      <w:b/>
      <w:sz w:val="24"/>
    </w:rPr>
  </w:style>
  <w:style w:type="paragraph" w:styleId="Footer">
    <w:name w:val="footer"/>
    <w:basedOn w:val="Normal"/>
    <w:rsid w:val="00070A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0A2C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070A2C"/>
    <w:rPr>
      <w:sz w:val="20"/>
    </w:rPr>
  </w:style>
  <w:style w:type="paragraph" w:customStyle="1" w:styleId="SubTitle">
    <w:name w:val="Sub Title"/>
    <w:basedOn w:val="Title"/>
    <w:rsid w:val="00070A2C"/>
    <w:rPr>
      <w:u w:val="single"/>
    </w:rPr>
  </w:style>
  <w:style w:type="paragraph" w:styleId="Title">
    <w:name w:val="Title"/>
    <w:basedOn w:val="Normal"/>
    <w:next w:val="Header"/>
    <w:qFormat/>
    <w:rsid w:val="00070A2C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070A2C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070A2C"/>
    <w:pPr>
      <w:spacing w:after="160"/>
      <w:ind w:left="1440"/>
    </w:pPr>
  </w:style>
  <w:style w:type="paragraph" w:styleId="BodyText">
    <w:name w:val="Body Text"/>
    <w:basedOn w:val="Normal"/>
    <w:rsid w:val="00070A2C"/>
    <w:pPr>
      <w:spacing w:after="120"/>
    </w:pPr>
  </w:style>
  <w:style w:type="paragraph" w:styleId="ListBullet">
    <w:name w:val="List Bullet"/>
    <w:basedOn w:val="Normal"/>
    <w:rsid w:val="00070A2C"/>
    <w:pPr>
      <w:spacing w:after="120"/>
      <w:ind w:left="360" w:hanging="360"/>
    </w:pPr>
  </w:style>
  <w:style w:type="paragraph" w:styleId="ListBullet2">
    <w:name w:val="List Bullet 2"/>
    <w:basedOn w:val="Normal"/>
    <w:rsid w:val="00070A2C"/>
    <w:pPr>
      <w:ind w:left="720" w:hanging="360"/>
    </w:pPr>
  </w:style>
  <w:style w:type="paragraph" w:styleId="ListBullet3">
    <w:name w:val="List Bullet 3"/>
    <w:basedOn w:val="Normal"/>
    <w:rsid w:val="00070A2C"/>
    <w:pPr>
      <w:ind w:left="1080" w:hanging="360"/>
    </w:pPr>
  </w:style>
  <w:style w:type="paragraph" w:styleId="ListNumber">
    <w:name w:val="List Number"/>
    <w:basedOn w:val="Normal"/>
    <w:rsid w:val="00070A2C"/>
    <w:pPr>
      <w:ind w:left="360" w:hanging="360"/>
    </w:pPr>
  </w:style>
  <w:style w:type="paragraph" w:styleId="ListNumber2">
    <w:name w:val="List Number 2"/>
    <w:basedOn w:val="Normal"/>
    <w:rsid w:val="00070A2C"/>
    <w:pPr>
      <w:ind w:left="720" w:hanging="360"/>
    </w:pPr>
  </w:style>
  <w:style w:type="paragraph" w:styleId="ListNumber3">
    <w:name w:val="List Number 3"/>
    <w:basedOn w:val="Normal"/>
    <w:rsid w:val="00070A2C"/>
    <w:pPr>
      <w:ind w:left="1080" w:hanging="360"/>
    </w:pPr>
  </w:style>
  <w:style w:type="paragraph" w:styleId="DocumentMap">
    <w:name w:val="Document Map"/>
    <w:basedOn w:val="Normal"/>
    <w:semiHidden/>
    <w:rsid w:val="00070A2C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070A2C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rsid w:val="00070A2C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rsid w:val="00070A2C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semiHidden/>
    <w:rsid w:val="00070A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0A2C"/>
    <w:rPr>
      <w:sz w:val="20"/>
    </w:rPr>
  </w:style>
  <w:style w:type="paragraph" w:styleId="BalloonText">
    <w:name w:val="Balloon Text"/>
    <w:basedOn w:val="Normal"/>
    <w:semiHidden/>
    <w:rsid w:val="0086723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2FD2"/>
    <w:rPr>
      <w:b/>
      <w:bCs/>
    </w:rPr>
  </w:style>
  <w:style w:type="character" w:customStyle="1" w:styleId="CommentTextChar">
    <w:name w:val="Comment Text Char"/>
    <w:link w:val="CommentText"/>
    <w:semiHidden/>
    <w:rsid w:val="00712FD2"/>
    <w:rPr>
      <w:rFonts w:ascii="Arial" w:hAnsi="Arial"/>
    </w:rPr>
  </w:style>
  <w:style w:type="character" w:customStyle="1" w:styleId="CommentSubjectChar">
    <w:name w:val="Comment Subject Char"/>
    <w:link w:val="CommentSubject"/>
    <w:rsid w:val="00712FD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12F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Props1.xml><?xml version="1.0" encoding="utf-8"?>
<ds:datastoreItem xmlns:ds="http://schemas.openxmlformats.org/officeDocument/2006/customXml" ds:itemID="{5C4A5A01-0183-4570-AA20-18C601A7E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0C736-5EFD-4F1D-BC83-C158A5465B57}"/>
</file>

<file path=customXml/itemProps3.xml><?xml version="1.0" encoding="utf-8"?>
<ds:datastoreItem xmlns:ds="http://schemas.openxmlformats.org/officeDocument/2006/customXml" ds:itemID="{87CE1E6E-5CA5-4B65-8660-48F0A0952FC5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71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2.8 - Demand and Suffix Codes</vt:lpstr>
    </vt:vector>
  </TitlesOfParts>
  <Company>DLA Logistics Management Standards Office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7.8 - Demand and Suffix Codes</dc:title>
  <dc:subject/>
  <dc:creator>Heidi Daverede</dc:creator>
  <cp:keywords/>
  <cp:lastModifiedBy>Nguyen, Bao X CTR DLA INFO OPERATIONS (USA)</cp:lastModifiedBy>
  <cp:revision>13</cp:revision>
  <cp:lastPrinted>2007-10-26T13:02:00Z</cp:lastPrinted>
  <dcterms:created xsi:type="dcterms:W3CDTF">2012-01-16T18:20:00Z</dcterms:created>
  <dcterms:modified xsi:type="dcterms:W3CDTF">2019-11-26T21:30:00Z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2294100</vt:r8>
  </property>
</Properties>
</file>