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6D0D6" w14:textId="5178464A" w:rsidR="00630756" w:rsidRPr="00B82367" w:rsidRDefault="004A68FD" w:rsidP="005A5AF1">
      <w:pPr>
        <w:spacing w:after="240"/>
        <w:jc w:val="center"/>
        <w:rPr>
          <w:b/>
          <w:sz w:val="44"/>
          <w:szCs w:val="44"/>
          <w:u w:val="single"/>
        </w:rPr>
      </w:pPr>
      <w:r>
        <w:rPr>
          <w:b/>
          <w:sz w:val="44"/>
          <w:szCs w:val="44"/>
          <w:u w:val="single"/>
        </w:rPr>
        <w:t>AP7</w:t>
      </w:r>
      <w:r w:rsidR="00CF268D" w:rsidRPr="00B82367">
        <w:rPr>
          <w:b/>
          <w:sz w:val="44"/>
          <w:szCs w:val="44"/>
          <w:u w:val="single"/>
        </w:rPr>
        <w:t>.9</w:t>
      </w:r>
      <w:r w:rsidR="000173B0" w:rsidRPr="00B82367">
        <w:rPr>
          <w:b/>
          <w:sz w:val="44"/>
          <w:szCs w:val="44"/>
          <w:u w:val="single"/>
        </w:rPr>
        <w:t>. A</w:t>
      </w:r>
      <w:r w:rsidR="00CF268D" w:rsidRPr="00B82367">
        <w:rPr>
          <w:b/>
          <w:sz w:val="44"/>
          <w:szCs w:val="44"/>
          <w:u w:val="single"/>
        </w:rPr>
        <w:t xml:space="preserve">PPENDIX </w:t>
      </w:r>
      <w:r>
        <w:rPr>
          <w:b/>
          <w:sz w:val="44"/>
          <w:szCs w:val="44"/>
          <w:u w:val="single"/>
        </w:rPr>
        <w:t>7</w:t>
      </w:r>
      <w:r w:rsidR="00CF268D" w:rsidRPr="00B82367">
        <w:rPr>
          <w:b/>
          <w:sz w:val="44"/>
          <w:szCs w:val="44"/>
          <w:u w:val="single"/>
        </w:rPr>
        <w:t>.9</w:t>
      </w:r>
    </w:p>
    <w:p w14:paraId="2276D0D7" w14:textId="77777777" w:rsidR="00630756" w:rsidRDefault="00630756" w:rsidP="005249D2">
      <w:pPr>
        <w:spacing w:after="360"/>
        <w:jc w:val="center"/>
        <w:rPr>
          <w:b/>
          <w:bCs/>
          <w:sz w:val="36"/>
          <w:szCs w:val="36"/>
          <w:u w:val="single"/>
        </w:rPr>
      </w:pPr>
      <w:r w:rsidRPr="00CF268D">
        <w:rPr>
          <w:b/>
          <w:bCs/>
          <w:sz w:val="36"/>
          <w:szCs w:val="36"/>
          <w:u w:val="single"/>
        </w:rPr>
        <w:t>SUPPLEMENTARY ADDRESS</w:t>
      </w:r>
    </w:p>
    <w:p w14:paraId="7A0AC4CB" w14:textId="0E2D5DC0" w:rsidR="0061050E" w:rsidRDefault="004A68FD" w:rsidP="00A03BCC">
      <w:pPr>
        <w:tabs>
          <w:tab w:val="left" w:pos="432"/>
          <w:tab w:val="left" w:pos="1080"/>
          <w:tab w:val="left" w:pos="1627"/>
          <w:tab w:val="left" w:pos="1656"/>
          <w:tab w:val="left" w:pos="2707"/>
          <w:tab w:val="left" w:pos="3240"/>
        </w:tabs>
        <w:spacing w:after="240"/>
        <w:rPr>
          <w:rFonts w:eastAsia="Calibri" w:cs="Arial"/>
          <w:szCs w:val="24"/>
        </w:rPr>
      </w:pPr>
      <w:r>
        <w:rPr>
          <w:rFonts w:eastAsia="Calibri" w:cs="Arial"/>
          <w:szCs w:val="24"/>
        </w:rPr>
        <w:t>AP7</w:t>
      </w:r>
      <w:r w:rsidR="0061050E" w:rsidRPr="0061050E">
        <w:rPr>
          <w:rFonts w:eastAsia="Calibri" w:cs="Arial"/>
          <w:szCs w:val="24"/>
        </w:rPr>
        <w:t>.9.1.  The supplementary address (SUPADD)/supplemental data field is a multi-purpose data element.  Usage rules vary for U.S. Forces and Security Assistance, by the intent of the transaction originator, as well as based upon the transaction format (legacy MILSTRIP vs. DLMS) used to communicate the information.  Regardless of usage or format, the originator’s SUPADD/supplementary data shall be perpetuated in all subsequent transactions and documentation.</w:t>
      </w:r>
    </w:p>
    <w:p w14:paraId="785D6103" w14:textId="7C791C7D" w:rsidR="0061050E" w:rsidRDefault="004A68FD" w:rsidP="00181130">
      <w:pPr>
        <w:tabs>
          <w:tab w:val="left" w:pos="432"/>
          <w:tab w:val="left" w:pos="1080"/>
          <w:tab w:val="left" w:pos="1627"/>
          <w:tab w:val="left" w:pos="1656"/>
          <w:tab w:val="left" w:pos="2707"/>
          <w:tab w:val="left" w:pos="3240"/>
        </w:tabs>
        <w:spacing w:after="240"/>
        <w:rPr>
          <w:rFonts w:eastAsia="Calibri" w:cs="Arial"/>
          <w:szCs w:val="24"/>
        </w:rPr>
      </w:pPr>
      <w:r>
        <w:rPr>
          <w:rFonts w:eastAsia="Calibri" w:cs="Arial"/>
          <w:szCs w:val="24"/>
        </w:rPr>
        <w:t>AP7</w:t>
      </w:r>
      <w:r w:rsidR="0061050E" w:rsidRPr="0061050E">
        <w:rPr>
          <w:rFonts w:eastAsia="Calibri" w:cs="Arial"/>
          <w:szCs w:val="24"/>
        </w:rPr>
        <w:t>.9.2.  U.S. Forces</w:t>
      </w:r>
      <w:bookmarkStart w:id="0" w:name="_GoBack"/>
      <w:bookmarkEnd w:id="0"/>
    </w:p>
    <w:p w14:paraId="2DA33191" w14:textId="31984195" w:rsidR="0061050E" w:rsidRPr="0061050E" w:rsidRDefault="00181130" w:rsidP="00181130">
      <w:pPr>
        <w:tabs>
          <w:tab w:val="left" w:pos="432"/>
          <w:tab w:val="left" w:pos="1080"/>
          <w:tab w:val="left" w:pos="1627"/>
          <w:tab w:val="left" w:pos="1656"/>
          <w:tab w:val="left" w:pos="2707"/>
          <w:tab w:val="left" w:pos="3240"/>
        </w:tabs>
        <w:spacing w:after="240"/>
        <w:rPr>
          <w:rFonts w:eastAsia="Calibri" w:cs="Arial"/>
          <w:szCs w:val="24"/>
        </w:rPr>
      </w:pPr>
      <w:r>
        <w:rPr>
          <w:rFonts w:eastAsia="Calibri" w:cs="Arial"/>
          <w:szCs w:val="24"/>
        </w:rPr>
        <w:tab/>
      </w:r>
      <w:r w:rsidR="004A68FD">
        <w:rPr>
          <w:rFonts w:eastAsia="Calibri" w:cs="Arial"/>
          <w:szCs w:val="24"/>
        </w:rPr>
        <w:t>AP7</w:t>
      </w:r>
      <w:r w:rsidR="0061050E" w:rsidRPr="0061050E">
        <w:rPr>
          <w:rFonts w:eastAsia="Calibri" w:cs="Arial"/>
          <w:szCs w:val="24"/>
        </w:rPr>
        <w:t xml:space="preserve">.9.2.1. Under legacy MILSTRIP, the SUPADD (located in rp 45-50) in transactions for support of U.S. Forces, when significant, will contain a DoD activity address code (DoDAAC).  The entry in the first position (Service) or first and second position (Federal Agency, if numeric-numeric, or special program activity, if numeric-alpha) shall always be the appropriate character(s) identifying the Service/Agency (S/A) or program (see Appendix </w:t>
      </w:r>
      <w:r w:rsidR="00172BA7">
        <w:rPr>
          <w:rFonts w:eastAsia="Calibri" w:cs="Arial"/>
          <w:szCs w:val="24"/>
        </w:rPr>
        <w:t>7</w:t>
      </w:r>
      <w:r w:rsidR="0061050E" w:rsidRPr="0061050E">
        <w:rPr>
          <w:rFonts w:eastAsia="Calibri" w:cs="Arial"/>
          <w:szCs w:val="24"/>
        </w:rPr>
        <w:t>.2. Service and Agency Codes).  The DoDAAC shall be established in the authoritative DLA Transaction Services DoD Activity Address Directory (DoDAAD) database by S/A designated DoDAAD Central Service Points for dissemination in a variety of formats.  Each code so established will contain address(es) in detail to permit the shipping and billing of materiel.  (See the DLM 4000.25, Volume 6, Chapter 2, DoD Activity Address Directory (DoDAAD).)</w:t>
      </w:r>
    </w:p>
    <w:tbl>
      <w:tblPr>
        <w:tblW w:w="8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378"/>
        <w:gridCol w:w="1322"/>
        <w:gridCol w:w="1260"/>
        <w:gridCol w:w="1350"/>
        <w:gridCol w:w="1440"/>
      </w:tblGrid>
      <w:tr w:rsidR="0061050E" w:rsidRPr="0061050E" w14:paraId="787DF08B" w14:textId="77777777" w:rsidTr="004A68FD">
        <w:trPr>
          <w:gridAfter w:val="4"/>
          <w:wAfter w:w="5372" w:type="dxa"/>
          <w:trHeight w:val="431"/>
        </w:trPr>
        <w:tc>
          <w:tcPr>
            <w:tcW w:w="2656" w:type="dxa"/>
            <w:gridSpan w:val="2"/>
            <w:tcBorders>
              <w:top w:val="single" w:sz="4" w:space="0" w:color="auto"/>
              <w:left w:val="single" w:sz="4" w:space="0" w:color="auto"/>
              <w:right w:val="single" w:sz="4" w:space="0" w:color="auto"/>
            </w:tcBorders>
            <w:hideMark/>
          </w:tcPr>
          <w:p w14:paraId="68B16509" w14:textId="77777777" w:rsidR="0061050E" w:rsidRPr="0061050E" w:rsidRDefault="0061050E" w:rsidP="0061050E">
            <w:pPr>
              <w:spacing w:before="60" w:after="240"/>
              <w:rPr>
                <w:rFonts w:eastAsia="Calibri" w:cs="Arial"/>
                <w:szCs w:val="24"/>
              </w:rPr>
            </w:pPr>
            <w:r w:rsidRPr="0061050E">
              <w:rPr>
                <w:rFonts w:eastAsia="Calibri" w:cs="Arial"/>
                <w:szCs w:val="24"/>
              </w:rPr>
              <w:t>Service/Agency</w:t>
            </w:r>
          </w:p>
        </w:tc>
      </w:tr>
      <w:tr w:rsidR="0061050E" w:rsidRPr="0061050E" w14:paraId="20A1FCB6" w14:textId="77777777" w:rsidTr="004A68FD">
        <w:tc>
          <w:tcPr>
            <w:tcW w:w="8028" w:type="dxa"/>
            <w:gridSpan w:val="6"/>
            <w:tcBorders>
              <w:top w:val="single" w:sz="4" w:space="0" w:color="auto"/>
              <w:left w:val="single" w:sz="4" w:space="0" w:color="auto"/>
              <w:bottom w:val="single" w:sz="4" w:space="0" w:color="auto"/>
              <w:right w:val="single" w:sz="4" w:space="0" w:color="auto"/>
            </w:tcBorders>
            <w:hideMark/>
          </w:tcPr>
          <w:p w14:paraId="12820261" w14:textId="77777777" w:rsidR="0061050E" w:rsidRPr="0061050E" w:rsidRDefault="0061050E" w:rsidP="0061050E">
            <w:pPr>
              <w:spacing w:before="60" w:after="240"/>
              <w:rPr>
                <w:rFonts w:eastAsia="Calibri" w:cs="Arial"/>
                <w:szCs w:val="24"/>
              </w:rPr>
            </w:pPr>
            <w:r w:rsidRPr="0061050E">
              <w:rPr>
                <w:rFonts w:eastAsia="Calibri" w:cs="Arial"/>
                <w:szCs w:val="24"/>
              </w:rPr>
              <w:t>Activity Address Code</w:t>
            </w:r>
          </w:p>
        </w:tc>
      </w:tr>
      <w:tr w:rsidR="0061050E" w:rsidRPr="0061050E" w14:paraId="24E0CF72" w14:textId="77777777" w:rsidTr="004A68FD">
        <w:tc>
          <w:tcPr>
            <w:tcW w:w="1278" w:type="dxa"/>
            <w:tcBorders>
              <w:top w:val="single" w:sz="4" w:space="0" w:color="auto"/>
              <w:left w:val="single" w:sz="4" w:space="0" w:color="auto"/>
              <w:bottom w:val="single" w:sz="4" w:space="0" w:color="auto"/>
              <w:right w:val="single" w:sz="4" w:space="0" w:color="auto"/>
            </w:tcBorders>
            <w:hideMark/>
          </w:tcPr>
          <w:p w14:paraId="016891CF" w14:textId="77777777" w:rsidR="0061050E" w:rsidRPr="0061050E" w:rsidRDefault="0061050E" w:rsidP="0061050E">
            <w:pPr>
              <w:spacing w:before="60" w:after="240"/>
              <w:rPr>
                <w:rFonts w:eastAsia="Calibri" w:cs="Arial"/>
                <w:szCs w:val="24"/>
              </w:rPr>
            </w:pPr>
            <w:r w:rsidRPr="0061050E">
              <w:rPr>
                <w:rFonts w:eastAsia="Calibri" w:cs="Arial"/>
                <w:szCs w:val="24"/>
              </w:rPr>
              <w:t>45</w:t>
            </w:r>
          </w:p>
        </w:tc>
        <w:tc>
          <w:tcPr>
            <w:tcW w:w="1378" w:type="dxa"/>
            <w:tcBorders>
              <w:top w:val="single" w:sz="4" w:space="0" w:color="auto"/>
              <w:left w:val="single" w:sz="4" w:space="0" w:color="auto"/>
              <w:bottom w:val="single" w:sz="4" w:space="0" w:color="auto"/>
              <w:right w:val="single" w:sz="4" w:space="0" w:color="auto"/>
            </w:tcBorders>
            <w:hideMark/>
          </w:tcPr>
          <w:p w14:paraId="23AE74D0" w14:textId="77777777" w:rsidR="0061050E" w:rsidRPr="0061050E" w:rsidRDefault="0061050E" w:rsidP="0061050E">
            <w:pPr>
              <w:spacing w:before="60" w:after="240"/>
              <w:rPr>
                <w:rFonts w:eastAsia="Calibri" w:cs="Arial"/>
                <w:szCs w:val="24"/>
              </w:rPr>
            </w:pPr>
            <w:r w:rsidRPr="0061050E">
              <w:rPr>
                <w:rFonts w:eastAsia="Calibri" w:cs="Arial"/>
                <w:szCs w:val="24"/>
              </w:rPr>
              <w:t>46</w:t>
            </w:r>
          </w:p>
        </w:tc>
        <w:tc>
          <w:tcPr>
            <w:tcW w:w="1322" w:type="dxa"/>
            <w:tcBorders>
              <w:top w:val="single" w:sz="4" w:space="0" w:color="auto"/>
              <w:left w:val="single" w:sz="4" w:space="0" w:color="auto"/>
              <w:bottom w:val="single" w:sz="4" w:space="0" w:color="auto"/>
              <w:right w:val="single" w:sz="4" w:space="0" w:color="auto"/>
            </w:tcBorders>
            <w:hideMark/>
          </w:tcPr>
          <w:p w14:paraId="76C41565" w14:textId="77777777" w:rsidR="0061050E" w:rsidRPr="0061050E" w:rsidRDefault="0061050E" w:rsidP="0061050E">
            <w:pPr>
              <w:spacing w:before="60" w:after="240"/>
              <w:rPr>
                <w:rFonts w:eastAsia="Calibri" w:cs="Arial"/>
                <w:szCs w:val="24"/>
              </w:rPr>
            </w:pPr>
            <w:r w:rsidRPr="0061050E">
              <w:rPr>
                <w:rFonts w:eastAsia="Calibri" w:cs="Arial"/>
                <w:szCs w:val="24"/>
              </w:rPr>
              <w:t>47</w:t>
            </w:r>
          </w:p>
        </w:tc>
        <w:tc>
          <w:tcPr>
            <w:tcW w:w="1260" w:type="dxa"/>
            <w:tcBorders>
              <w:top w:val="single" w:sz="4" w:space="0" w:color="auto"/>
              <w:left w:val="single" w:sz="4" w:space="0" w:color="auto"/>
              <w:bottom w:val="single" w:sz="4" w:space="0" w:color="auto"/>
              <w:right w:val="single" w:sz="4" w:space="0" w:color="auto"/>
            </w:tcBorders>
            <w:hideMark/>
          </w:tcPr>
          <w:p w14:paraId="5B75B41F" w14:textId="77777777" w:rsidR="0061050E" w:rsidRPr="0061050E" w:rsidRDefault="0061050E" w:rsidP="0061050E">
            <w:pPr>
              <w:spacing w:before="60" w:after="240"/>
              <w:rPr>
                <w:rFonts w:eastAsia="Calibri" w:cs="Arial"/>
                <w:szCs w:val="24"/>
              </w:rPr>
            </w:pPr>
            <w:r w:rsidRPr="0061050E">
              <w:rPr>
                <w:rFonts w:eastAsia="Calibri" w:cs="Arial"/>
                <w:szCs w:val="24"/>
              </w:rPr>
              <w:t>48</w:t>
            </w:r>
          </w:p>
        </w:tc>
        <w:tc>
          <w:tcPr>
            <w:tcW w:w="1350" w:type="dxa"/>
            <w:tcBorders>
              <w:top w:val="single" w:sz="4" w:space="0" w:color="auto"/>
              <w:left w:val="single" w:sz="4" w:space="0" w:color="auto"/>
              <w:bottom w:val="single" w:sz="4" w:space="0" w:color="auto"/>
              <w:right w:val="single" w:sz="4" w:space="0" w:color="auto"/>
            </w:tcBorders>
            <w:hideMark/>
          </w:tcPr>
          <w:p w14:paraId="4D8BE50C" w14:textId="77777777" w:rsidR="0061050E" w:rsidRPr="0061050E" w:rsidRDefault="0061050E" w:rsidP="0061050E">
            <w:pPr>
              <w:spacing w:before="60" w:after="240"/>
              <w:rPr>
                <w:rFonts w:eastAsia="Calibri" w:cs="Arial"/>
                <w:szCs w:val="24"/>
              </w:rPr>
            </w:pPr>
            <w:r w:rsidRPr="0061050E">
              <w:rPr>
                <w:rFonts w:eastAsia="Calibri" w:cs="Arial"/>
                <w:szCs w:val="24"/>
              </w:rPr>
              <w:t>49</w:t>
            </w:r>
          </w:p>
        </w:tc>
        <w:tc>
          <w:tcPr>
            <w:tcW w:w="1440" w:type="dxa"/>
            <w:tcBorders>
              <w:top w:val="single" w:sz="4" w:space="0" w:color="auto"/>
              <w:left w:val="single" w:sz="4" w:space="0" w:color="auto"/>
              <w:bottom w:val="single" w:sz="4" w:space="0" w:color="auto"/>
              <w:right w:val="single" w:sz="4" w:space="0" w:color="auto"/>
            </w:tcBorders>
            <w:hideMark/>
          </w:tcPr>
          <w:p w14:paraId="0ADEEAC2" w14:textId="77777777" w:rsidR="0061050E" w:rsidRPr="0061050E" w:rsidRDefault="0061050E" w:rsidP="0061050E">
            <w:pPr>
              <w:spacing w:before="60" w:after="240"/>
              <w:rPr>
                <w:rFonts w:eastAsia="Calibri" w:cs="Arial"/>
                <w:szCs w:val="24"/>
              </w:rPr>
            </w:pPr>
            <w:r w:rsidRPr="0061050E">
              <w:rPr>
                <w:rFonts w:eastAsia="Calibri" w:cs="Arial"/>
                <w:szCs w:val="24"/>
              </w:rPr>
              <w:t>50</w:t>
            </w:r>
          </w:p>
        </w:tc>
      </w:tr>
    </w:tbl>
    <w:p w14:paraId="032A1665" w14:textId="77777777" w:rsidR="00A03BCC" w:rsidRDefault="00A03BCC" w:rsidP="00A03BCC">
      <w:pPr>
        <w:spacing w:after="240"/>
        <w:ind w:firstLine="720"/>
        <w:rPr>
          <w:rFonts w:eastAsia="Calibri" w:cs="Arial"/>
          <w:szCs w:val="24"/>
        </w:rPr>
      </w:pPr>
    </w:p>
    <w:p w14:paraId="447E0C85" w14:textId="34C6D2E6" w:rsidR="0061050E" w:rsidRPr="0061050E" w:rsidRDefault="00181130" w:rsidP="00181130">
      <w:pPr>
        <w:tabs>
          <w:tab w:val="left" w:pos="432"/>
          <w:tab w:val="left" w:pos="1080"/>
          <w:tab w:val="left" w:pos="1627"/>
          <w:tab w:val="left" w:pos="1656"/>
          <w:tab w:val="left" w:pos="2707"/>
          <w:tab w:val="left" w:pos="3240"/>
        </w:tabs>
        <w:spacing w:after="240"/>
        <w:rPr>
          <w:rFonts w:eastAsia="Calibri" w:cs="Arial"/>
          <w:szCs w:val="24"/>
        </w:rPr>
      </w:pPr>
      <w:r>
        <w:rPr>
          <w:rFonts w:eastAsia="Calibri" w:cs="Arial"/>
          <w:szCs w:val="24"/>
        </w:rPr>
        <w:tab/>
      </w:r>
      <w:r w:rsidR="004A68FD">
        <w:rPr>
          <w:rFonts w:eastAsia="Calibri" w:cs="Arial"/>
          <w:szCs w:val="24"/>
        </w:rPr>
        <w:t>AP7</w:t>
      </w:r>
      <w:r w:rsidR="0061050E" w:rsidRPr="0061050E">
        <w:rPr>
          <w:rFonts w:eastAsia="Calibri" w:cs="Arial"/>
          <w:szCs w:val="24"/>
        </w:rPr>
        <w:t xml:space="preserve">.9.2.2.  Under DLMS, the SUPADD shall be replaced by a generic supplemental data field.  DoDAACs provided for the purpose of identifying a ship-to and/or bill-to activity are carried as discrete data elements in the DLMS transaction address segment with specific data qualifiers indicating the exact purpose.  </w:t>
      </w:r>
    </w:p>
    <w:p w14:paraId="32B317A5" w14:textId="4A959733" w:rsidR="0061050E" w:rsidRPr="00181130" w:rsidRDefault="00181130" w:rsidP="00181130">
      <w:pPr>
        <w:tabs>
          <w:tab w:val="left" w:pos="432"/>
          <w:tab w:val="left" w:pos="1080"/>
          <w:tab w:val="left" w:pos="1627"/>
          <w:tab w:val="left" w:pos="1656"/>
          <w:tab w:val="left" w:pos="2707"/>
          <w:tab w:val="left" w:pos="3240"/>
        </w:tabs>
        <w:spacing w:after="240"/>
        <w:rPr>
          <w:rFonts w:eastAsia="Calibri" w:cs="Arial"/>
          <w:iCs/>
          <w:sz w:val="22"/>
          <w:szCs w:val="24"/>
        </w:rPr>
      </w:pPr>
      <w:r>
        <w:rPr>
          <w:rFonts w:eastAsia="Calibri" w:cs="Arial"/>
          <w:sz w:val="22"/>
          <w:szCs w:val="24"/>
        </w:rPr>
        <w:tab/>
      </w:r>
      <w:r>
        <w:rPr>
          <w:rFonts w:eastAsia="Calibri" w:cs="Arial"/>
          <w:sz w:val="22"/>
          <w:szCs w:val="24"/>
        </w:rPr>
        <w:tab/>
      </w:r>
      <w:r w:rsidR="004A68FD">
        <w:rPr>
          <w:rFonts w:eastAsia="Calibri" w:cs="Arial"/>
          <w:sz w:val="22"/>
          <w:szCs w:val="24"/>
        </w:rPr>
        <w:t>AP7</w:t>
      </w:r>
      <w:r w:rsidR="0061050E" w:rsidRPr="00181130">
        <w:rPr>
          <w:rFonts w:eastAsia="Calibri" w:cs="Arial"/>
          <w:sz w:val="22"/>
          <w:szCs w:val="24"/>
        </w:rPr>
        <w:t xml:space="preserve">.9.2.2.1.  </w:t>
      </w:r>
      <w:r w:rsidR="0061050E" w:rsidRPr="00181130">
        <w:rPr>
          <w:rFonts w:eastAsia="Calibri" w:cs="Arial"/>
          <w:iCs/>
          <w:sz w:val="22"/>
          <w:szCs w:val="24"/>
        </w:rPr>
        <w:t>In a mixed legacy/DLMS environment, the supplemental data field is used to perpetuate/populate the legacy MILSTRIP SUPADD.  During this time, field size for the supplemental data field is restricted to 6 positions.  When containing a DoDAAC, the value carried in the supplemental data field must also be repeated in the applicable DLMS address segment to identify the ship-to/bill-to activity.</w:t>
      </w:r>
    </w:p>
    <w:p w14:paraId="1B9ED9CE" w14:textId="67D64A9A" w:rsidR="0061050E" w:rsidRPr="0061050E" w:rsidRDefault="00181130" w:rsidP="00181130">
      <w:pPr>
        <w:tabs>
          <w:tab w:val="left" w:pos="432"/>
          <w:tab w:val="left" w:pos="1080"/>
          <w:tab w:val="left" w:pos="1627"/>
          <w:tab w:val="left" w:pos="1656"/>
          <w:tab w:val="left" w:pos="2707"/>
          <w:tab w:val="left" w:pos="3240"/>
        </w:tabs>
        <w:spacing w:after="240"/>
        <w:rPr>
          <w:rFonts w:eastAsia="Calibri" w:cs="Arial"/>
          <w:iCs/>
          <w:szCs w:val="24"/>
        </w:rPr>
      </w:pPr>
      <w:r>
        <w:rPr>
          <w:rFonts w:eastAsia="Calibri" w:cs="Arial"/>
          <w:iCs/>
          <w:szCs w:val="24"/>
        </w:rPr>
        <w:tab/>
      </w:r>
      <w:r>
        <w:rPr>
          <w:rFonts w:eastAsia="Calibri" w:cs="Arial"/>
          <w:iCs/>
          <w:szCs w:val="24"/>
        </w:rPr>
        <w:tab/>
      </w:r>
      <w:r w:rsidR="004A68FD">
        <w:rPr>
          <w:rFonts w:eastAsia="Calibri" w:cs="Arial"/>
          <w:iCs/>
          <w:szCs w:val="24"/>
        </w:rPr>
        <w:t>AP7</w:t>
      </w:r>
      <w:r w:rsidR="0061050E" w:rsidRPr="0061050E">
        <w:rPr>
          <w:rFonts w:eastAsia="Calibri" w:cs="Arial"/>
          <w:iCs/>
          <w:szCs w:val="24"/>
        </w:rPr>
        <w:t xml:space="preserve">.9.2.2.2.  Under full DLMS, the requirement to pass activity address information within the supplement data shall be terminated and the supplementary data </w:t>
      </w:r>
      <w:r w:rsidR="0061050E" w:rsidRPr="0061050E">
        <w:rPr>
          <w:rFonts w:eastAsia="Calibri" w:cs="Arial"/>
          <w:iCs/>
          <w:szCs w:val="24"/>
        </w:rPr>
        <w:lastRenderedPageBreak/>
        <w:t xml:space="preserve">field will be used for miscellaneous data only.  Under full DLMS, the field length shall be expanded to 30 positions. </w:t>
      </w:r>
    </w:p>
    <w:p w14:paraId="4E1BDE85" w14:textId="4DA03C75" w:rsidR="0061050E" w:rsidRPr="00E840FB" w:rsidRDefault="00181130" w:rsidP="00181130">
      <w:pPr>
        <w:tabs>
          <w:tab w:val="left" w:pos="432"/>
          <w:tab w:val="left" w:pos="1080"/>
          <w:tab w:val="left" w:pos="1627"/>
          <w:tab w:val="left" w:pos="1656"/>
          <w:tab w:val="left" w:pos="2707"/>
          <w:tab w:val="left" w:pos="3240"/>
        </w:tabs>
        <w:spacing w:after="240"/>
        <w:rPr>
          <w:rFonts w:eastAsia="Calibri" w:cs="Arial"/>
          <w:szCs w:val="24"/>
        </w:rPr>
      </w:pPr>
      <w:r>
        <w:rPr>
          <w:rFonts w:eastAsia="Calibri" w:cs="Arial"/>
          <w:iCs/>
          <w:szCs w:val="24"/>
        </w:rPr>
        <w:tab/>
      </w:r>
      <w:r w:rsidR="004A68FD">
        <w:rPr>
          <w:rFonts w:eastAsia="Calibri" w:cs="Arial"/>
          <w:iCs/>
          <w:szCs w:val="24"/>
        </w:rPr>
        <w:t>AP7</w:t>
      </w:r>
      <w:r w:rsidR="0061050E" w:rsidRPr="0061050E">
        <w:rPr>
          <w:rFonts w:eastAsia="Calibri" w:cs="Arial"/>
          <w:szCs w:val="24"/>
        </w:rPr>
        <w:t xml:space="preserve">.9.2.3.  Non-significant Supplemental Data.  The Service/Agency Code Y in the first position shall be used to denote that the field is being used for data rather than a ship-to/bill-to DoDAAC.  When the originator of the transaction uses the SUPADD/supplemental data field for data rather than addressing, the entry shall be considered non-significant to the receiving activity except by coordinated prior agreement </w:t>
      </w:r>
      <w:r w:rsidR="0061050E" w:rsidRPr="00E840FB">
        <w:rPr>
          <w:rFonts w:eastAsia="Calibri" w:cs="Arial"/>
          <w:szCs w:val="24"/>
        </w:rPr>
        <w:t>or authorized procedures for inter-Service ownership transfer of ammunition/ammunition-related materiel.</w:t>
      </w:r>
    </w:p>
    <w:p w14:paraId="5C3C28A9" w14:textId="173C4400" w:rsidR="0061050E" w:rsidRPr="00E840FB" w:rsidRDefault="00181130" w:rsidP="00181130">
      <w:pPr>
        <w:tabs>
          <w:tab w:val="left" w:pos="432"/>
          <w:tab w:val="left" w:pos="1080"/>
          <w:tab w:val="left" w:pos="1627"/>
          <w:tab w:val="left" w:pos="1656"/>
          <w:tab w:val="left" w:pos="2707"/>
          <w:tab w:val="left" w:pos="3240"/>
        </w:tabs>
        <w:spacing w:after="240"/>
        <w:rPr>
          <w:rFonts w:eastAsia="Calibri" w:cs="Arial"/>
          <w:szCs w:val="24"/>
        </w:rPr>
      </w:pPr>
      <w:r w:rsidRPr="00E840FB">
        <w:rPr>
          <w:rFonts w:eastAsia="Calibri" w:cs="Arial"/>
          <w:szCs w:val="24"/>
        </w:rPr>
        <w:tab/>
      </w:r>
      <w:r w:rsidR="004A68FD">
        <w:rPr>
          <w:rFonts w:eastAsia="Calibri" w:cs="Arial"/>
          <w:szCs w:val="24"/>
        </w:rPr>
        <w:t>AP7</w:t>
      </w:r>
      <w:r w:rsidR="0061050E" w:rsidRPr="00E840FB">
        <w:rPr>
          <w:rFonts w:eastAsia="Calibri" w:cs="Arial"/>
          <w:szCs w:val="24"/>
        </w:rPr>
        <w:t>.9.2.4.  Inter-Service Ownership Transfer of Ammunition/Ammunition-related Materiel</w:t>
      </w:r>
    </w:p>
    <w:p w14:paraId="0AF0B65C" w14:textId="7E097243" w:rsidR="0061050E" w:rsidRPr="00E840FB" w:rsidRDefault="00181130" w:rsidP="00181130">
      <w:pPr>
        <w:tabs>
          <w:tab w:val="left" w:pos="432"/>
          <w:tab w:val="left" w:pos="1080"/>
          <w:tab w:val="left" w:pos="1627"/>
          <w:tab w:val="left" w:pos="1656"/>
          <w:tab w:val="left" w:pos="2707"/>
          <w:tab w:val="left" w:pos="3240"/>
        </w:tabs>
        <w:spacing w:after="240"/>
        <w:rPr>
          <w:rFonts w:eastAsia="Calibri" w:cs="Arial"/>
          <w:szCs w:val="24"/>
        </w:rPr>
      </w:pPr>
      <w:r w:rsidRPr="00E840FB">
        <w:rPr>
          <w:rFonts w:eastAsia="Calibri" w:cs="Arial"/>
          <w:szCs w:val="24"/>
        </w:rPr>
        <w:tab/>
      </w:r>
      <w:r w:rsidRPr="00E840FB">
        <w:rPr>
          <w:rFonts w:eastAsia="Calibri" w:cs="Arial"/>
          <w:szCs w:val="24"/>
        </w:rPr>
        <w:tab/>
      </w:r>
      <w:r w:rsidR="004A68FD">
        <w:rPr>
          <w:rFonts w:eastAsia="Calibri" w:cs="Arial"/>
          <w:szCs w:val="24"/>
        </w:rPr>
        <w:t>AP7</w:t>
      </w:r>
      <w:r w:rsidR="0061050E" w:rsidRPr="00E840FB">
        <w:rPr>
          <w:rFonts w:eastAsia="Calibri" w:cs="Arial"/>
          <w:szCs w:val="24"/>
        </w:rPr>
        <w:t xml:space="preserve">.9.2.4.1  When used for inter-Service ownership transfer of ammunition or ammunition-related materiel located in a Single Manager for Conventional Ammunition (SMCA) storage activity where no physical movement of materiel or billing applies, the Referral Order (DLMS 511R/DIC A4_) shall cite </w:t>
      </w:r>
      <w:r w:rsidR="0061050E" w:rsidRPr="00E840FB">
        <w:rPr>
          <w:rFonts w:eastAsia="Calibri" w:cs="Arial"/>
          <w:iCs/>
          <w:szCs w:val="24"/>
        </w:rPr>
        <w:t xml:space="preserve">Signal Code M and Project Code CYK in conjunction with a SUPADD/supplemental data field beginning with Service/Agency Code Y (a ship-to DoDAAC is not applicable).  </w:t>
      </w:r>
      <w:r w:rsidR="0061050E" w:rsidRPr="00E840FB">
        <w:rPr>
          <w:rFonts w:eastAsia="Calibri" w:cs="Arial"/>
          <w:szCs w:val="24"/>
        </w:rPr>
        <w:t>In a mixed DLMS/legacy environment, the required additional data content to support this process will be concatenated in the SUPADD/supplemental data field as follows:</w:t>
      </w:r>
    </w:p>
    <w:p w14:paraId="4F90AE87" w14:textId="77777777" w:rsidR="0061050E" w:rsidRPr="00E840FB" w:rsidRDefault="0061050E" w:rsidP="00A03BCC">
      <w:pPr>
        <w:numPr>
          <w:ilvl w:val="0"/>
          <w:numId w:val="18"/>
        </w:numPr>
        <w:spacing w:after="240"/>
        <w:contextualSpacing/>
        <w:rPr>
          <w:rFonts w:cs="Arial"/>
          <w:szCs w:val="24"/>
        </w:rPr>
      </w:pPr>
      <w:r w:rsidRPr="00E840FB">
        <w:rPr>
          <w:rFonts w:cs="Arial"/>
          <w:szCs w:val="24"/>
        </w:rPr>
        <w:t>First position:  Service/Agency Code Y</w:t>
      </w:r>
    </w:p>
    <w:p w14:paraId="7C845957" w14:textId="77777777" w:rsidR="0061050E" w:rsidRPr="00E840FB" w:rsidRDefault="0061050E" w:rsidP="00A03BCC">
      <w:pPr>
        <w:numPr>
          <w:ilvl w:val="0"/>
          <w:numId w:val="18"/>
        </w:numPr>
        <w:spacing w:after="240"/>
        <w:contextualSpacing/>
        <w:rPr>
          <w:rFonts w:cs="Arial"/>
          <w:szCs w:val="24"/>
        </w:rPr>
      </w:pPr>
      <w:r w:rsidRPr="00E840FB">
        <w:rPr>
          <w:rFonts w:cs="Arial"/>
          <w:szCs w:val="24"/>
        </w:rPr>
        <w:t xml:space="preserve">Second position:  </w:t>
      </w:r>
      <w:r w:rsidRPr="00E840FB">
        <w:rPr>
          <w:rFonts w:cs="Arial"/>
          <w:iCs/>
          <w:szCs w:val="24"/>
        </w:rPr>
        <w:t>Old (from)</w:t>
      </w:r>
      <w:r w:rsidRPr="00E840FB">
        <w:rPr>
          <w:rFonts w:cs="Arial"/>
          <w:szCs w:val="24"/>
        </w:rPr>
        <w:t xml:space="preserve"> ownership code</w:t>
      </w:r>
    </w:p>
    <w:p w14:paraId="7C6458CF" w14:textId="77777777" w:rsidR="0061050E" w:rsidRPr="00E840FB" w:rsidRDefault="0061050E" w:rsidP="00A03BCC">
      <w:pPr>
        <w:numPr>
          <w:ilvl w:val="0"/>
          <w:numId w:val="18"/>
        </w:numPr>
        <w:spacing w:after="240"/>
        <w:contextualSpacing/>
        <w:rPr>
          <w:rFonts w:cs="Arial"/>
          <w:szCs w:val="24"/>
        </w:rPr>
      </w:pPr>
      <w:r w:rsidRPr="00E840FB">
        <w:rPr>
          <w:rFonts w:cs="Arial"/>
          <w:szCs w:val="24"/>
        </w:rPr>
        <w:t>Third-fifth position:  New owner RIC</w:t>
      </w:r>
    </w:p>
    <w:p w14:paraId="6C149917" w14:textId="4C233A62" w:rsidR="0061050E" w:rsidRPr="00E840FB" w:rsidRDefault="0061050E" w:rsidP="00A03BCC">
      <w:pPr>
        <w:numPr>
          <w:ilvl w:val="0"/>
          <w:numId w:val="18"/>
        </w:numPr>
        <w:spacing w:after="240"/>
        <w:contextualSpacing/>
        <w:rPr>
          <w:rFonts w:eastAsia="Calibri" w:cs="Arial"/>
          <w:szCs w:val="24"/>
        </w:rPr>
      </w:pPr>
      <w:r w:rsidRPr="00E840FB">
        <w:rPr>
          <w:rFonts w:cs="Arial"/>
          <w:szCs w:val="24"/>
        </w:rPr>
        <w:t>Last position:  New/gaining (to) ownership code</w:t>
      </w:r>
    </w:p>
    <w:p w14:paraId="7E83A913" w14:textId="77777777" w:rsidR="0061050E" w:rsidRPr="00E840FB" w:rsidRDefault="0061050E" w:rsidP="00A03BCC">
      <w:pPr>
        <w:spacing w:after="240"/>
        <w:ind w:left="2160"/>
        <w:contextualSpacing/>
        <w:rPr>
          <w:rFonts w:eastAsia="Calibri" w:cs="Arial"/>
          <w:szCs w:val="24"/>
        </w:rPr>
      </w:pPr>
    </w:p>
    <w:p w14:paraId="191A6B45" w14:textId="5A3D6E11" w:rsidR="0061050E" w:rsidRPr="00E840FB" w:rsidRDefault="00181130" w:rsidP="00181130">
      <w:pPr>
        <w:tabs>
          <w:tab w:val="left" w:pos="432"/>
          <w:tab w:val="left" w:pos="1080"/>
          <w:tab w:val="left" w:pos="1627"/>
          <w:tab w:val="left" w:pos="1656"/>
          <w:tab w:val="left" w:pos="2707"/>
          <w:tab w:val="left" w:pos="3240"/>
        </w:tabs>
        <w:spacing w:after="240"/>
        <w:rPr>
          <w:rFonts w:eastAsia="Calibri" w:cs="Arial"/>
          <w:szCs w:val="24"/>
        </w:rPr>
      </w:pPr>
      <w:r w:rsidRPr="00E840FB">
        <w:rPr>
          <w:rFonts w:eastAsia="Calibri" w:cs="Arial"/>
          <w:szCs w:val="24"/>
        </w:rPr>
        <w:tab/>
      </w:r>
      <w:r w:rsidRPr="00E840FB">
        <w:rPr>
          <w:rFonts w:eastAsia="Calibri" w:cs="Arial"/>
          <w:szCs w:val="24"/>
        </w:rPr>
        <w:tab/>
      </w:r>
      <w:r w:rsidR="004A68FD">
        <w:rPr>
          <w:rFonts w:eastAsia="Calibri" w:cs="Arial"/>
          <w:szCs w:val="24"/>
        </w:rPr>
        <w:t>AP7</w:t>
      </w:r>
      <w:r w:rsidR="0061050E" w:rsidRPr="00E840FB">
        <w:rPr>
          <w:rFonts w:eastAsia="Calibri" w:cs="Arial"/>
          <w:szCs w:val="24"/>
        </w:rPr>
        <w:t xml:space="preserve">.9.2.4.2  </w:t>
      </w:r>
      <w:r w:rsidR="0061050E" w:rsidRPr="00E840FB">
        <w:rPr>
          <w:rFonts w:eastAsia="Calibri" w:cs="Arial"/>
          <w:iCs/>
          <w:szCs w:val="24"/>
        </w:rPr>
        <w:t xml:space="preserve">Materiel release orders (MROs) (DLMS 940R/DIC A5_) directed to an SMCA storage activity for inter-Service transfer of ammunition or ammunition-related materiel with no physical movement or billing will cite the SUPADD/supplemental data constructed as in </w:t>
      </w:r>
      <w:r w:rsidR="004A68FD">
        <w:rPr>
          <w:rFonts w:eastAsia="Calibri" w:cs="Arial"/>
          <w:iCs/>
          <w:szCs w:val="24"/>
        </w:rPr>
        <w:t>AP7</w:t>
      </w:r>
      <w:r w:rsidR="0061050E" w:rsidRPr="00E840FB">
        <w:rPr>
          <w:rFonts w:eastAsia="Calibri" w:cs="Arial"/>
          <w:iCs/>
          <w:szCs w:val="24"/>
        </w:rPr>
        <w:t>.9.4.1  in combination with Signal Code M.  All subsequent transactions will perpetuate this construct.</w:t>
      </w:r>
    </w:p>
    <w:p w14:paraId="29E71C5A" w14:textId="01B46DED" w:rsidR="0061050E" w:rsidRPr="00E840FB" w:rsidRDefault="00181130" w:rsidP="00181130">
      <w:pPr>
        <w:tabs>
          <w:tab w:val="left" w:pos="432"/>
          <w:tab w:val="left" w:pos="1080"/>
          <w:tab w:val="left" w:pos="1627"/>
          <w:tab w:val="left" w:pos="1656"/>
          <w:tab w:val="left" w:pos="2707"/>
          <w:tab w:val="left" w:pos="3240"/>
        </w:tabs>
        <w:spacing w:after="240"/>
        <w:rPr>
          <w:rFonts w:eastAsia="Calibri" w:cs="Arial"/>
          <w:iCs/>
          <w:szCs w:val="24"/>
        </w:rPr>
      </w:pPr>
      <w:r w:rsidRPr="00E840FB">
        <w:rPr>
          <w:rFonts w:eastAsia="Calibri" w:cs="Arial"/>
          <w:iCs/>
          <w:szCs w:val="24"/>
        </w:rPr>
        <w:tab/>
      </w:r>
      <w:r w:rsidRPr="00E840FB">
        <w:rPr>
          <w:rFonts w:eastAsia="Calibri" w:cs="Arial"/>
          <w:iCs/>
          <w:szCs w:val="24"/>
        </w:rPr>
        <w:tab/>
      </w:r>
      <w:r w:rsidR="004A68FD">
        <w:rPr>
          <w:rFonts w:eastAsia="Calibri" w:cs="Arial"/>
          <w:iCs/>
          <w:szCs w:val="24"/>
        </w:rPr>
        <w:t>AP7</w:t>
      </w:r>
      <w:r w:rsidR="0061050E" w:rsidRPr="00E840FB">
        <w:rPr>
          <w:rFonts w:eastAsia="Calibri" w:cs="Arial"/>
          <w:iCs/>
          <w:szCs w:val="24"/>
        </w:rPr>
        <w:t>.9.2.4.3  Under DLMS, the originating system will also provide the discrete data elements where applicable, mirroring those contained in the supplemental data.  This redundancy will be retained until all parties are using DLMS and the supplemental data field may be repurposed for unrelated information.</w:t>
      </w:r>
    </w:p>
    <w:p w14:paraId="64CA6CEF" w14:textId="01E9D838" w:rsidR="00540E19" w:rsidRDefault="00181130" w:rsidP="00540E19">
      <w:pPr>
        <w:tabs>
          <w:tab w:val="left" w:pos="432"/>
          <w:tab w:val="left" w:pos="1080"/>
          <w:tab w:val="left" w:pos="1627"/>
          <w:tab w:val="left" w:pos="1656"/>
          <w:tab w:val="left" w:pos="2707"/>
          <w:tab w:val="left" w:pos="3240"/>
        </w:tabs>
        <w:spacing w:after="240"/>
        <w:rPr>
          <w:rFonts w:eastAsia="Calibri" w:cs="Arial"/>
          <w:szCs w:val="24"/>
        </w:rPr>
      </w:pPr>
      <w:r>
        <w:rPr>
          <w:rFonts w:eastAsia="Calibri" w:cs="Arial"/>
          <w:szCs w:val="24"/>
        </w:rPr>
        <w:tab/>
      </w:r>
      <w:r w:rsidR="004A68FD">
        <w:rPr>
          <w:rFonts w:eastAsia="Calibri" w:cs="Arial"/>
          <w:szCs w:val="24"/>
        </w:rPr>
        <w:t>AP7</w:t>
      </w:r>
      <w:r w:rsidR="0061050E" w:rsidRPr="0061050E">
        <w:rPr>
          <w:rFonts w:eastAsia="Calibri" w:cs="Arial"/>
          <w:szCs w:val="24"/>
        </w:rPr>
        <w:t>.9.2.5.  When the first position of the document number contains a valid S/A alpha designator and the first position of the SUPADD/data field contains a zero (0), DAAS shall change the zero (0) to Y.</w:t>
      </w:r>
    </w:p>
    <w:p w14:paraId="1E8E3952" w14:textId="03189BE4" w:rsidR="0061050E" w:rsidRPr="0061050E" w:rsidRDefault="004A68FD" w:rsidP="00540E19">
      <w:pPr>
        <w:keepNext/>
        <w:tabs>
          <w:tab w:val="left" w:pos="432"/>
          <w:tab w:val="left" w:pos="1080"/>
          <w:tab w:val="left" w:pos="1627"/>
          <w:tab w:val="left" w:pos="1656"/>
          <w:tab w:val="left" w:pos="2707"/>
          <w:tab w:val="left" w:pos="3240"/>
        </w:tabs>
        <w:spacing w:after="240"/>
        <w:rPr>
          <w:rFonts w:eastAsia="Calibri" w:cs="Arial"/>
          <w:szCs w:val="24"/>
        </w:rPr>
      </w:pPr>
      <w:r>
        <w:rPr>
          <w:rFonts w:eastAsia="Calibri" w:cs="Arial"/>
          <w:szCs w:val="24"/>
        </w:rPr>
        <w:lastRenderedPageBreak/>
        <w:t>AP7</w:t>
      </w:r>
      <w:r w:rsidR="0061050E" w:rsidRPr="0061050E">
        <w:rPr>
          <w:rFonts w:eastAsia="Calibri" w:cs="Arial"/>
          <w:szCs w:val="24"/>
        </w:rPr>
        <w:t>.9.3.  Security Assistance</w:t>
      </w:r>
    </w:p>
    <w:p w14:paraId="2FA65349" w14:textId="306DCD49" w:rsidR="0061050E" w:rsidRPr="0061050E" w:rsidRDefault="00181130" w:rsidP="00540E19">
      <w:pPr>
        <w:keepNext/>
        <w:tabs>
          <w:tab w:val="left" w:pos="432"/>
          <w:tab w:val="left" w:pos="1080"/>
          <w:tab w:val="left" w:pos="1627"/>
          <w:tab w:val="left" w:pos="1656"/>
          <w:tab w:val="left" w:pos="2707"/>
          <w:tab w:val="left" w:pos="3240"/>
        </w:tabs>
        <w:spacing w:after="240"/>
        <w:rPr>
          <w:rFonts w:eastAsia="Calibri" w:cs="Arial"/>
          <w:szCs w:val="24"/>
        </w:rPr>
      </w:pPr>
      <w:r>
        <w:rPr>
          <w:rFonts w:eastAsia="Calibri" w:cs="Arial"/>
          <w:szCs w:val="24"/>
        </w:rPr>
        <w:tab/>
      </w:r>
      <w:r w:rsidR="004A68FD">
        <w:rPr>
          <w:rFonts w:eastAsia="Calibri" w:cs="Arial"/>
          <w:szCs w:val="24"/>
        </w:rPr>
        <w:t>AP7</w:t>
      </w:r>
      <w:r w:rsidR="0061050E" w:rsidRPr="0061050E">
        <w:rPr>
          <w:rFonts w:eastAsia="Calibri" w:cs="Arial"/>
          <w:szCs w:val="24"/>
        </w:rPr>
        <w:t>.9.3.1.  For Security Assistance transactions, the legacy MILSTRIP SUPADD, as well as the mixed environment DLMS supplemental data field, is used for a concatenation of  multiple distinct data elements.</w:t>
      </w:r>
    </w:p>
    <w:p w14:paraId="1D739E44" w14:textId="7F692FE0" w:rsidR="0061050E" w:rsidRPr="0061050E" w:rsidRDefault="00181130" w:rsidP="00181130">
      <w:pPr>
        <w:tabs>
          <w:tab w:val="left" w:pos="432"/>
          <w:tab w:val="left" w:pos="1080"/>
          <w:tab w:val="left" w:pos="1627"/>
          <w:tab w:val="left" w:pos="1656"/>
          <w:tab w:val="left" w:pos="2707"/>
          <w:tab w:val="left" w:pos="3240"/>
        </w:tabs>
        <w:spacing w:after="240"/>
        <w:rPr>
          <w:rFonts w:eastAsia="Calibri" w:cs="Arial"/>
          <w:szCs w:val="24"/>
        </w:rPr>
      </w:pPr>
      <w:r>
        <w:rPr>
          <w:rFonts w:eastAsia="Calibri" w:cs="Arial"/>
          <w:szCs w:val="24"/>
        </w:rPr>
        <w:tab/>
      </w:r>
      <w:r>
        <w:rPr>
          <w:rFonts w:eastAsia="Calibri" w:cs="Arial"/>
          <w:szCs w:val="24"/>
        </w:rPr>
        <w:tab/>
      </w:r>
      <w:r w:rsidR="004A68FD">
        <w:rPr>
          <w:rFonts w:eastAsia="Calibri" w:cs="Arial"/>
          <w:szCs w:val="24"/>
        </w:rPr>
        <w:t>AP7</w:t>
      </w:r>
      <w:r w:rsidR="0061050E" w:rsidRPr="0061050E">
        <w:rPr>
          <w:rFonts w:eastAsia="Calibri" w:cs="Arial"/>
          <w:szCs w:val="24"/>
        </w:rPr>
        <w:t>.9.3.1.1.  For Foreign Military Sales (FMS), the first position (legacy format rp 45) shall contain the in-country Service designating the military service within the Security Assistance customer country.  For Grant Aid, the first position shall contain Service/Agency Code Y.</w:t>
      </w:r>
      <w:r w:rsidR="0061050E" w:rsidRPr="0061050E">
        <w:rPr>
          <w:rFonts w:cs="Arial"/>
          <w:szCs w:val="24"/>
        </w:rPr>
        <w:t xml:space="preserve">  Note that the Y is subsequently converted to an X </w:t>
      </w:r>
      <w:r w:rsidR="0061050E" w:rsidRPr="0061050E">
        <w:rPr>
          <w:rFonts w:eastAsia="Calibri" w:cs="Arial"/>
          <w:szCs w:val="24"/>
        </w:rPr>
        <w:t>for establishment of the applicable Military Assistance Program Address Code (MAPAC).</w:t>
      </w:r>
    </w:p>
    <w:p w14:paraId="3A66A1CF" w14:textId="014CB0AD" w:rsidR="0061050E" w:rsidRPr="0061050E" w:rsidRDefault="00181130" w:rsidP="00181130">
      <w:pPr>
        <w:tabs>
          <w:tab w:val="left" w:pos="432"/>
          <w:tab w:val="left" w:pos="1080"/>
          <w:tab w:val="left" w:pos="1627"/>
          <w:tab w:val="left" w:pos="1656"/>
          <w:tab w:val="left" w:pos="2707"/>
          <w:tab w:val="left" w:pos="3240"/>
        </w:tabs>
        <w:spacing w:after="240"/>
        <w:rPr>
          <w:rFonts w:eastAsia="Calibri" w:cs="Arial"/>
          <w:szCs w:val="24"/>
        </w:rPr>
      </w:pPr>
      <w:r>
        <w:rPr>
          <w:rFonts w:eastAsia="Calibri" w:cs="Arial"/>
          <w:szCs w:val="24"/>
        </w:rPr>
        <w:tab/>
      </w:r>
      <w:r>
        <w:rPr>
          <w:rFonts w:eastAsia="Calibri" w:cs="Arial"/>
          <w:szCs w:val="24"/>
        </w:rPr>
        <w:tab/>
      </w:r>
      <w:r w:rsidR="004A68FD">
        <w:rPr>
          <w:rFonts w:eastAsia="Calibri" w:cs="Arial"/>
          <w:szCs w:val="24"/>
        </w:rPr>
        <w:t>AP7</w:t>
      </w:r>
      <w:r w:rsidR="0061050E" w:rsidRPr="0061050E">
        <w:rPr>
          <w:rFonts w:eastAsia="Calibri" w:cs="Arial"/>
          <w:szCs w:val="24"/>
        </w:rPr>
        <w:t xml:space="preserve">.9.3.1.2.  The contents of the remaining positions vary for both FMS and Grant Aid, according to the Security Assistance country and the originator’s intent.  (See </w:t>
      </w:r>
      <w:r w:rsidR="00053FBF">
        <w:rPr>
          <w:rFonts w:eastAsia="Calibri" w:cs="Arial"/>
          <w:szCs w:val="24"/>
        </w:rPr>
        <w:t xml:space="preserve"> Chapter 25 and Appendix 8.3 </w:t>
      </w:r>
      <w:r w:rsidR="0061050E" w:rsidRPr="0061050E">
        <w:rPr>
          <w:rFonts w:eastAsia="Calibri" w:cs="Arial"/>
          <w:szCs w:val="24"/>
        </w:rPr>
        <w:t>or DLM 4000.25, Volume 6, Chapter 3, Military Assistance Program Address Directory (MAPAD), for detailed guidance.)</w:t>
      </w:r>
    </w:p>
    <w:p w14:paraId="20593F0F" w14:textId="2455D0B0" w:rsidR="0061050E" w:rsidRPr="00A03BCC" w:rsidRDefault="00181130" w:rsidP="00181130">
      <w:pPr>
        <w:tabs>
          <w:tab w:val="left" w:pos="432"/>
          <w:tab w:val="left" w:pos="1080"/>
          <w:tab w:val="left" w:pos="1627"/>
          <w:tab w:val="left" w:pos="1656"/>
          <w:tab w:val="left" w:pos="2707"/>
          <w:tab w:val="left" w:pos="3240"/>
        </w:tabs>
        <w:spacing w:after="240"/>
        <w:rPr>
          <w:b/>
          <w:bCs/>
          <w:szCs w:val="24"/>
          <w:u w:val="single"/>
        </w:rPr>
      </w:pPr>
      <w:r>
        <w:rPr>
          <w:rFonts w:eastAsia="Calibri" w:cs="Arial"/>
          <w:szCs w:val="24"/>
        </w:rPr>
        <w:tab/>
      </w:r>
      <w:r w:rsidR="004A68FD">
        <w:rPr>
          <w:rFonts w:eastAsia="Calibri" w:cs="Arial"/>
          <w:szCs w:val="24"/>
        </w:rPr>
        <w:t>AP7</w:t>
      </w:r>
      <w:r w:rsidR="0061050E" w:rsidRPr="0061050E">
        <w:rPr>
          <w:rFonts w:eastAsia="Calibri" w:cs="Arial"/>
          <w:szCs w:val="24"/>
        </w:rPr>
        <w:t xml:space="preserve">.9.3.2.  </w:t>
      </w:r>
      <w:r w:rsidR="0061050E" w:rsidRPr="0061050E">
        <w:rPr>
          <w:rFonts w:eastAsia="Calibri" w:cs="Arial"/>
          <w:iCs/>
          <w:szCs w:val="24"/>
        </w:rPr>
        <w:t xml:space="preserve">In a mixed legacy/DLMS environment, the supplemental data field shall be interpreted during DLA Transaction Services’ DAAS processing and separated into its discrete data elements for transmission to DLMS-compliant applications.  Under </w:t>
      </w:r>
      <w:r w:rsidR="0061050E" w:rsidRPr="00A03BCC">
        <w:rPr>
          <w:rFonts w:eastAsia="Calibri" w:cs="Arial"/>
          <w:iCs/>
          <w:szCs w:val="24"/>
        </w:rPr>
        <w:t xml:space="preserve">full DLMS, the originating system shall provide the discrete data elements applicable to the transaction including:  customer within country code, offer and release option code, FMS case number, program line number, </w:t>
      </w:r>
      <w:r w:rsidR="0061050E" w:rsidRPr="00A03BCC">
        <w:rPr>
          <w:rFonts w:cs="Arial"/>
          <w:szCs w:val="24"/>
        </w:rPr>
        <w:t>record</w:t>
      </w:r>
      <w:r w:rsidR="0061050E" w:rsidRPr="00A03BCC">
        <w:rPr>
          <w:rFonts w:eastAsia="Calibri" w:cs="Arial"/>
          <w:iCs/>
          <w:szCs w:val="24"/>
        </w:rPr>
        <w:t xml:space="preserve"> control number.</w:t>
      </w:r>
    </w:p>
    <w:sectPr w:rsidR="0061050E" w:rsidRPr="00A03BCC" w:rsidSect="004116B7">
      <w:headerReference w:type="default" r:id="rId11"/>
      <w:footerReference w:type="default" r:id="rId12"/>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6D0ED" w14:textId="77777777" w:rsidR="00540E19" w:rsidRDefault="00540E19">
      <w:r>
        <w:separator/>
      </w:r>
    </w:p>
  </w:endnote>
  <w:endnote w:type="continuationSeparator" w:id="0">
    <w:p w14:paraId="2276D0EE" w14:textId="77777777" w:rsidR="00540E19" w:rsidRDefault="0054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6677" w14:textId="0132DF74" w:rsidR="00540E19" w:rsidRPr="00900F3B" w:rsidRDefault="00540E19" w:rsidP="00540E19">
    <w:pPr>
      <w:pStyle w:val="Footer"/>
      <w:framePr w:wrap="around" w:vAnchor="text" w:hAnchor="margin" w:xAlign="center" w:y="1"/>
      <w:rPr>
        <w:rStyle w:val="PageNumber"/>
        <w:b w:val="0"/>
      </w:rPr>
    </w:pPr>
    <w:r>
      <w:rPr>
        <w:rStyle w:val="PageNumber"/>
        <w:b w:val="0"/>
      </w:rPr>
      <w:t>AP7.9-</w:t>
    </w:r>
    <w:r w:rsidRPr="00900F3B">
      <w:rPr>
        <w:rStyle w:val="PageNumber"/>
        <w:b w:val="0"/>
      </w:rPr>
      <w:fldChar w:fldCharType="begin"/>
    </w:r>
    <w:r w:rsidRPr="00900F3B">
      <w:rPr>
        <w:rStyle w:val="PageNumber"/>
        <w:b w:val="0"/>
      </w:rPr>
      <w:instrText xml:space="preserve">PAGE  </w:instrText>
    </w:r>
    <w:r w:rsidRPr="00900F3B">
      <w:rPr>
        <w:rStyle w:val="PageNumber"/>
        <w:b w:val="0"/>
      </w:rPr>
      <w:fldChar w:fldCharType="separate"/>
    </w:r>
    <w:r w:rsidR="00D6646F">
      <w:rPr>
        <w:rStyle w:val="PageNumber"/>
        <w:b w:val="0"/>
        <w:noProof/>
      </w:rPr>
      <w:t>1</w:t>
    </w:r>
    <w:r w:rsidRPr="00900F3B">
      <w:rPr>
        <w:rStyle w:val="PageNumber"/>
        <w:b w:val="0"/>
      </w:rPr>
      <w:fldChar w:fldCharType="end"/>
    </w:r>
  </w:p>
  <w:p w14:paraId="0C82365A" w14:textId="3F59DB1A" w:rsidR="00540E19" w:rsidRDefault="00540E19" w:rsidP="00540E19">
    <w:pPr>
      <w:pStyle w:val="Footer"/>
      <w:jc w:val="right"/>
    </w:pPr>
    <w:r>
      <w:t>APPENDIX 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D0EB" w14:textId="77777777" w:rsidR="00540E19" w:rsidRDefault="00540E19">
      <w:r>
        <w:separator/>
      </w:r>
    </w:p>
  </w:footnote>
  <w:footnote w:type="continuationSeparator" w:id="0">
    <w:p w14:paraId="2276D0EC" w14:textId="77777777" w:rsidR="00540E19" w:rsidRDefault="0054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5894" w14:textId="06C32015" w:rsidR="00540E19" w:rsidRDefault="00540E19" w:rsidP="00540E19">
    <w:pPr>
      <w:tabs>
        <w:tab w:val="center" w:pos="4320"/>
        <w:tab w:val="right" w:pos="8640"/>
      </w:tabs>
      <w:autoSpaceDN w:val="0"/>
      <w:jc w:val="right"/>
      <w:rPr>
        <w:i/>
        <w:iCs/>
      </w:rPr>
    </w:pPr>
    <w:r>
      <w:rPr>
        <w:i/>
        <w:iCs/>
      </w:rPr>
      <w:t xml:space="preserve">DLM 4000.25, Volume 2, </w:t>
    </w:r>
    <w:r w:rsidR="00D6646F">
      <w:rPr>
        <w:i/>
      </w:rPr>
      <w:t>November 26</w:t>
    </w:r>
    <w:r>
      <w:rPr>
        <w:i/>
        <w:iCs/>
      </w:rPr>
      <w:t>, 2019</w:t>
    </w:r>
  </w:p>
  <w:p w14:paraId="15376EF7" w14:textId="2A69205A" w:rsidR="00540E19" w:rsidRPr="00A03BCC" w:rsidRDefault="00540E19" w:rsidP="00540E19">
    <w:pPr>
      <w:jc w:val="right"/>
      <w:rPr>
        <w:bCs/>
        <w:i/>
        <w:iCs/>
      </w:rPr>
    </w:pPr>
    <w:r>
      <w:rPr>
        <w:i/>
        <w:iCs/>
      </w:rPr>
      <w:t>Change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27CE78FC"/>
    <w:lvl w:ilvl="0">
      <w:start w:val="34"/>
      <w:numFmt w:val="none"/>
      <w:pStyle w:val="Heading1"/>
      <w:suff w:val="nothing"/>
      <w:lvlText w:val="AP2.9 APPENDIX 2.9"/>
      <w:lvlJc w:val="left"/>
      <w:pPr>
        <w:ind w:left="0" w:firstLine="0"/>
      </w:pPr>
      <w:rPr>
        <w:rFonts w:ascii="Arial" w:hAnsi="Arial" w:hint="default"/>
        <w:b/>
        <w:i w:val="0"/>
        <w:sz w:val="48"/>
      </w:rPr>
    </w:lvl>
    <w:lvl w:ilvl="1">
      <w:start w:val="1"/>
      <w:numFmt w:val="none"/>
      <w:pStyle w:val="Heading2"/>
      <w:suff w:val="nothing"/>
      <w:lvlText w:val="AP2.9. "/>
      <w:lvlJc w:val="left"/>
      <w:pPr>
        <w:ind w:left="0" w:firstLine="0"/>
      </w:pPr>
      <w:rPr>
        <w:rFonts w:ascii="Arial" w:hAnsi="Arial" w:hint="default"/>
        <w:b/>
        <w:i w:val="0"/>
        <w:sz w:val="24"/>
      </w:rPr>
    </w:lvl>
    <w:lvl w:ilvl="2">
      <w:start w:val="1"/>
      <w:numFmt w:val="decimal"/>
      <w:pStyle w:val="Heading3"/>
      <w:suff w:val="nothing"/>
      <w:lvlText w:val="AP2%1.9.%3. "/>
      <w:lvlJc w:val="left"/>
      <w:pPr>
        <w:ind w:left="0" w:firstLine="360"/>
      </w:pPr>
      <w:rPr>
        <w:rFonts w:ascii="Arial" w:hAnsi="Arial" w:hint="default"/>
        <w:b/>
        <w:i w:val="0"/>
        <w:sz w:val="24"/>
      </w:rPr>
    </w:lvl>
    <w:lvl w:ilvl="3">
      <w:start w:val="1"/>
      <w:numFmt w:val="decimal"/>
      <w:pStyle w:val="Heading4"/>
      <w:suff w:val="nothing"/>
      <w:lvlText w:val="AP2%1.9.%3.%4. "/>
      <w:lvlJc w:val="left"/>
      <w:pPr>
        <w:ind w:left="0" w:firstLine="720"/>
      </w:pPr>
      <w:rPr>
        <w:rFonts w:ascii="Arial" w:hAnsi="Arial" w:hint="default"/>
        <w:b/>
        <w:i w:val="0"/>
        <w:sz w:val="24"/>
      </w:rPr>
    </w:lvl>
    <w:lvl w:ilvl="4">
      <w:start w:val="1"/>
      <w:numFmt w:val="decimal"/>
      <w:pStyle w:val="Heading5"/>
      <w:suff w:val="nothing"/>
      <w:lvlText w:val="AP2%1.9.%3.%4.%5. "/>
      <w:lvlJc w:val="left"/>
      <w:pPr>
        <w:ind w:left="0" w:firstLine="1080"/>
      </w:pPr>
      <w:rPr>
        <w:rFonts w:ascii="Arial" w:hAnsi="Arial" w:hint="default"/>
        <w:b/>
        <w:i w:val="0"/>
        <w:sz w:val="24"/>
      </w:rPr>
    </w:lvl>
    <w:lvl w:ilvl="5">
      <w:start w:val="1"/>
      <w:numFmt w:val="decimal"/>
      <w:pStyle w:val="Heading6"/>
      <w:suff w:val="nothing"/>
      <w:lvlText w:val="AP2%1.9.%3.%4.%5.%6. "/>
      <w:lvlJc w:val="left"/>
      <w:pPr>
        <w:ind w:left="0" w:firstLine="1440"/>
      </w:pPr>
      <w:rPr>
        <w:rFonts w:ascii="Arial" w:hAnsi="Arial" w:hint="default"/>
        <w:b/>
        <w:i w:val="0"/>
        <w:sz w:val="24"/>
      </w:rPr>
    </w:lvl>
    <w:lvl w:ilvl="6">
      <w:start w:val="1"/>
      <w:numFmt w:val="decimal"/>
      <w:pStyle w:val="Heading7"/>
      <w:suff w:val="nothing"/>
      <w:lvlText w:val="AP2%1.9.%3.%4.%5.%6.%7. "/>
      <w:lvlJc w:val="left"/>
      <w:pPr>
        <w:ind w:left="0" w:firstLine="1800"/>
      </w:pPr>
      <w:rPr>
        <w:rFonts w:ascii="Arial" w:hAnsi="Arial" w:hint="default"/>
        <w:b/>
        <w:i w:val="0"/>
        <w:sz w:val="24"/>
      </w:rPr>
    </w:lvl>
    <w:lvl w:ilvl="7">
      <w:start w:val="1"/>
      <w:numFmt w:val="decimal"/>
      <w:pStyle w:val="Heading8"/>
      <w:suff w:val="nothing"/>
      <w:lvlText w:val="AP2%1.9.%3.%4.%5.%6.%7.%8. "/>
      <w:lvlJc w:val="left"/>
      <w:pPr>
        <w:ind w:left="0" w:firstLine="2160"/>
      </w:pPr>
      <w:rPr>
        <w:rFonts w:ascii="Arial" w:hAnsi="Arial" w:hint="default"/>
        <w:b/>
        <w:i w:val="0"/>
        <w:sz w:val="24"/>
      </w:rPr>
    </w:lvl>
    <w:lvl w:ilvl="8">
      <w:start w:val="1"/>
      <w:numFmt w:val="decimal"/>
      <w:pStyle w:val="Codes"/>
      <w:suff w:val="nothing"/>
      <w:lvlText w:val="AP2%1.9.%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55491DD1"/>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6C4F5513"/>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7F885D85"/>
    <w:multiLevelType w:val="hybridMultilevel"/>
    <w:tmpl w:val="E8A6CAF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9"/>
  </w:num>
  <w:num w:numId="10">
    <w:abstractNumId w:val="10"/>
  </w:num>
  <w:num w:numId="11">
    <w:abstractNumId w:val="11"/>
  </w:num>
  <w:num w:numId="12">
    <w:abstractNumId w:val="15"/>
  </w:num>
  <w:num w:numId="13">
    <w:abstractNumId w:val="12"/>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30F"/>
    <w:rsid w:val="00012535"/>
    <w:rsid w:val="000173B0"/>
    <w:rsid w:val="00020ACF"/>
    <w:rsid w:val="00053FBF"/>
    <w:rsid w:val="00056462"/>
    <w:rsid w:val="000A0C4E"/>
    <w:rsid w:val="000B20D3"/>
    <w:rsid w:val="000C0374"/>
    <w:rsid w:val="00172BA7"/>
    <w:rsid w:val="00181130"/>
    <w:rsid w:val="001E1A79"/>
    <w:rsid w:val="00243EA6"/>
    <w:rsid w:val="002D4DAD"/>
    <w:rsid w:val="00313242"/>
    <w:rsid w:val="00322E56"/>
    <w:rsid w:val="003D330E"/>
    <w:rsid w:val="003F22C1"/>
    <w:rsid w:val="004116B7"/>
    <w:rsid w:val="00436F98"/>
    <w:rsid w:val="004638D9"/>
    <w:rsid w:val="004A68FD"/>
    <w:rsid w:val="004B1643"/>
    <w:rsid w:val="004B44F6"/>
    <w:rsid w:val="004C6D2D"/>
    <w:rsid w:val="004D04E2"/>
    <w:rsid w:val="004E40DD"/>
    <w:rsid w:val="00507612"/>
    <w:rsid w:val="005249D2"/>
    <w:rsid w:val="00540E19"/>
    <w:rsid w:val="005A5AF1"/>
    <w:rsid w:val="0061050E"/>
    <w:rsid w:val="00630756"/>
    <w:rsid w:val="006634D1"/>
    <w:rsid w:val="00671DFF"/>
    <w:rsid w:val="006D3FAA"/>
    <w:rsid w:val="007F6AD2"/>
    <w:rsid w:val="0082029E"/>
    <w:rsid w:val="008226EE"/>
    <w:rsid w:val="0091641F"/>
    <w:rsid w:val="0092137C"/>
    <w:rsid w:val="00934406"/>
    <w:rsid w:val="0096339D"/>
    <w:rsid w:val="00977A68"/>
    <w:rsid w:val="0099305F"/>
    <w:rsid w:val="009A594F"/>
    <w:rsid w:val="009C2D6F"/>
    <w:rsid w:val="009F3930"/>
    <w:rsid w:val="009F7682"/>
    <w:rsid w:val="00A03BCC"/>
    <w:rsid w:val="00A26478"/>
    <w:rsid w:val="00A4555D"/>
    <w:rsid w:val="00A63850"/>
    <w:rsid w:val="00A77801"/>
    <w:rsid w:val="00AB58CE"/>
    <w:rsid w:val="00AE532A"/>
    <w:rsid w:val="00B82367"/>
    <w:rsid w:val="00BA106D"/>
    <w:rsid w:val="00C06B7B"/>
    <w:rsid w:val="00C61860"/>
    <w:rsid w:val="00C66DA9"/>
    <w:rsid w:val="00C873AA"/>
    <w:rsid w:val="00CB31BF"/>
    <w:rsid w:val="00CC04AD"/>
    <w:rsid w:val="00CD430F"/>
    <w:rsid w:val="00CF268D"/>
    <w:rsid w:val="00D35335"/>
    <w:rsid w:val="00D35781"/>
    <w:rsid w:val="00D6646F"/>
    <w:rsid w:val="00D66CC6"/>
    <w:rsid w:val="00D746F2"/>
    <w:rsid w:val="00DA266F"/>
    <w:rsid w:val="00DD0675"/>
    <w:rsid w:val="00DF0688"/>
    <w:rsid w:val="00DF085F"/>
    <w:rsid w:val="00E24E5A"/>
    <w:rsid w:val="00E429C6"/>
    <w:rsid w:val="00E711BF"/>
    <w:rsid w:val="00E840FB"/>
    <w:rsid w:val="00EA7410"/>
    <w:rsid w:val="00F23C26"/>
    <w:rsid w:val="00FB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76D0D6"/>
  <w15:docId w15:val="{4A7E02BA-4C0D-4720-BA47-27DB44F5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AD2"/>
    <w:rPr>
      <w:rFonts w:ascii="Arial" w:hAnsi="Arial"/>
      <w:sz w:val="24"/>
    </w:rPr>
  </w:style>
  <w:style w:type="paragraph" w:styleId="Heading1">
    <w:name w:val="heading 1"/>
    <w:basedOn w:val="Normal"/>
    <w:next w:val="Heading2"/>
    <w:qFormat/>
    <w:rsid w:val="007F6AD2"/>
    <w:pPr>
      <w:numPr>
        <w:numId w:val="1"/>
      </w:numPr>
      <w:spacing w:before="60" w:after="120"/>
      <w:outlineLvl w:val="0"/>
    </w:pPr>
    <w:rPr>
      <w:b/>
      <w:caps/>
      <w:sz w:val="28"/>
    </w:rPr>
  </w:style>
  <w:style w:type="paragraph" w:styleId="Heading2">
    <w:name w:val="heading 2"/>
    <w:basedOn w:val="Normal"/>
    <w:qFormat/>
    <w:rsid w:val="007F6AD2"/>
    <w:pPr>
      <w:numPr>
        <w:ilvl w:val="1"/>
        <w:numId w:val="1"/>
      </w:numPr>
      <w:spacing w:before="60" w:after="120"/>
      <w:outlineLvl w:val="1"/>
    </w:pPr>
  </w:style>
  <w:style w:type="paragraph" w:styleId="Heading3">
    <w:name w:val="heading 3"/>
    <w:basedOn w:val="Normal"/>
    <w:qFormat/>
    <w:rsid w:val="007F6AD2"/>
    <w:pPr>
      <w:numPr>
        <w:ilvl w:val="2"/>
        <w:numId w:val="1"/>
      </w:numPr>
      <w:tabs>
        <w:tab w:val="left" w:pos="1530"/>
      </w:tabs>
      <w:spacing w:before="60" w:after="120"/>
      <w:outlineLvl w:val="2"/>
    </w:pPr>
  </w:style>
  <w:style w:type="paragraph" w:styleId="Heading4">
    <w:name w:val="heading 4"/>
    <w:basedOn w:val="Normal"/>
    <w:qFormat/>
    <w:rsid w:val="007F6AD2"/>
    <w:pPr>
      <w:numPr>
        <w:ilvl w:val="3"/>
        <w:numId w:val="1"/>
      </w:numPr>
      <w:spacing w:before="60" w:after="120"/>
      <w:outlineLvl w:val="3"/>
    </w:pPr>
  </w:style>
  <w:style w:type="paragraph" w:styleId="Heading5">
    <w:name w:val="heading 5"/>
    <w:basedOn w:val="Normal"/>
    <w:qFormat/>
    <w:rsid w:val="007F6AD2"/>
    <w:pPr>
      <w:numPr>
        <w:ilvl w:val="4"/>
        <w:numId w:val="1"/>
      </w:numPr>
      <w:spacing w:before="60" w:after="120"/>
      <w:outlineLvl w:val="4"/>
    </w:pPr>
  </w:style>
  <w:style w:type="paragraph" w:styleId="Heading6">
    <w:name w:val="heading 6"/>
    <w:basedOn w:val="Normal"/>
    <w:qFormat/>
    <w:rsid w:val="007F6AD2"/>
    <w:pPr>
      <w:numPr>
        <w:ilvl w:val="5"/>
        <w:numId w:val="1"/>
      </w:numPr>
      <w:tabs>
        <w:tab w:val="left" w:pos="3150"/>
      </w:tabs>
      <w:spacing w:before="60" w:after="120"/>
      <w:outlineLvl w:val="5"/>
    </w:pPr>
  </w:style>
  <w:style w:type="paragraph" w:styleId="Heading7">
    <w:name w:val="heading 7"/>
    <w:basedOn w:val="Normal"/>
    <w:qFormat/>
    <w:rsid w:val="007F6AD2"/>
    <w:pPr>
      <w:numPr>
        <w:ilvl w:val="6"/>
        <w:numId w:val="1"/>
      </w:numPr>
      <w:spacing w:before="60" w:after="120"/>
      <w:outlineLvl w:val="6"/>
    </w:pPr>
  </w:style>
  <w:style w:type="paragraph" w:styleId="Heading8">
    <w:name w:val="heading 8"/>
    <w:basedOn w:val="Normal"/>
    <w:next w:val="Heading9"/>
    <w:qFormat/>
    <w:rsid w:val="007F6AD2"/>
    <w:pPr>
      <w:numPr>
        <w:ilvl w:val="7"/>
        <w:numId w:val="1"/>
      </w:numPr>
      <w:spacing w:before="60" w:after="120"/>
      <w:outlineLvl w:val="7"/>
    </w:pPr>
  </w:style>
  <w:style w:type="paragraph" w:styleId="Heading9">
    <w:name w:val="heading 9"/>
    <w:basedOn w:val="Normal"/>
    <w:qFormat/>
    <w:rsid w:val="007F6AD2"/>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7F6AD2"/>
    <w:rPr>
      <w:vertAlign w:val="superscript"/>
    </w:rPr>
  </w:style>
  <w:style w:type="character" w:styleId="FootnoteReference">
    <w:name w:val="footnote reference"/>
    <w:semiHidden/>
    <w:rsid w:val="007F6AD2"/>
    <w:rPr>
      <w:vertAlign w:val="superscript"/>
    </w:rPr>
  </w:style>
  <w:style w:type="character" w:styleId="PageNumber">
    <w:name w:val="page number"/>
    <w:rsid w:val="007F6AD2"/>
    <w:rPr>
      <w:rFonts w:ascii="Arial" w:hAnsi="Arial"/>
      <w:b/>
      <w:sz w:val="24"/>
    </w:rPr>
  </w:style>
  <w:style w:type="paragraph" w:styleId="Footer">
    <w:name w:val="footer"/>
    <w:basedOn w:val="Normal"/>
    <w:link w:val="FooterChar"/>
    <w:rsid w:val="007F6AD2"/>
    <w:pPr>
      <w:tabs>
        <w:tab w:val="center" w:pos="4320"/>
        <w:tab w:val="right" w:pos="8640"/>
      </w:tabs>
    </w:pPr>
  </w:style>
  <w:style w:type="paragraph" w:styleId="Header">
    <w:name w:val="header"/>
    <w:basedOn w:val="Normal"/>
    <w:rsid w:val="007F6AD2"/>
    <w:pPr>
      <w:tabs>
        <w:tab w:val="center" w:pos="4320"/>
        <w:tab w:val="right" w:pos="8640"/>
      </w:tabs>
      <w:jc w:val="center"/>
    </w:pPr>
    <w:rPr>
      <w:u w:val="single"/>
    </w:rPr>
  </w:style>
  <w:style w:type="paragraph" w:styleId="FootnoteText">
    <w:name w:val="footnote text"/>
    <w:basedOn w:val="Normal"/>
    <w:semiHidden/>
    <w:rsid w:val="007F6AD2"/>
    <w:rPr>
      <w:sz w:val="20"/>
    </w:rPr>
  </w:style>
  <w:style w:type="paragraph" w:customStyle="1" w:styleId="SubTitle">
    <w:name w:val="Sub Title"/>
    <w:basedOn w:val="Title"/>
    <w:rsid w:val="007F6AD2"/>
    <w:rPr>
      <w:u w:val="single"/>
    </w:rPr>
  </w:style>
  <w:style w:type="paragraph" w:styleId="Title">
    <w:name w:val="Title"/>
    <w:basedOn w:val="Normal"/>
    <w:next w:val="Header"/>
    <w:qFormat/>
    <w:rsid w:val="007F6AD2"/>
    <w:pPr>
      <w:spacing w:after="240"/>
      <w:jc w:val="center"/>
    </w:pPr>
    <w:rPr>
      <w:b/>
      <w:caps/>
      <w:kern w:val="28"/>
      <w:sz w:val="28"/>
    </w:rPr>
  </w:style>
  <w:style w:type="paragraph" w:styleId="Subtitle0">
    <w:name w:val="Subtitle"/>
    <w:basedOn w:val="Normal"/>
    <w:qFormat/>
    <w:rsid w:val="007F6AD2"/>
    <w:pPr>
      <w:spacing w:after="240"/>
      <w:jc w:val="center"/>
    </w:pPr>
    <w:rPr>
      <w:b/>
      <w:caps/>
      <w:sz w:val="28"/>
      <w:u w:val="single"/>
    </w:rPr>
  </w:style>
  <w:style w:type="paragraph" w:customStyle="1" w:styleId="BodyTextHanging">
    <w:name w:val="Body Text Hanging"/>
    <w:basedOn w:val="Normal"/>
    <w:rsid w:val="007F6AD2"/>
    <w:pPr>
      <w:spacing w:after="160"/>
      <w:ind w:left="1440"/>
    </w:pPr>
  </w:style>
  <w:style w:type="paragraph" w:styleId="BodyText">
    <w:name w:val="Body Text"/>
    <w:basedOn w:val="Normal"/>
    <w:rsid w:val="007F6AD2"/>
    <w:pPr>
      <w:spacing w:after="120"/>
    </w:pPr>
  </w:style>
  <w:style w:type="paragraph" w:styleId="ListBullet">
    <w:name w:val="List Bullet"/>
    <w:basedOn w:val="Normal"/>
    <w:rsid w:val="007F6AD2"/>
    <w:pPr>
      <w:spacing w:after="120"/>
      <w:ind w:left="360" w:hanging="360"/>
    </w:pPr>
  </w:style>
  <w:style w:type="paragraph" w:styleId="ListBullet2">
    <w:name w:val="List Bullet 2"/>
    <w:basedOn w:val="Normal"/>
    <w:rsid w:val="007F6AD2"/>
    <w:pPr>
      <w:ind w:left="720" w:hanging="360"/>
    </w:pPr>
  </w:style>
  <w:style w:type="paragraph" w:styleId="ListBullet3">
    <w:name w:val="List Bullet 3"/>
    <w:basedOn w:val="Normal"/>
    <w:rsid w:val="007F6AD2"/>
    <w:pPr>
      <w:ind w:left="1080" w:hanging="360"/>
    </w:pPr>
  </w:style>
  <w:style w:type="paragraph" w:styleId="ListNumber">
    <w:name w:val="List Number"/>
    <w:basedOn w:val="Normal"/>
    <w:rsid w:val="007F6AD2"/>
    <w:pPr>
      <w:ind w:left="360" w:hanging="360"/>
    </w:pPr>
  </w:style>
  <w:style w:type="paragraph" w:styleId="ListNumber2">
    <w:name w:val="List Number 2"/>
    <w:basedOn w:val="Normal"/>
    <w:rsid w:val="007F6AD2"/>
    <w:pPr>
      <w:ind w:left="720" w:hanging="360"/>
    </w:pPr>
  </w:style>
  <w:style w:type="paragraph" w:styleId="ListNumber3">
    <w:name w:val="List Number 3"/>
    <w:basedOn w:val="Normal"/>
    <w:rsid w:val="007F6AD2"/>
    <w:pPr>
      <w:ind w:left="1080" w:hanging="360"/>
    </w:pPr>
  </w:style>
  <w:style w:type="paragraph" w:styleId="DocumentMap">
    <w:name w:val="Document Map"/>
    <w:basedOn w:val="Normal"/>
    <w:semiHidden/>
    <w:rsid w:val="007F6AD2"/>
    <w:pPr>
      <w:shd w:val="clear" w:color="auto" w:fill="000080"/>
    </w:pPr>
    <w:rPr>
      <w:rFonts w:ascii="Tahoma" w:hAnsi="Tahoma"/>
    </w:rPr>
  </w:style>
  <w:style w:type="paragraph" w:customStyle="1" w:styleId="Codes">
    <w:name w:val="Codes"/>
    <w:rsid w:val="007F6AD2"/>
    <w:pPr>
      <w:numPr>
        <w:ilvl w:val="8"/>
        <w:numId w:val="1"/>
      </w:numPr>
    </w:pPr>
    <w:rPr>
      <w:rFonts w:ascii="Arial" w:hAnsi="Arial"/>
      <w:noProof/>
      <w:sz w:val="24"/>
    </w:rPr>
  </w:style>
  <w:style w:type="paragraph" w:customStyle="1" w:styleId="2MANUALPara">
    <w:name w:val="2MANUAL Para"/>
    <w:rsid w:val="007F6AD2"/>
    <w:pPr>
      <w:autoSpaceDE w:val="0"/>
      <w:autoSpaceDN w:val="0"/>
      <w:adjustRightInd w:val="0"/>
    </w:pPr>
    <w:rPr>
      <w:rFonts w:ascii="Arial" w:hAnsi="Arial"/>
      <w:szCs w:val="24"/>
    </w:rPr>
  </w:style>
  <w:style w:type="paragraph" w:customStyle="1" w:styleId="1MANUALPara">
    <w:name w:val="1MANUAL Para"/>
    <w:rsid w:val="007F6AD2"/>
    <w:pPr>
      <w:autoSpaceDE w:val="0"/>
      <w:autoSpaceDN w:val="0"/>
      <w:adjustRightInd w:val="0"/>
    </w:pPr>
    <w:rPr>
      <w:rFonts w:ascii="Arial" w:hAnsi="Arial"/>
      <w:szCs w:val="24"/>
    </w:rPr>
  </w:style>
  <w:style w:type="character" w:styleId="CommentReference">
    <w:name w:val="annotation reference"/>
    <w:semiHidden/>
    <w:rsid w:val="007F6AD2"/>
    <w:rPr>
      <w:sz w:val="16"/>
      <w:szCs w:val="16"/>
    </w:rPr>
  </w:style>
  <w:style w:type="paragraph" w:styleId="CommentText">
    <w:name w:val="annotation text"/>
    <w:basedOn w:val="Normal"/>
    <w:link w:val="CommentTextChar"/>
    <w:semiHidden/>
    <w:rsid w:val="007F6AD2"/>
    <w:rPr>
      <w:sz w:val="20"/>
    </w:rPr>
  </w:style>
  <w:style w:type="table" w:styleId="TableGrid">
    <w:name w:val="Table Grid"/>
    <w:basedOn w:val="TableNormal"/>
    <w:rsid w:val="00524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A594F"/>
    <w:rPr>
      <w:rFonts w:ascii="Tahoma" w:hAnsi="Tahoma" w:cs="Tahoma"/>
      <w:sz w:val="16"/>
      <w:szCs w:val="16"/>
    </w:rPr>
  </w:style>
  <w:style w:type="paragraph" w:styleId="CommentSubject">
    <w:name w:val="annotation subject"/>
    <w:basedOn w:val="CommentText"/>
    <w:next w:val="CommentText"/>
    <w:link w:val="CommentSubjectChar"/>
    <w:rsid w:val="00DF085F"/>
    <w:rPr>
      <w:b/>
      <w:bCs/>
    </w:rPr>
  </w:style>
  <w:style w:type="character" w:customStyle="1" w:styleId="CommentTextChar">
    <w:name w:val="Comment Text Char"/>
    <w:link w:val="CommentText"/>
    <w:semiHidden/>
    <w:rsid w:val="00DF085F"/>
    <w:rPr>
      <w:rFonts w:ascii="Arial" w:hAnsi="Arial"/>
    </w:rPr>
  </w:style>
  <w:style w:type="character" w:customStyle="1" w:styleId="CommentSubjectChar">
    <w:name w:val="Comment Subject Char"/>
    <w:link w:val="CommentSubject"/>
    <w:rsid w:val="00DF085F"/>
    <w:rPr>
      <w:rFonts w:ascii="Arial" w:hAnsi="Arial"/>
      <w:b/>
      <w:bCs/>
    </w:rPr>
  </w:style>
  <w:style w:type="paragraph" w:styleId="Revision">
    <w:name w:val="Revision"/>
    <w:hidden/>
    <w:uiPriority w:val="99"/>
    <w:semiHidden/>
    <w:rsid w:val="00DF085F"/>
    <w:rPr>
      <w:rFonts w:ascii="Arial" w:hAnsi="Arial"/>
      <w:sz w:val="24"/>
    </w:rPr>
  </w:style>
  <w:style w:type="character" w:customStyle="1" w:styleId="FooterChar">
    <w:name w:val="Footer Char"/>
    <w:link w:val="Footer"/>
    <w:rsid w:val="00540E1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8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193C3-AC4A-4580-881F-71AF4342852D}">
  <ds:schemaRefs>
    <ds:schemaRef ds:uri="http://schemas.microsoft.com/sharepoint/v3/contenttype/forms"/>
  </ds:schemaRefs>
</ds:datastoreItem>
</file>

<file path=customXml/itemProps2.xml><?xml version="1.0" encoding="utf-8"?>
<ds:datastoreItem xmlns:ds="http://schemas.openxmlformats.org/officeDocument/2006/customXml" ds:itemID="{CCC7DC54-4964-4E99-A75E-21233CF7B203}"/>
</file>

<file path=customXml/itemProps3.xml><?xml version="1.0" encoding="utf-8"?>
<ds:datastoreItem xmlns:ds="http://schemas.openxmlformats.org/officeDocument/2006/customXml" ds:itemID="{861068B9-6CE5-4248-BE4F-66F95E9BBAD0}">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697F78B-C4D7-409C-A8A7-DB3F32A2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112</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7.9 - Supplementary Address</vt:lpstr>
    </vt:vector>
  </TitlesOfParts>
  <Company>DLA Logistics Managment Standards Office</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7.9 - Supplementary Address</dc:title>
  <dc:subject/>
  <dc:creator>Heidi Daverede</dc:creator>
  <cp:keywords/>
  <cp:lastModifiedBy>Nguyen, Bao X CTR DLA INFO OPERATIONS (USA)</cp:lastModifiedBy>
  <cp:revision>18</cp:revision>
  <cp:lastPrinted>2007-10-26T13:07:00Z</cp:lastPrinted>
  <dcterms:created xsi:type="dcterms:W3CDTF">2012-01-16T18:18:00Z</dcterms:created>
  <dcterms:modified xsi:type="dcterms:W3CDTF">2019-11-26T21:31:00Z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2294200</vt:r8>
  </property>
</Properties>
</file>