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E1256" w14:textId="3654B77C" w:rsidR="00B81876" w:rsidRPr="00DB7F33" w:rsidRDefault="00EC681C" w:rsidP="008C2B60">
      <w:pPr>
        <w:spacing w:after="240"/>
        <w:jc w:val="center"/>
        <w:rPr>
          <w:b/>
          <w:bCs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AP7</w:t>
      </w:r>
      <w:r w:rsidR="000637FC" w:rsidRPr="00DB7F33">
        <w:rPr>
          <w:b/>
          <w:sz w:val="44"/>
          <w:szCs w:val="44"/>
          <w:u w:val="single"/>
        </w:rPr>
        <w:t>.11</w:t>
      </w:r>
      <w:r w:rsidR="00347C17" w:rsidRPr="00DB7F33">
        <w:rPr>
          <w:b/>
          <w:sz w:val="44"/>
          <w:szCs w:val="44"/>
          <w:u w:val="single"/>
        </w:rPr>
        <w:t>.</w:t>
      </w:r>
      <w:r w:rsidR="000637FC" w:rsidRPr="00DB7F33">
        <w:rPr>
          <w:b/>
          <w:sz w:val="44"/>
          <w:szCs w:val="44"/>
          <w:u w:val="single"/>
        </w:rPr>
        <w:t xml:space="preserve"> APPENDIX </w:t>
      </w:r>
      <w:r>
        <w:rPr>
          <w:b/>
          <w:sz w:val="44"/>
          <w:szCs w:val="44"/>
          <w:u w:val="single"/>
        </w:rPr>
        <w:t>7</w:t>
      </w:r>
      <w:r w:rsidR="000637FC" w:rsidRPr="00DB7F33">
        <w:rPr>
          <w:b/>
          <w:sz w:val="44"/>
          <w:szCs w:val="44"/>
          <w:u w:val="single"/>
        </w:rPr>
        <w:t>.11</w:t>
      </w:r>
    </w:p>
    <w:p w14:paraId="5BCE1257" w14:textId="77777777" w:rsidR="004D62A8" w:rsidRPr="00280B5D" w:rsidRDefault="004D62A8" w:rsidP="00822B28">
      <w:pPr>
        <w:spacing w:after="36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36"/>
          <w:szCs w:val="36"/>
          <w:u w:val="single"/>
        </w:rPr>
        <w:t>FUND CODES</w:t>
      </w:r>
    </w:p>
    <w:p w14:paraId="5BCE1258" w14:textId="6B0FD5A7" w:rsidR="004D62A8" w:rsidRDefault="00EC681C" w:rsidP="00822B28">
      <w:pPr>
        <w:spacing w:after="240"/>
      </w:pPr>
      <w:r>
        <w:t>AP7</w:t>
      </w:r>
      <w:r w:rsidR="000637FC">
        <w:t xml:space="preserve">.11.1.  </w:t>
      </w:r>
      <w:r w:rsidR="004D62A8">
        <w:t>Fund codes (located in rp 52-53 of transactions) are two-position alpha/numeric codes used with the Service or Agency code of the billed offic</w:t>
      </w:r>
      <w:bookmarkStart w:id="0" w:name="_GoBack"/>
      <w:bookmarkEnd w:id="0"/>
      <w:r w:rsidR="004D62A8">
        <w:t>e to designate the b</w:t>
      </w:r>
      <w:r w:rsidR="00BE1F4D">
        <w:t>illing method (interfund or non</w:t>
      </w:r>
      <w:r w:rsidR="004D62A8">
        <w:t xml:space="preserve">interfund).  When interfund billing is indicated, the fund code also indicates the fund account to be charged (disbursed) or credited (refunded).  The fund code to fund account conversion is prescribed in </w:t>
      </w:r>
      <w:r w:rsidR="00403727">
        <w:t xml:space="preserve">the MILSBILLS procedures </w:t>
      </w:r>
      <w:r w:rsidR="004D62A8">
        <w:t>fund code appendix of D</w:t>
      </w:r>
      <w:r w:rsidR="00822B28">
        <w:t xml:space="preserve">LM </w:t>
      </w:r>
      <w:r w:rsidR="004D62A8">
        <w:t>4000.25</w:t>
      </w:r>
      <w:r w:rsidR="00822B28">
        <w:t>, Volume 4, Finance</w:t>
      </w:r>
      <w:r w:rsidR="004D62A8">
        <w:t>.</w:t>
      </w:r>
    </w:p>
    <w:p w14:paraId="5BCE1259" w14:textId="59845E0E" w:rsidR="004D62A8" w:rsidRDefault="00EC681C" w:rsidP="00822B28">
      <w:pPr>
        <w:spacing w:after="240"/>
      </w:pPr>
      <w:r>
        <w:t>AP7</w:t>
      </w:r>
      <w:r w:rsidR="000637FC">
        <w:t xml:space="preserve">.11.2.  </w:t>
      </w:r>
      <w:r w:rsidR="004D62A8">
        <w:t>An additional use for the fund code</w:t>
      </w:r>
      <w:r w:rsidR="00822B28">
        <w:t xml:space="preserve"> </w:t>
      </w:r>
      <w:r w:rsidR="004D62A8">
        <w:t>is to indicate the DoDAAC of the “bill-to” office</w:t>
      </w:r>
      <w:r w:rsidR="00822B28" w:rsidRPr="00822B28">
        <w:t xml:space="preserve"> </w:t>
      </w:r>
      <w:r w:rsidR="00822B28">
        <w:t>when the Signal Code is C or L</w:t>
      </w:r>
      <w:r w:rsidR="004D62A8">
        <w:t xml:space="preserve">.  </w:t>
      </w:r>
      <w:r w:rsidR="00822B28">
        <w:t xml:space="preserve">The conversion of </w:t>
      </w:r>
      <w:r w:rsidR="004D62A8">
        <w:t xml:space="preserve">fund code to billed office </w:t>
      </w:r>
      <w:r w:rsidR="00822B28">
        <w:rPr>
          <w:szCs w:val="24"/>
        </w:rPr>
        <w:t xml:space="preserve">DoD </w:t>
      </w:r>
      <w:r w:rsidR="00BE1F4D">
        <w:rPr>
          <w:szCs w:val="24"/>
        </w:rPr>
        <w:t xml:space="preserve"> </w:t>
      </w:r>
      <w:r w:rsidR="00822B28">
        <w:rPr>
          <w:szCs w:val="24"/>
        </w:rPr>
        <w:t>a</w:t>
      </w:r>
      <w:r w:rsidR="00BE1F4D">
        <w:rPr>
          <w:szCs w:val="24"/>
        </w:rPr>
        <w:t xml:space="preserve">ctivity </w:t>
      </w:r>
      <w:r w:rsidR="00822B28">
        <w:rPr>
          <w:szCs w:val="24"/>
        </w:rPr>
        <w:t>a</w:t>
      </w:r>
      <w:r w:rsidR="00BE1F4D">
        <w:rPr>
          <w:szCs w:val="24"/>
        </w:rPr>
        <w:t xml:space="preserve">ddress </w:t>
      </w:r>
      <w:r w:rsidR="00822B28">
        <w:rPr>
          <w:szCs w:val="24"/>
        </w:rPr>
        <w:t>c</w:t>
      </w:r>
      <w:r w:rsidR="00BE1F4D">
        <w:rPr>
          <w:szCs w:val="24"/>
        </w:rPr>
        <w:t>ode</w:t>
      </w:r>
      <w:r w:rsidR="00BE1F4D">
        <w:t xml:space="preserve"> (</w:t>
      </w:r>
      <w:r w:rsidR="004D62A8">
        <w:t>DoDAAC</w:t>
      </w:r>
      <w:r w:rsidR="00BE1F4D">
        <w:t>)</w:t>
      </w:r>
      <w:r w:rsidR="004D62A8">
        <w:t xml:space="preserve"> conversion is prescribed in the fund code appendix of </w:t>
      </w:r>
      <w:r w:rsidR="00403727">
        <w:t xml:space="preserve">DLM </w:t>
      </w:r>
      <w:r w:rsidR="00822B28" w:rsidRPr="00822B28">
        <w:t>4000.25, Volume 4</w:t>
      </w:r>
      <w:r w:rsidR="00403727">
        <w:t>, Finance</w:t>
      </w:r>
      <w:r w:rsidR="004D62A8">
        <w:t>.</w:t>
      </w:r>
    </w:p>
    <w:p w14:paraId="5BCE125A" w14:textId="461918A0" w:rsidR="00280B5D" w:rsidRDefault="00EC681C" w:rsidP="00822B28">
      <w:pPr>
        <w:spacing w:after="240"/>
      </w:pPr>
      <w:r>
        <w:t>AP7</w:t>
      </w:r>
      <w:r w:rsidR="000637FC">
        <w:t xml:space="preserve">.11.3.  </w:t>
      </w:r>
      <w:r w:rsidR="004D62A8">
        <w:t xml:space="preserve">Requisitions submitted to DoD activities and the </w:t>
      </w:r>
      <w:r w:rsidR="00BE1F4D">
        <w:t>Government Services Administration (</w:t>
      </w:r>
      <w:r w:rsidR="004D62A8">
        <w:t>GSA</w:t>
      </w:r>
      <w:r w:rsidR="00BE1F4D">
        <w:t>) shall</w:t>
      </w:r>
      <w:r w:rsidR="004D62A8">
        <w:t xml:space="preserve"> always contain a fund code, unless the materiel requested has been offered without reimbursement, in which case the signal code (rp 51) </w:t>
      </w:r>
      <w:r w:rsidR="00BE1F4D">
        <w:t>shall</w:t>
      </w:r>
      <w:r w:rsidR="004D62A8">
        <w:t xml:space="preserve"> be D or M (free issue) and the fund code </w:t>
      </w:r>
      <w:r w:rsidR="00BE1F4D">
        <w:t>shall</w:t>
      </w:r>
      <w:r w:rsidR="004D62A8">
        <w:t xml:space="preserve"> have no meaning to the requisition processing point. </w:t>
      </w:r>
    </w:p>
    <w:sectPr w:rsidR="00280B5D" w:rsidSect="00D236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E125D" w14:textId="77777777" w:rsidR="00B82F66" w:rsidRDefault="00B82F66">
      <w:r>
        <w:separator/>
      </w:r>
    </w:p>
  </w:endnote>
  <w:endnote w:type="continuationSeparator" w:id="0">
    <w:p w14:paraId="5BCE125E" w14:textId="77777777" w:rsidR="00B82F66" w:rsidRDefault="00B8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E1262" w14:textId="77777777" w:rsidR="00280B5D" w:rsidRPr="00245F03" w:rsidRDefault="000C3E30" w:rsidP="00280B5D">
    <w:pPr>
      <w:pStyle w:val="Footer"/>
      <w:framePr w:wrap="around" w:vAnchor="text" w:hAnchor="margin" w:xAlign="center" w:y="1"/>
      <w:rPr>
        <w:rStyle w:val="PageNumber"/>
        <w:b w:val="0"/>
      </w:rPr>
    </w:pPr>
    <w:r w:rsidRPr="00245F03">
      <w:rPr>
        <w:rStyle w:val="PageNumber"/>
        <w:b w:val="0"/>
      </w:rPr>
      <w:fldChar w:fldCharType="begin"/>
    </w:r>
    <w:r w:rsidR="00280B5D" w:rsidRPr="00245F03">
      <w:rPr>
        <w:rStyle w:val="PageNumber"/>
        <w:b w:val="0"/>
      </w:rPr>
      <w:instrText xml:space="preserve">PAGE  </w:instrText>
    </w:r>
    <w:r w:rsidRPr="00245F03">
      <w:rPr>
        <w:rStyle w:val="PageNumber"/>
        <w:b w:val="0"/>
      </w:rPr>
      <w:fldChar w:fldCharType="separate"/>
    </w:r>
    <w:r w:rsidR="00EC6FB9" w:rsidRPr="00245F03">
      <w:rPr>
        <w:rStyle w:val="PageNumber"/>
        <w:b w:val="0"/>
        <w:noProof/>
      </w:rPr>
      <w:t>1</w:t>
    </w:r>
    <w:r w:rsidRPr="00245F03">
      <w:rPr>
        <w:rStyle w:val="PageNumber"/>
        <w:b w:val="0"/>
      </w:rPr>
      <w:fldChar w:fldCharType="end"/>
    </w:r>
  </w:p>
  <w:p w14:paraId="5BCE1263" w14:textId="77777777" w:rsidR="004D62A8" w:rsidRDefault="000637FC" w:rsidP="000637FC">
    <w:pPr>
      <w:pStyle w:val="Footer"/>
      <w:jc w:val="right"/>
    </w:pPr>
    <w:r>
      <w:t>APPENDIX 2</w:t>
    </w:r>
    <w:r w:rsidR="006B0E39">
      <w:t>.11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E1264" w14:textId="15CB764B" w:rsidR="00280B5D" w:rsidRPr="00D23630" w:rsidRDefault="00EC681C" w:rsidP="00280B5D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AP7</w:t>
    </w:r>
    <w:r w:rsidR="00D23630">
      <w:rPr>
        <w:rStyle w:val="PageNumber"/>
        <w:b w:val="0"/>
      </w:rPr>
      <w:t>.11-</w:t>
    </w:r>
    <w:r w:rsidR="000C3E30" w:rsidRPr="00D23630">
      <w:rPr>
        <w:rStyle w:val="PageNumber"/>
        <w:b w:val="0"/>
      </w:rPr>
      <w:fldChar w:fldCharType="begin"/>
    </w:r>
    <w:r w:rsidR="00280B5D" w:rsidRPr="00D23630">
      <w:rPr>
        <w:rStyle w:val="PageNumber"/>
        <w:b w:val="0"/>
      </w:rPr>
      <w:instrText xml:space="preserve">PAGE  </w:instrText>
    </w:r>
    <w:r w:rsidR="000C3E30" w:rsidRPr="00D23630">
      <w:rPr>
        <w:rStyle w:val="PageNumber"/>
        <w:b w:val="0"/>
      </w:rPr>
      <w:fldChar w:fldCharType="separate"/>
    </w:r>
    <w:r w:rsidR="00054B6D">
      <w:rPr>
        <w:rStyle w:val="PageNumber"/>
        <w:b w:val="0"/>
        <w:noProof/>
      </w:rPr>
      <w:t>1</w:t>
    </w:r>
    <w:r w:rsidR="000C3E30" w:rsidRPr="00D23630">
      <w:rPr>
        <w:rStyle w:val="PageNumber"/>
        <w:b w:val="0"/>
      </w:rPr>
      <w:fldChar w:fldCharType="end"/>
    </w:r>
  </w:p>
  <w:p w14:paraId="5BCE1265" w14:textId="67A97064" w:rsidR="004D62A8" w:rsidRPr="000637FC" w:rsidRDefault="000637FC" w:rsidP="00D23630">
    <w:pPr>
      <w:pStyle w:val="Footer"/>
      <w:tabs>
        <w:tab w:val="clear" w:pos="4320"/>
        <w:tab w:val="clear" w:pos="8640"/>
      </w:tabs>
      <w:jc w:val="right"/>
    </w:pPr>
    <w:r w:rsidRPr="000637FC">
      <w:t xml:space="preserve">APPENDIX </w:t>
    </w:r>
    <w:r w:rsidR="00EC681C">
      <w:t>7</w:t>
    </w:r>
    <w:r w:rsidR="006B0E39">
      <w:t>.11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E125B" w14:textId="77777777" w:rsidR="00B82F66" w:rsidRDefault="00B82F66">
      <w:r>
        <w:separator/>
      </w:r>
    </w:p>
  </w:footnote>
  <w:footnote w:type="continuationSeparator" w:id="0">
    <w:p w14:paraId="5BCE125C" w14:textId="77777777" w:rsidR="00B82F66" w:rsidRDefault="00B82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E125F" w14:textId="77777777" w:rsidR="00555156" w:rsidRDefault="004D62A8" w:rsidP="00024B80">
    <w:pPr>
      <w:jc w:val="right"/>
      <w:rPr>
        <w:bCs/>
        <w:i/>
        <w:szCs w:val="24"/>
      </w:rPr>
    </w:pPr>
    <w:r w:rsidRPr="00555156">
      <w:rPr>
        <w:bCs/>
        <w:i/>
        <w:szCs w:val="24"/>
      </w:rPr>
      <w:t>DoD 4000.25-1-M</w:t>
    </w:r>
    <w:r w:rsidR="000637FC" w:rsidRPr="00555156">
      <w:rPr>
        <w:bCs/>
        <w:i/>
        <w:szCs w:val="24"/>
      </w:rPr>
      <w:t xml:space="preserve">, </w:t>
    </w:r>
    <w:r w:rsidR="004201F9">
      <w:rPr>
        <w:i/>
      </w:rPr>
      <w:t>January, 2006</w:t>
    </w:r>
  </w:p>
  <w:p w14:paraId="5BCE1260" w14:textId="77777777" w:rsidR="004D62A8" w:rsidRPr="00555156" w:rsidRDefault="00555156" w:rsidP="00024B80">
    <w:pPr>
      <w:jc w:val="right"/>
      <w:rPr>
        <w:i/>
        <w:szCs w:val="24"/>
      </w:rPr>
    </w:pPr>
    <w:r>
      <w:rPr>
        <w:bCs/>
        <w:i/>
        <w:szCs w:val="24"/>
      </w:rPr>
      <w:t>Change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444DC" w14:textId="03A163FC" w:rsidR="00EC681C" w:rsidRDefault="00EC681C" w:rsidP="00EC681C">
    <w:pPr>
      <w:tabs>
        <w:tab w:val="center" w:pos="4320"/>
        <w:tab w:val="right" w:pos="8640"/>
      </w:tabs>
      <w:autoSpaceDN w:val="0"/>
      <w:jc w:val="right"/>
      <w:rPr>
        <w:i/>
        <w:iCs/>
      </w:rPr>
    </w:pPr>
    <w:r>
      <w:rPr>
        <w:i/>
        <w:iCs/>
      </w:rPr>
      <w:t xml:space="preserve">DLM 4000.25, Volume 2, </w:t>
    </w:r>
    <w:r w:rsidR="00054B6D">
      <w:rPr>
        <w:i/>
      </w:rPr>
      <w:t>November 26</w:t>
    </w:r>
    <w:r>
      <w:rPr>
        <w:i/>
        <w:iCs/>
      </w:rPr>
      <w:t>, 2019</w:t>
    </w:r>
  </w:p>
  <w:p w14:paraId="5BCE1261" w14:textId="75F64CD5" w:rsidR="00280B5D" w:rsidRPr="00822B28" w:rsidRDefault="00EC681C" w:rsidP="00EC681C">
    <w:pPr>
      <w:jc w:val="right"/>
    </w:pPr>
    <w:r>
      <w:rPr>
        <w:i/>
        <w:iCs/>
      </w:rPr>
      <w:t>Change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E1266" w14:textId="77777777" w:rsidR="004D62A8" w:rsidRDefault="004D62A8">
    <w:pPr>
      <w:pStyle w:val="Header"/>
      <w:jc w:val="right"/>
      <w:rPr>
        <w:b/>
        <w:u w:val="none"/>
      </w:rPr>
    </w:pPr>
  </w:p>
  <w:p w14:paraId="5BCE1267" w14:textId="77777777" w:rsidR="00280B5D" w:rsidRDefault="004D62A8">
    <w:pPr>
      <w:pStyle w:val="Header"/>
      <w:jc w:val="right"/>
      <w:rPr>
        <w:b/>
        <w:u w:val="none"/>
      </w:rPr>
    </w:pPr>
    <w:r>
      <w:rPr>
        <w:b/>
        <w:u w:val="none"/>
      </w:rPr>
      <w:t>DoD 4000.25-1-M</w:t>
    </w:r>
  </w:p>
  <w:p w14:paraId="5BCE1268" w14:textId="77777777" w:rsidR="004D62A8" w:rsidRDefault="00280B5D">
    <w:pPr>
      <w:pStyle w:val="Header"/>
      <w:jc w:val="right"/>
      <w:rPr>
        <w:u w:val="none"/>
      </w:rPr>
    </w:pPr>
    <w:r>
      <w:rPr>
        <w:b/>
        <w:u w:val="none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221A8E80"/>
    <w:lvl w:ilvl="0">
      <w:start w:val="34"/>
      <w:numFmt w:val="none"/>
      <w:pStyle w:val="Heading1"/>
      <w:suff w:val="nothing"/>
      <w:lvlText w:val="AP2.11 APPENDIX 2.11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2.11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2%1.11.%3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2%1.11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2%1.11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2%1.11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2%1.11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2%1.11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2%1.11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FF549B"/>
    <w:multiLevelType w:val="multilevel"/>
    <w:tmpl w:val="351CD644"/>
    <w:lvl w:ilvl="0">
      <w:start w:val="34"/>
      <w:numFmt w:val="none"/>
      <w:suff w:val="nothing"/>
      <w:lvlText w:val="AP2.11 APPENDIX 2.11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suff w:val="nothing"/>
      <w:lvlText w:val="AP2.11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suff w:val="nothing"/>
      <w:lvlText w:val="AP2%1.11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suff w:val="nothing"/>
      <w:lvlText w:val="AP2%1.11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suff w:val="nothing"/>
      <w:lvlText w:val="AP2%1.11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suff w:val="nothing"/>
      <w:lvlText w:val="AP2%1.11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suff w:val="nothing"/>
      <w:lvlText w:val="AP2%1.11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suff w:val="nothing"/>
      <w:lvlText w:val="AP2%1.11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suff w:val="nothing"/>
      <w:lvlText w:val="AP2%1.11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10" w15:restartNumberingAfterBreak="0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1" w15:restartNumberingAfterBreak="0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2" w15:restartNumberingAfterBreak="0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 w15:restartNumberingAfterBreak="0">
    <w:nsid w:val="4D520D3E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4" w15:restartNumberingAfterBreak="0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5" w15:restartNumberingAfterBreak="0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10"/>
  </w:num>
  <w:num w:numId="10">
    <w:abstractNumId w:val="11"/>
  </w:num>
  <w:num w:numId="11">
    <w:abstractNumId w:val="12"/>
  </w:num>
  <w:num w:numId="12">
    <w:abstractNumId w:val="15"/>
  </w:num>
  <w:num w:numId="13">
    <w:abstractNumId w:val="14"/>
  </w:num>
  <w:num w:numId="14">
    <w:abstractNumId w:val="7"/>
  </w:num>
  <w:num w:numId="1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E92"/>
    <w:rsid w:val="00024B80"/>
    <w:rsid w:val="00025F23"/>
    <w:rsid w:val="00054B6D"/>
    <w:rsid w:val="000637FC"/>
    <w:rsid w:val="000C3E30"/>
    <w:rsid w:val="001771B9"/>
    <w:rsid w:val="00182817"/>
    <w:rsid w:val="001B7BF1"/>
    <w:rsid w:val="00245F03"/>
    <w:rsid w:val="00280B5D"/>
    <w:rsid w:val="002B32C3"/>
    <w:rsid w:val="002B7EFF"/>
    <w:rsid w:val="003103E3"/>
    <w:rsid w:val="00347C17"/>
    <w:rsid w:val="00403727"/>
    <w:rsid w:val="004127B1"/>
    <w:rsid w:val="004171B3"/>
    <w:rsid w:val="004201F9"/>
    <w:rsid w:val="004358FA"/>
    <w:rsid w:val="004D62A8"/>
    <w:rsid w:val="00555156"/>
    <w:rsid w:val="00601476"/>
    <w:rsid w:val="0061153B"/>
    <w:rsid w:val="006B0E39"/>
    <w:rsid w:val="006E023B"/>
    <w:rsid w:val="006F5CC6"/>
    <w:rsid w:val="00794B2C"/>
    <w:rsid w:val="00822B28"/>
    <w:rsid w:val="0084008F"/>
    <w:rsid w:val="008728F2"/>
    <w:rsid w:val="008C2B60"/>
    <w:rsid w:val="0096000F"/>
    <w:rsid w:val="009C2731"/>
    <w:rsid w:val="00A827DE"/>
    <w:rsid w:val="00AD2470"/>
    <w:rsid w:val="00B23090"/>
    <w:rsid w:val="00B80011"/>
    <w:rsid w:val="00B81876"/>
    <w:rsid w:val="00B82F66"/>
    <w:rsid w:val="00BA41C6"/>
    <w:rsid w:val="00BE1F4D"/>
    <w:rsid w:val="00BE2AC3"/>
    <w:rsid w:val="00C441E6"/>
    <w:rsid w:val="00C62FAA"/>
    <w:rsid w:val="00CA1BA3"/>
    <w:rsid w:val="00D05E92"/>
    <w:rsid w:val="00D23630"/>
    <w:rsid w:val="00DB7F33"/>
    <w:rsid w:val="00E2753B"/>
    <w:rsid w:val="00E63415"/>
    <w:rsid w:val="00EC681C"/>
    <w:rsid w:val="00EC6FB9"/>
    <w:rsid w:val="00F04E98"/>
    <w:rsid w:val="00F14A04"/>
    <w:rsid w:val="00F52578"/>
    <w:rsid w:val="00FB5F9D"/>
    <w:rsid w:val="00FF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BCE1256"/>
  <w15:docId w15:val="{581461BD-17ED-4FBB-8388-52BBC26F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E30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0C3E30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0C3E30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0C3E30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0C3E30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0C3E30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0C3E30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0C3E30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0C3E30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0C3E30"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sid w:val="000C3E30"/>
    <w:rPr>
      <w:vertAlign w:val="superscript"/>
    </w:rPr>
  </w:style>
  <w:style w:type="character" w:styleId="FootnoteReference">
    <w:name w:val="footnote reference"/>
    <w:semiHidden/>
    <w:rsid w:val="000C3E30"/>
    <w:rPr>
      <w:vertAlign w:val="superscript"/>
    </w:rPr>
  </w:style>
  <w:style w:type="character" w:styleId="PageNumber">
    <w:name w:val="page number"/>
    <w:rsid w:val="000C3E30"/>
    <w:rPr>
      <w:rFonts w:ascii="Arial" w:hAnsi="Arial"/>
      <w:b/>
      <w:sz w:val="24"/>
    </w:rPr>
  </w:style>
  <w:style w:type="paragraph" w:styleId="Footer">
    <w:name w:val="footer"/>
    <w:basedOn w:val="Normal"/>
    <w:rsid w:val="000C3E3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0C3E30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0C3E30"/>
    <w:rPr>
      <w:sz w:val="20"/>
    </w:rPr>
  </w:style>
  <w:style w:type="paragraph" w:customStyle="1" w:styleId="SubTitle">
    <w:name w:val="Sub Title"/>
    <w:basedOn w:val="Title"/>
    <w:rsid w:val="000C3E30"/>
    <w:rPr>
      <w:u w:val="single"/>
    </w:rPr>
  </w:style>
  <w:style w:type="paragraph" w:styleId="Title">
    <w:name w:val="Title"/>
    <w:basedOn w:val="Normal"/>
    <w:next w:val="Header"/>
    <w:qFormat/>
    <w:rsid w:val="000C3E30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0C3E30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0C3E30"/>
    <w:pPr>
      <w:spacing w:after="160"/>
      <w:ind w:left="1440"/>
    </w:pPr>
  </w:style>
  <w:style w:type="paragraph" w:styleId="BodyText">
    <w:name w:val="Body Text"/>
    <w:basedOn w:val="Normal"/>
    <w:rsid w:val="000C3E30"/>
    <w:pPr>
      <w:spacing w:after="120"/>
    </w:pPr>
  </w:style>
  <w:style w:type="paragraph" w:styleId="ListBullet">
    <w:name w:val="List Bullet"/>
    <w:basedOn w:val="Normal"/>
    <w:rsid w:val="000C3E30"/>
    <w:pPr>
      <w:spacing w:after="120"/>
      <w:ind w:left="360" w:hanging="360"/>
    </w:pPr>
  </w:style>
  <w:style w:type="paragraph" w:styleId="ListBullet2">
    <w:name w:val="List Bullet 2"/>
    <w:basedOn w:val="Normal"/>
    <w:rsid w:val="000C3E30"/>
    <w:pPr>
      <w:ind w:left="720" w:hanging="360"/>
    </w:pPr>
  </w:style>
  <w:style w:type="paragraph" w:styleId="ListBullet3">
    <w:name w:val="List Bullet 3"/>
    <w:basedOn w:val="Normal"/>
    <w:rsid w:val="000C3E30"/>
    <w:pPr>
      <w:ind w:left="1080" w:hanging="360"/>
    </w:pPr>
  </w:style>
  <w:style w:type="paragraph" w:styleId="ListNumber">
    <w:name w:val="List Number"/>
    <w:basedOn w:val="Normal"/>
    <w:rsid w:val="000C3E30"/>
    <w:pPr>
      <w:ind w:left="360" w:hanging="360"/>
    </w:pPr>
  </w:style>
  <w:style w:type="paragraph" w:styleId="ListNumber2">
    <w:name w:val="List Number 2"/>
    <w:basedOn w:val="Normal"/>
    <w:rsid w:val="000C3E30"/>
    <w:pPr>
      <w:ind w:left="720" w:hanging="360"/>
    </w:pPr>
  </w:style>
  <w:style w:type="paragraph" w:styleId="ListNumber3">
    <w:name w:val="List Number 3"/>
    <w:basedOn w:val="Normal"/>
    <w:rsid w:val="000C3E30"/>
    <w:pPr>
      <w:ind w:left="1080" w:hanging="360"/>
    </w:pPr>
  </w:style>
  <w:style w:type="paragraph" w:styleId="DocumentMap">
    <w:name w:val="Document Map"/>
    <w:basedOn w:val="Normal"/>
    <w:semiHidden/>
    <w:rsid w:val="000C3E30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0C3E30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rsid w:val="000C3E30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rsid w:val="000C3E30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semiHidden/>
    <w:rsid w:val="000C3E30"/>
    <w:rPr>
      <w:sz w:val="16"/>
      <w:szCs w:val="16"/>
    </w:rPr>
  </w:style>
  <w:style w:type="paragraph" w:styleId="CommentText">
    <w:name w:val="annotation text"/>
    <w:basedOn w:val="Normal"/>
    <w:semiHidden/>
    <w:rsid w:val="000C3E30"/>
    <w:rPr>
      <w:sz w:val="20"/>
    </w:rPr>
  </w:style>
  <w:style w:type="paragraph" w:styleId="BalloonText">
    <w:name w:val="Balloon Text"/>
    <w:basedOn w:val="Normal"/>
    <w:semiHidden/>
    <w:rsid w:val="00435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4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Props1.xml><?xml version="1.0" encoding="utf-8"?>
<ds:datastoreItem xmlns:ds="http://schemas.openxmlformats.org/officeDocument/2006/customXml" ds:itemID="{9257E143-C5F0-4BBE-93D7-659D2A351835}"/>
</file>

<file path=customXml/itemProps2.xml><?xml version="1.0" encoding="utf-8"?>
<ds:datastoreItem xmlns:ds="http://schemas.openxmlformats.org/officeDocument/2006/customXml" ds:itemID="{0206B476-ED64-4C61-B051-E563B9A455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6EDBBD-1D1B-4B60-AA81-F12FFB3821FF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36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7.11 - Fund Codes</vt:lpstr>
    </vt:vector>
  </TitlesOfParts>
  <Company>DLA Logistics Management Standards Office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7.11 - Fund Codes</dc:title>
  <dc:subject/>
  <dc:creator>Heidi Daverede</dc:creator>
  <cp:keywords/>
  <cp:lastModifiedBy>Nguyen, Bao X CTR DLA INFO OPERATIONS (USA)</cp:lastModifiedBy>
  <cp:revision>12</cp:revision>
  <cp:lastPrinted>2007-10-26T13:09:00Z</cp:lastPrinted>
  <dcterms:created xsi:type="dcterms:W3CDTF">2009-12-17T19:48:00Z</dcterms:created>
  <dcterms:modified xsi:type="dcterms:W3CDTF">2019-11-26T21:32:00Z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2294400</vt:r8>
  </property>
</Properties>
</file>