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AA49" w14:textId="056BE7E6" w:rsidR="00F11E30" w:rsidRPr="00371489" w:rsidRDefault="00D968CD" w:rsidP="00E73448">
      <w:pPr>
        <w:spacing w:after="240"/>
        <w:jc w:val="center"/>
        <w:rPr>
          <w:b/>
          <w:bCs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AP7</w:t>
      </w:r>
      <w:r w:rsidR="00F11E30" w:rsidRPr="00371489">
        <w:rPr>
          <w:b/>
          <w:sz w:val="44"/>
          <w:szCs w:val="44"/>
          <w:u w:val="single"/>
        </w:rPr>
        <w:t>.12</w:t>
      </w:r>
      <w:r w:rsidR="00180341" w:rsidRPr="00371489">
        <w:rPr>
          <w:b/>
          <w:sz w:val="44"/>
          <w:szCs w:val="44"/>
          <w:u w:val="single"/>
        </w:rPr>
        <w:t>.</w:t>
      </w:r>
      <w:r w:rsidR="00F11E30" w:rsidRPr="00371489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7</w:t>
      </w:r>
      <w:r w:rsidR="00F11E30" w:rsidRPr="00371489">
        <w:rPr>
          <w:b/>
          <w:sz w:val="44"/>
          <w:szCs w:val="44"/>
          <w:u w:val="single"/>
        </w:rPr>
        <w:t>.12</w:t>
      </w:r>
    </w:p>
    <w:p w14:paraId="7998AA4A" w14:textId="77777777" w:rsidR="00F11E30" w:rsidRDefault="00F11E30" w:rsidP="00EF092D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DISTRIBUTION CODES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6300"/>
      </w:tblGrid>
      <w:tr w:rsidR="00F11E30" w:rsidRPr="00AB4586" w14:paraId="7998AA4E" w14:textId="77777777" w:rsidTr="00EF092D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98AA4C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rPr>
                <w:bCs/>
              </w:rPr>
              <w:t>NUMBER OF CHARACTERS: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998AA4D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Three.</w:t>
            </w:r>
          </w:p>
        </w:tc>
      </w:tr>
      <w:tr w:rsidR="00F11E30" w:rsidRPr="00AB4586" w14:paraId="7998AA51" w14:textId="77777777" w:rsidTr="00EF092D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98AA4F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rPr>
                <w:bCs/>
              </w:rPr>
              <w:t>TYPE OF CODE: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998AA50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Alpha/Numeric.</w:t>
            </w:r>
          </w:p>
        </w:tc>
      </w:tr>
      <w:tr w:rsidR="00F11E30" w:rsidRPr="00AB4586" w14:paraId="7998AA54" w14:textId="77777777" w:rsidTr="00EF092D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98AA52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rPr>
                <w:bCs/>
              </w:rPr>
              <w:t>EXPLANATION: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998AA53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 xml:space="preserve">An alpha or numeric entry in </w:t>
            </w:r>
            <w:proofErr w:type="spellStart"/>
            <w:r w:rsidRPr="00AB4586">
              <w:t>rp</w:t>
            </w:r>
            <w:proofErr w:type="spellEnd"/>
            <w:r w:rsidRPr="00AB4586">
              <w:t xml:space="preserve"> 54 requires a decision as indicated in this appendix.</w:t>
            </w:r>
          </w:p>
        </w:tc>
      </w:tr>
      <w:tr w:rsidR="00F11E30" w:rsidRPr="00AB4586" w14:paraId="7998AA57" w14:textId="77777777" w:rsidTr="00EF092D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98AA55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rPr>
                <w:bCs/>
              </w:rPr>
              <w:t>RECORD POSITION(S):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998AA56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54-56.</w:t>
            </w:r>
          </w:p>
        </w:tc>
      </w:tr>
      <w:tr w:rsidR="00F11E30" w:rsidRPr="00AB4586" w14:paraId="7998AA5A" w14:textId="77777777" w:rsidTr="00EF092D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98AA58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rPr>
                <w:bCs/>
              </w:rPr>
              <w:t>POSITION 54: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998AA59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Activities eligible to receive additional status and assigned codes.</w:t>
            </w:r>
          </w:p>
        </w:tc>
      </w:tr>
      <w:tr w:rsidR="00F11E30" w:rsidRPr="00AB4586" w14:paraId="7998AA5D" w14:textId="77777777" w:rsidTr="00EF092D">
        <w:trPr>
          <w:cantSplit/>
          <w:trHeight w:val="403"/>
          <w:jc w:val="center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98AA5B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rPr>
                <w:bCs/>
              </w:rPr>
              <w:t>POSITION 55-56: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14:paraId="7998AA5C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 xml:space="preserve">Internal </w:t>
            </w:r>
            <w:r w:rsidR="007846D3" w:rsidRPr="00AB4586">
              <w:t>Service/Agency (</w:t>
            </w:r>
            <w:r w:rsidRPr="00AB4586">
              <w:t>S/A</w:t>
            </w:r>
            <w:r w:rsidR="007846D3" w:rsidRPr="00AB4586">
              <w:t>)</w:t>
            </w:r>
            <w:r w:rsidRPr="00AB4586">
              <w:t xml:space="preserve"> use.</w:t>
            </w:r>
          </w:p>
        </w:tc>
      </w:tr>
    </w:tbl>
    <w:p w14:paraId="7998AA5E" w14:textId="49C3DD25" w:rsidR="00F11E30" w:rsidRPr="00AB4586" w:rsidRDefault="00D968CD" w:rsidP="00042678">
      <w:pPr>
        <w:tabs>
          <w:tab w:val="left" w:pos="540"/>
          <w:tab w:val="left" w:pos="1080"/>
        </w:tabs>
        <w:spacing w:before="120" w:after="240"/>
      </w:pPr>
      <w:r>
        <w:t>AP7</w:t>
      </w:r>
      <w:r w:rsidR="00F11E30" w:rsidRPr="00AB4586">
        <w:t xml:space="preserve">.12.1.  </w:t>
      </w:r>
      <w:r w:rsidR="00F11E30" w:rsidRPr="00AB4586">
        <w:rPr>
          <w:u w:val="single"/>
        </w:rPr>
        <w:t>Use of Distribution Codes</w:t>
      </w:r>
      <w:r w:rsidR="00011DAD" w:rsidRPr="00AB4586">
        <w:t xml:space="preserve">.  </w:t>
      </w:r>
      <w:r w:rsidR="00F11E30" w:rsidRPr="00AB4586">
        <w:t>The distribution field is a three-position two-part field of which the first part (</w:t>
      </w:r>
      <w:r w:rsidR="001C34D5" w:rsidRPr="00AB4586">
        <w:t>record position (</w:t>
      </w:r>
      <w:proofErr w:type="spellStart"/>
      <w:r w:rsidR="00F11E30" w:rsidRPr="00AB4586">
        <w:t>rp</w:t>
      </w:r>
      <w:proofErr w:type="spellEnd"/>
      <w:r w:rsidR="001C34D5" w:rsidRPr="00AB4586">
        <w:t>)</w:t>
      </w:r>
      <w:r w:rsidR="00F11E30" w:rsidRPr="00AB4586">
        <w:t xml:space="preserve"> 54) is significant and </w:t>
      </w:r>
      <w:r w:rsidR="003C1521">
        <w:t>will</w:t>
      </w:r>
      <w:r w:rsidR="00F11E30" w:rsidRPr="00AB4586">
        <w:t xml:space="preserve"> require a decision when the entry is alphabetic or an assigned numeric.  When an alphabetic or assigned numeric entry is contained in </w:t>
      </w:r>
      <w:proofErr w:type="spellStart"/>
      <w:r w:rsidR="00F11E30" w:rsidRPr="00AB4586">
        <w:t>rp</w:t>
      </w:r>
      <w:proofErr w:type="spellEnd"/>
      <w:r w:rsidR="00F11E30" w:rsidRPr="00AB4586">
        <w:t xml:space="preserve"> 54, the activity designated by the entry </w:t>
      </w:r>
      <w:r w:rsidR="003C1521">
        <w:t>will</w:t>
      </w:r>
      <w:r w:rsidR="00F11E30" w:rsidRPr="00AB4586">
        <w:t xml:space="preserve"> be furnished 100 percent supply and shipment status on all priorities in addition to status furnished using the </w:t>
      </w:r>
      <w:r w:rsidR="00011DAD" w:rsidRPr="00AB4586">
        <w:t>m</w:t>
      </w:r>
      <w:r w:rsidR="001C34D5" w:rsidRPr="00AB4586">
        <w:rPr>
          <w:szCs w:val="24"/>
        </w:rPr>
        <w:t xml:space="preserve">edia and </w:t>
      </w:r>
      <w:r w:rsidR="00011DAD" w:rsidRPr="00AB4586">
        <w:rPr>
          <w:szCs w:val="24"/>
        </w:rPr>
        <w:t>s</w:t>
      </w:r>
      <w:r w:rsidR="001C34D5" w:rsidRPr="00AB4586">
        <w:rPr>
          <w:szCs w:val="24"/>
        </w:rPr>
        <w:t>tatus</w:t>
      </w:r>
      <w:r w:rsidR="001C34D5" w:rsidRPr="00AB4586">
        <w:t xml:space="preserve"> (</w:t>
      </w:r>
      <w:r w:rsidR="00F11E30" w:rsidRPr="00AB4586">
        <w:t>M&amp;S</w:t>
      </w:r>
      <w:r w:rsidR="001C34D5" w:rsidRPr="00AB4586">
        <w:t>)</w:t>
      </w:r>
      <w:r w:rsidR="00F11E30" w:rsidRPr="00AB4586">
        <w:t xml:space="preserve"> entry in </w:t>
      </w:r>
      <w:proofErr w:type="spellStart"/>
      <w:r w:rsidR="00F11E30" w:rsidRPr="00AB4586">
        <w:t>rp</w:t>
      </w:r>
      <w:proofErr w:type="spellEnd"/>
      <w:r w:rsidR="00F11E30" w:rsidRPr="00AB4586">
        <w:t xml:space="preserve"> 7.  When </w:t>
      </w:r>
      <w:proofErr w:type="spellStart"/>
      <w:r w:rsidR="00F11E30" w:rsidRPr="00AB4586">
        <w:t>rp</w:t>
      </w:r>
      <w:proofErr w:type="spellEnd"/>
      <w:r w:rsidR="00F11E30" w:rsidRPr="00AB4586">
        <w:t xml:space="preserve"> 7 is M&amp;S 0, 8, or Y, the activity designated in </w:t>
      </w:r>
      <w:proofErr w:type="spellStart"/>
      <w:r w:rsidR="00F11E30" w:rsidRPr="00AB4586">
        <w:t>rp</w:t>
      </w:r>
      <w:proofErr w:type="spellEnd"/>
      <w:r w:rsidR="00F11E30" w:rsidRPr="00AB4586">
        <w:t xml:space="preserve"> 54 is responsible for furnishing status to other status eligible recipients.  The second part of the field (</w:t>
      </w:r>
      <w:proofErr w:type="spellStart"/>
      <w:r w:rsidR="00F11E30" w:rsidRPr="00AB4586">
        <w:t>rp</w:t>
      </w:r>
      <w:proofErr w:type="spellEnd"/>
      <w:r w:rsidR="00F11E30" w:rsidRPr="00AB4586">
        <w:t xml:space="preserve"> 55-56) is discretionary for other types of internal control.  The distribution </w:t>
      </w:r>
      <w:r w:rsidR="00E84561" w:rsidRPr="00AB4586">
        <w:t xml:space="preserve">code </w:t>
      </w:r>
      <w:r w:rsidR="00F11E30" w:rsidRPr="00AB4586">
        <w:t xml:space="preserve">serves only to indicate an addressee </w:t>
      </w:r>
      <w:r w:rsidR="00E84561" w:rsidRPr="00AB4586">
        <w:t xml:space="preserve">is </w:t>
      </w:r>
      <w:r w:rsidR="00F11E30" w:rsidRPr="00AB4586">
        <w:t>to receive status (including MOV requests) and may be changed only by submission of a DI</w:t>
      </w:r>
      <w:r w:rsidR="001C34D5" w:rsidRPr="00AB4586">
        <w:t>C</w:t>
      </w:r>
      <w:r w:rsidR="00F11E30" w:rsidRPr="00AB4586">
        <w:t xml:space="preserve"> AM_ requisition modifier.</w:t>
      </w:r>
    </w:p>
    <w:p w14:paraId="7998AA5F" w14:textId="43075270" w:rsidR="00F11E30" w:rsidRPr="00AB4586" w:rsidRDefault="00EF092D" w:rsidP="00042678">
      <w:pPr>
        <w:tabs>
          <w:tab w:val="left" w:pos="540"/>
          <w:tab w:val="left" w:pos="1080"/>
        </w:tabs>
        <w:spacing w:after="240"/>
      </w:pPr>
      <w:r w:rsidRPr="00AB4586">
        <w:tab/>
      </w:r>
      <w:r w:rsidR="00D968CD">
        <w:t>AP7</w:t>
      </w:r>
      <w:r w:rsidR="00F11E30" w:rsidRPr="00AB4586">
        <w:t xml:space="preserve">.12.1.1.  A numeric entry in </w:t>
      </w:r>
      <w:proofErr w:type="spellStart"/>
      <w:r w:rsidR="00F11E30" w:rsidRPr="00AB4586">
        <w:t>rp</w:t>
      </w:r>
      <w:proofErr w:type="spellEnd"/>
      <w:r w:rsidR="00F11E30" w:rsidRPr="00AB4586">
        <w:t xml:space="preserve"> 54 which is not assigned on an inter-Component basis by the DoD MILSTRIP System Administrator </w:t>
      </w:r>
      <w:r w:rsidR="003C1521">
        <w:t>will</w:t>
      </w:r>
      <w:r w:rsidR="00F11E30" w:rsidRPr="00AB4586">
        <w:t xml:space="preserve"> be nonsignificant to the system but </w:t>
      </w:r>
      <w:r w:rsidR="003C1521">
        <w:t>will</w:t>
      </w:r>
      <w:r w:rsidR="00F11E30" w:rsidRPr="00AB4586">
        <w:t xml:space="preserve"> always be perpetuated in other transactions.</w:t>
      </w:r>
    </w:p>
    <w:p w14:paraId="7998AA60" w14:textId="1073F1A4" w:rsidR="00F11E30" w:rsidRPr="00AB4586" w:rsidRDefault="00EF092D" w:rsidP="00042678">
      <w:pPr>
        <w:tabs>
          <w:tab w:val="left" w:pos="540"/>
          <w:tab w:val="left" w:pos="1080"/>
        </w:tabs>
        <w:spacing w:after="240"/>
      </w:pPr>
      <w:r w:rsidRPr="00AB4586">
        <w:tab/>
      </w:r>
      <w:r w:rsidR="00D968CD">
        <w:t>AP7</w:t>
      </w:r>
      <w:r w:rsidR="00F11E30" w:rsidRPr="00AB4586">
        <w:t xml:space="preserve">.12.1.2.  An alpha character or assigned numeric entry is significant and </w:t>
      </w:r>
      <w:r w:rsidR="003C1521">
        <w:t>will</w:t>
      </w:r>
      <w:r w:rsidR="00F11E30" w:rsidRPr="00AB4586">
        <w:t xml:space="preserve"> always be perpetuated in other transactions.</w:t>
      </w:r>
    </w:p>
    <w:p w14:paraId="7998AA61" w14:textId="4CEF2D74" w:rsidR="00F11E30" w:rsidRPr="00AB4586" w:rsidRDefault="00EF092D" w:rsidP="00042678">
      <w:pPr>
        <w:tabs>
          <w:tab w:val="left" w:pos="540"/>
          <w:tab w:val="left" w:pos="1080"/>
        </w:tabs>
        <w:spacing w:after="240"/>
      </w:pPr>
      <w:r w:rsidRPr="00AB4586">
        <w:tab/>
      </w:r>
      <w:r w:rsidR="00D968CD">
        <w:t>AP7</w:t>
      </w:r>
      <w:r w:rsidR="00F11E30" w:rsidRPr="00AB4586">
        <w:t xml:space="preserve">.12.1.3.  Alphabetic or numeric entries in </w:t>
      </w:r>
      <w:proofErr w:type="spellStart"/>
      <w:r w:rsidR="00F11E30" w:rsidRPr="00AB4586">
        <w:t>rp</w:t>
      </w:r>
      <w:proofErr w:type="spellEnd"/>
      <w:r w:rsidR="00F11E30" w:rsidRPr="00AB4586">
        <w:t xml:space="preserve"> 55 and 56 </w:t>
      </w:r>
      <w:r w:rsidR="003C1521">
        <w:t>will</w:t>
      </w:r>
      <w:r w:rsidR="00F11E30" w:rsidRPr="00AB4586">
        <w:t xml:space="preserve"> not require decisions, but </w:t>
      </w:r>
      <w:r w:rsidR="003C1521">
        <w:t>will</w:t>
      </w:r>
      <w:r w:rsidR="00F11E30" w:rsidRPr="00AB4586">
        <w:t xml:space="preserve"> always be perpetuated in other transactions.</w:t>
      </w:r>
    </w:p>
    <w:p w14:paraId="7998AA62" w14:textId="45AD5FAD" w:rsidR="00F11E30" w:rsidRPr="00AB4586" w:rsidRDefault="00D968CD" w:rsidP="00042678">
      <w:pPr>
        <w:tabs>
          <w:tab w:val="left" w:pos="540"/>
          <w:tab w:val="left" w:pos="1080"/>
        </w:tabs>
        <w:spacing w:after="240"/>
      </w:pPr>
      <w:r>
        <w:t>AP7</w:t>
      </w:r>
      <w:r w:rsidR="00F11E30" w:rsidRPr="00AB4586">
        <w:t xml:space="preserve">.12.2.  </w:t>
      </w:r>
      <w:r w:rsidR="00F11E30" w:rsidRPr="00AB4586">
        <w:rPr>
          <w:u w:val="single"/>
        </w:rPr>
        <w:t>Assignment and Maintenance of Distribution Codes</w:t>
      </w:r>
      <w:r w:rsidR="00F11E30" w:rsidRPr="00AB4586">
        <w:t xml:space="preserve">.  Distribution codes are assigned to identify the activities to receive 100 percent supply and shipment status for all priority designators in addition to the status to be furnished using the M&amp;S </w:t>
      </w:r>
      <w:r w:rsidR="00E84561" w:rsidRPr="00AB4586">
        <w:t xml:space="preserve">entry </w:t>
      </w:r>
      <w:r w:rsidR="00F11E30" w:rsidRPr="00AB4586">
        <w:t xml:space="preserve">in </w:t>
      </w:r>
      <w:proofErr w:type="spellStart"/>
      <w:r w:rsidR="00F11E30" w:rsidRPr="00AB4586">
        <w:t>rp</w:t>
      </w:r>
      <w:proofErr w:type="spellEnd"/>
      <w:r w:rsidR="00F11E30" w:rsidRPr="00AB4586">
        <w:t xml:space="preserve"> 7.</w:t>
      </w:r>
    </w:p>
    <w:p w14:paraId="7998AA63" w14:textId="4D03AC35" w:rsidR="003D2945" w:rsidRPr="00AB4586" w:rsidRDefault="00EF092D" w:rsidP="00042678">
      <w:pPr>
        <w:tabs>
          <w:tab w:val="left" w:pos="540"/>
          <w:tab w:val="left" w:pos="1080"/>
        </w:tabs>
        <w:spacing w:after="240"/>
      </w:pPr>
      <w:r w:rsidRPr="00AB4586">
        <w:tab/>
      </w:r>
      <w:r w:rsidR="00D968CD">
        <w:t>AP7</w:t>
      </w:r>
      <w:r w:rsidR="00F11E30" w:rsidRPr="00AB4586">
        <w:t>.12.2.1.  Alphabetic distribution codes are assigned by the Component coordinator as identified by the S/A</w:t>
      </w:r>
      <w:r w:rsidR="007846D3" w:rsidRPr="00AB4586">
        <w:t xml:space="preserve"> c</w:t>
      </w:r>
      <w:r w:rsidR="00F11E30" w:rsidRPr="00AB4586">
        <w:t xml:space="preserve">ode from appendix </w:t>
      </w:r>
      <w:r w:rsidR="00D968CD">
        <w:t>AP7</w:t>
      </w:r>
      <w:r w:rsidR="00F11E30" w:rsidRPr="00AB4586">
        <w:t>.2</w:t>
      </w:r>
      <w:r w:rsidR="00E04983" w:rsidRPr="00AB4586">
        <w:t>.</w:t>
      </w:r>
      <w:r w:rsidR="00F11E30" w:rsidRPr="00AB4586">
        <w:t xml:space="preserve"> and a </w:t>
      </w:r>
      <w:r w:rsidR="00011DAD" w:rsidRPr="00AB4586">
        <w:rPr>
          <w:szCs w:val="24"/>
        </w:rPr>
        <w:t>DoD a</w:t>
      </w:r>
      <w:r w:rsidR="001C34D5" w:rsidRPr="00AB4586">
        <w:rPr>
          <w:szCs w:val="24"/>
        </w:rPr>
        <w:t xml:space="preserve">ctivity </w:t>
      </w:r>
      <w:r w:rsidR="00011DAD" w:rsidRPr="00AB4586">
        <w:rPr>
          <w:szCs w:val="24"/>
        </w:rPr>
        <w:t>a</w:t>
      </w:r>
      <w:r w:rsidR="001C34D5" w:rsidRPr="00AB4586">
        <w:rPr>
          <w:szCs w:val="24"/>
        </w:rPr>
        <w:t xml:space="preserve">ddress </w:t>
      </w:r>
      <w:r w:rsidR="00011DAD" w:rsidRPr="00AB4586">
        <w:rPr>
          <w:szCs w:val="24"/>
        </w:rPr>
        <w:t>c</w:t>
      </w:r>
      <w:r w:rsidR="001C34D5" w:rsidRPr="00AB4586">
        <w:rPr>
          <w:szCs w:val="24"/>
        </w:rPr>
        <w:t>ode</w:t>
      </w:r>
      <w:r w:rsidR="001C34D5" w:rsidRPr="00AB4586">
        <w:t xml:space="preserve"> (</w:t>
      </w:r>
      <w:r w:rsidR="00F11E30" w:rsidRPr="00AB4586">
        <w:t>DoDAAC</w:t>
      </w:r>
      <w:r w:rsidR="001C34D5" w:rsidRPr="00AB4586">
        <w:t>)</w:t>
      </w:r>
      <w:r w:rsidR="00F11E30" w:rsidRPr="00AB4586">
        <w:t>.</w:t>
      </w:r>
    </w:p>
    <w:p w14:paraId="7998AA64" w14:textId="5F907285" w:rsidR="00F11E30" w:rsidRPr="00AB4586" w:rsidRDefault="00EF092D" w:rsidP="00042678">
      <w:pPr>
        <w:tabs>
          <w:tab w:val="left" w:pos="540"/>
          <w:tab w:val="left" w:pos="1080"/>
        </w:tabs>
        <w:spacing w:after="240"/>
      </w:pPr>
      <w:r w:rsidRPr="00AB4586">
        <w:lastRenderedPageBreak/>
        <w:tab/>
      </w:r>
      <w:r w:rsidR="00D968CD">
        <w:t>AP7</w:t>
      </w:r>
      <w:r w:rsidR="00F11E30" w:rsidRPr="00AB4586">
        <w:t>.12.2.2.  Numeric distribution codes are controlled</w:t>
      </w:r>
      <w:r w:rsidR="00011DAD" w:rsidRPr="00AB4586">
        <w:t xml:space="preserve"> and approved </w:t>
      </w:r>
      <w:r w:rsidR="00F11E30" w:rsidRPr="00AB4586">
        <w:t xml:space="preserve">by </w:t>
      </w:r>
      <w:r w:rsidR="00B97356">
        <w:t>Defense Logistics Management Standards</w:t>
      </w:r>
      <w:r w:rsidR="001C34D5" w:rsidRPr="00AB4586">
        <w:t xml:space="preserve"> </w:t>
      </w:r>
      <w:r w:rsidR="00F11E30" w:rsidRPr="00AB4586">
        <w:t xml:space="preserve">and </w:t>
      </w:r>
      <w:r w:rsidR="003C1521">
        <w:t>will</w:t>
      </w:r>
      <w:r w:rsidR="00F11E30" w:rsidRPr="00AB4586">
        <w:t xml:space="preserve"> not be used by the Components without prior approval</w:t>
      </w:r>
      <w:r w:rsidR="00011DAD" w:rsidRPr="00AB4586">
        <w:t xml:space="preserve">. </w:t>
      </w:r>
      <w:r w:rsidR="00F11E30" w:rsidRPr="00AB4586">
        <w:t xml:space="preserve"> When</w:t>
      </w:r>
      <w:r w:rsidR="00011DAD" w:rsidRPr="00AB4586">
        <w:t xml:space="preserve"> </w:t>
      </w:r>
      <w:r w:rsidR="00F11E30" w:rsidRPr="00AB4586">
        <w:t xml:space="preserve">a numeric code is assigned for inter-Service use, a </w:t>
      </w:r>
      <w:r w:rsidR="00011DAD" w:rsidRPr="00AB4586">
        <w:t xml:space="preserve">Proposed Defense Logistics Management </w:t>
      </w:r>
      <w:r w:rsidR="00F50D45">
        <w:t>Standards</w:t>
      </w:r>
      <w:r w:rsidR="00011DAD" w:rsidRPr="00AB4586">
        <w:t xml:space="preserve"> (DLMS) Change (PDC) containing the required or desired implementation date </w:t>
      </w:r>
      <w:r w:rsidR="003C1521">
        <w:t>will</w:t>
      </w:r>
      <w:r w:rsidR="00F11E30" w:rsidRPr="00AB4586">
        <w:t xml:space="preserve"> be staffed with the Components.  In addition, numeric distribution codes are nonsignificant unless they are assigned by the DoD MILSTRIP Administrator for inter-Component use.</w:t>
      </w:r>
    </w:p>
    <w:p w14:paraId="7998AA65" w14:textId="28634EC4" w:rsidR="0025532F" w:rsidRPr="00AB4586" w:rsidRDefault="00EF092D" w:rsidP="00042678">
      <w:pPr>
        <w:tabs>
          <w:tab w:val="left" w:pos="540"/>
          <w:tab w:val="left" w:pos="1080"/>
        </w:tabs>
        <w:spacing w:after="240"/>
      </w:pPr>
      <w:r w:rsidRPr="00AB4586">
        <w:tab/>
      </w:r>
      <w:r w:rsidR="00D968CD">
        <w:t>AP7</w:t>
      </w:r>
      <w:r w:rsidR="00F11E30" w:rsidRPr="00AB4586">
        <w:t xml:space="preserve">.12.2.3.  Each Component coordinator listed </w:t>
      </w:r>
      <w:r w:rsidR="00011DAD" w:rsidRPr="00AB4586">
        <w:t xml:space="preserve">in </w:t>
      </w:r>
      <w:r w:rsidR="00D968CD">
        <w:t>AP7</w:t>
      </w:r>
      <w:r w:rsidR="00F11E30" w:rsidRPr="00AB4586">
        <w:t xml:space="preserve">.12.4., </w:t>
      </w:r>
      <w:r w:rsidR="003C1521">
        <w:t>will</w:t>
      </w:r>
      <w:r w:rsidR="00F11E30" w:rsidRPr="00AB4586">
        <w:t xml:space="preserve"> ensure currency in code assignments.  Additional assignments, revisions, or deletions of distribution codes, with the exception of codes used with Service Code H, </w:t>
      </w:r>
      <w:r w:rsidR="003C1521">
        <w:t>will</w:t>
      </w:r>
      <w:r w:rsidR="00F11E30" w:rsidRPr="00AB4586">
        <w:t xml:space="preserve"> be requested from the </w:t>
      </w:r>
      <w:r w:rsidR="0017280F">
        <w:rPr>
          <w:rFonts w:cs="Arial"/>
          <w:szCs w:val="24"/>
        </w:rPr>
        <w:t>DAAS</w:t>
      </w:r>
      <w:r w:rsidR="00F11E30" w:rsidRPr="00AB4586">
        <w:rPr>
          <w:rStyle w:val="FootnoteReference"/>
        </w:rPr>
        <w:footnoteReference w:id="1"/>
      </w:r>
      <w:r w:rsidR="00F11E30" w:rsidRPr="00AB4586">
        <w:t xml:space="preserve"> for update of the central file.  Requests for assignment of Service Code H distribution codes </w:t>
      </w:r>
      <w:r w:rsidR="003C1521">
        <w:t>will</w:t>
      </w:r>
      <w:r w:rsidR="00F11E30" w:rsidRPr="00AB4586">
        <w:t xml:space="preserve"> be requested from the DoD MILSTRIP Administrator by mail </w:t>
      </w:r>
      <w:r w:rsidR="001C34D5" w:rsidRPr="00AB4586">
        <w:t xml:space="preserve"> to</w:t>
      </w:r>
      <w:r w:rsidR="00487195" w:rsidRPr="00AB4586">
        <w:t xml:space="preserve"> </w:t>
      </w:r>
      <w:r w:rsidR="00B97356">
        <w:t>Defense Logistics Management Standards</w:t>
      </w:r>
      <w:r w:rsidR="001C34D5" w:rsidRPr="00AB4586">
        <w:t xml:space="preserve"> J627 Room 1650, </w:t>
      </w:r>
      <w:r w:rsidR="0025532F" w:rsidRPr="00AB4586">
        <w:t>Defense Logistics Agency J6</w:t>
      </w:r>
      <w:r w:rsidR="00042678" w:rsidRPr="00AB4586">
        <w:t>27</w:t>
      </w:r>
      <w:r w:rsidR="0025532F" w:rsidRPr="00AB4586">
        <w:t>,</w:t>
      </w:r>
      <w:r w:rsidR="001C34D5" w:rsidRPr="00AB4586">
        <w:t xml:space="preserve"> MILSTRIP </w:t>
      </w:r>
      <w:r w:rsidR="00A90DFA" w:rsidRPr="00AB4586">
        <w:t>Administrator</w:t>
      </w:r>
      <w:r w:rsidR="00487195" w:rsidRPr="00AB4586">
        <w:t xml:space="preserve">, </w:t>
      </w:r>
      <w:r w:rsidR="0025532F" w:rsidRPr="00AB4586">
        <w:t xml:space="preserve">8725 John J Kingman Road, STOP 6205, Fort Belvoir, VA 22060-6217, or by the </w:t>
      </w:r>
      <w:r w:rsidR="00B5046E">
        <w:t xml:space="preserve">Defense </w:t>
      </w:r>
      <w:r w:rsidR="00982E72">
        <w:t xml:space="preserve">Enterprise </w:t>
      </w:r>
      <w:r w:rsidR="00B5046E">
        <w:t xml:space="preserve">Data </w:t>
      </w:r>
      <w:r w:rsidR="00982E72">
        <w:t xml:space="preserve">Standards Office </w:t>
      </w:r>
      <w:r w:rsidR="0025532F" w:rsidRPr="00AB4586">
        <w:t>Website</w:t>
      </w:r>
      <w:r w:rsidR="00AB4586">
        <w:t xml:space="preserve"> </w:t>
      </w:r>
      <w:r w:rsidR="00982E72" w:rsidRPr="00982E72">
        <w:t>comment form</w:t>
      </w:r>
      <w:r w:rsidR="00B97356">
        <w:t>.</w:t>
      </w:r>
    </w:p>
    <w:p w14:paraId="7998AA66" w14:textId="3EB95476" w:rsidR="00F11E30" w:rsidRPr="00AB4586" w:rsidRDefault="00EF092D" w:rsidP="00042678">
      <w:pPr>
        <w:tabs>
          <w:tab w:val="left" w:pos="540"/>
          <w:tab w:val="left" w:pos="1080"/>
        </w:tabs>
        <w:spacing w:after="240"/>
      </w:pPr>
      <w:r w:rsidRPr="00AB4586">
        <w:tab/>
      </w:r>
      <w:r w:rsidR="00D968CD">
        <w:t>AP7</w:t>
      </w:r>
      <w:r w:rsidR="00F11E30" w:rsidRPr="00AB4586">
        <w:t xml:space="preserve">.12.2.4.  The </w:t>
      </w:r>
      <w:r w:rsidR="0017280F">
        <w:rPr>
          <w:rFonts w:cs="Arial"/>
          <w:szCs w:val="24"/>
        </w:rPr>
        <w:t>DAAS</w:t>
      </w:r>
      <w:r w:rsidR="00F11E30" w:rsidRPr="00AB4586">
        <w:t xml:space="preserve"> maintains the database of distribution codes</w:t>
      </w:r>
      <w:r w:rsidR="00F11E30" w:rsidRPr="00AB4586">
        <w:rPr>
          <w:rStyle w:val="FootnoteReference"/>
        </w:rPr>
        <w:footnoteReference w:id="2"/>
      </w:r>
      <w:r w:rsidR="00F11E30" w:rsidRPr="00AB4586">
        <w:t xml:space="preserve"> and </w:t>
      </w:r>
      <w:r w:rsidR="003C1521">
        <w:t>will</w:t>
      </w:r>
      <w:r w:rsidR="00F11E30" w:rsidRPr="00AB4586">
        <w:t xml:space="preserve"> serve as the focal point for all database revisions.  Use </w:t>
      </w:r>
      <w:hyperlink r:id="rId11" w:history="1">
        <w:r w:rsidR="000508F3">
          <w:rPr>
            <w:rStyle w:val="Hyperlink"/>
          </w:rPr>
          <w:t>https://www2.transactionservices.dla.mil/edaasinq/</w:t>
        </w:r>
      </w:hyperlink>
      <w:r w:rsidR="000508F3">
        <w:t xml:space="preserve"> </w:t>
      </w:r>
      <w:r w:rsidR="00F11E30" w:rsidRPr="00AB4586">
        <w:t>to interrogate the distribution code file.  Assigned distribution code</w:t>
      </w:r>
      <w:r w:rsidR="00A90DFA" w:rsidRPr="00AB4586">
        <w:t>s</w:t>
      </w:r>
      <w:r w:rsidR="00F11E30" w:rsidRPr="00AB4586">
        <w:t xml:space="preserve"> are listed at </w:t>
      </w:r>
      <w:hyperlink r:id="rId12" w:history="1">
        <w:r w:rsidR="000508F3">
          <w:rPr>
            <w:rStyle w:val="Hyperlink"/>
          </w:rPr>
          <w:t>https://www2.transactionservices.dla.mil/eDoDAAD_asearch/download_dodaaf.asp</w:t>
        </w:r>
      </w:hyperlink>
      <w:r w:rsidR="00E04983" w:rsidRPr="00AB4586">
        <w:rPr>
          <w:rStyle w:val="FootnoteReference"/>
        </w:rPr>
        <w:footnoteReference w:id="3"/>
      </w:r>
      <w:r w:rsidR="00F11E30" w:rsidRPr="00AB4586">
        <w:t xml:space="preserve">.  Select ‘MILSTRIP Distribution Codes’ from the drop-down menu box.  </w:t>
      </w:r>
      <w:r w:rsidR="00867D51">
        <w:t>The</w:t>
      </w:r>
      <w:r w:rsidR="00F11E30" w:rsidRPr="00AB4586">
        <w:t xml:space="preserve"> report displays the ‘as</w:t>
      </w:r>
      <w:r w:rsidR="00E04983" w:rsidRPr="00AB4586">
        <w:t xml:space="preserve"> of’ date for the codes listed.</w:t>
      </w:r>
    </w:p>
    <w:p w14:paraId="7998AA67" w14:textId="3D4203BA" w:rsidR="00F11E30" w:rsidRPr="00AB4586" w:rsidRDefault="00D968CD" w:rsidP="00042678">
      <w:pPr>
        <w:tabs>
          <w:tab w:val="left" w:pos="540"/>
          <w:tab w:val="left" w:pos="1080"/>
        </w:tabs>
        <w:spacing w:after="240"/>
      </w:pPr>
      <w:r>
        <w:t>AP7</w:t>
      </w:r>
      <w:r w:rsidR="00F11E30" w:rsidRPr="00AB4586">
        <w:t xml:space="preserve">.12.3.  </w:t>
      </w:r>
      <w:r w:rsidR="00F11E30" w:rsidRPr="00AB4586">
        <w:rPr>
          <w:u w:val="single"/>
        </w:rPr>
        <w:t>Numeric Distribution Codes</w:t>
      </w:r>
      <w:r w:rsidR="00F11E30" w:rsidRPr="00AB4586">
        <w:t xml:space="preserve">. </w:t>
      </w:r>
      <w:r w:rsidR="00042678" w:rsidRPr="00AB4586">
        <w:t xml:space="preserve"> </w:t>
      </w:r>
      <w:r w:rsidR="00F11E30" w:rsidRPr="00AB4586">
        <w:t>Current use of numeric distribution codes are as follows:</w:t>
      </w:r>
    </w:p>
    <w:tbl>
      <w:tblPr>
        <w:tblW w:w="945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8370"/>
      </w:tblGrid>
      <w:tr w:rsidR="00F11E30" w:rsidRPr="00AB4586" w14:paraId="7998AA6A" w14:textId="77777777" w:rsidTr="00042678">
        <w:trPr>
          <w:cantSplit/>
          <w:tblHeader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68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rPr>
                <w:bCs/>
              </w:rPr>
              <w:t>CODE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69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rPr>
                <w:bCs/>
              </w:rPr>
              <w:t>USE</w:t>
            </w:r>
          </w:p>
        </w:tc>
      </w:tr>
      <w:tr w:rsidR="00F11E30" w:rsidRPr="00AB4586" w14:paraId="7998AA6D" w14:textId="77777777" w:rsidTr="00042678">
        <w:trPr>
          <w:cantSplit/>
          <w:trHeight w:val="403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6B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1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6C" w14:textId="553949B8" w:rsidR="00F11E30" w:rsidRPr="00AB4586" w:rsidRDefault="009F3C0B" w:rsidP="00A90DFA">
            <w:pPr>
              <w:spacing w:before="60" w:after="60"/>
              <w:rPr>
                <w:rFonts w:cs="Arial"/>
              </w:rPr>
            </w:pPr>
            <w:r w:rsidRPr="00AB4586">
              <w:t>Reserved for assignment by the DoD MILSTRIP System Administrator.</w:t>
            </w:r>
          </w:p>
        </w:tc>
      </w:tr>
      <w:tr w:rsidR="00F11E30" w:rsidRPr="00AB4586" w14:paraId="7998AA70" w14:textId="77777777" w:rsidTr="00042678">
        <w:trPr>
          <w:cantSplit/>
          <w:trHeight w:val="403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6E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2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6F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For use by IMMs to identify transactions associated with lateral redistribution of DoD consumable assets</w:t>
            </w:r>
          </w:p>
        </w:tc>
      </w:tr>
      <w:tr w:rsidR="00F11E30" w:rsidRPr="00AB4586" w14:paraId="7998AA73" w14:textId="77777777" w:rsidTr="00042678">
        <w:trPr>
          <w:cantSplit/>
          <w:trHeight w:val="403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71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3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72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For use by IMMs to identify transactions associated with lateral redistribution of DoD reparable assets</w:t>
            </w:r>
          </w:p>
        </w:tc>
      </w:tr>
      <w:tr w:rsidR="00F11E30" w:rsidRPr="00AB4586" w14:paraId="7998AA76" w14:textId="77777777" w:rsidTr="00042678">
        <w:trPr>
          <w:cantSplit/>
          <w:trHeight w:val="403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74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4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75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Use for DoD EMALL requisitions</w:t>
            </w:r>
          </w:p>
        </w:tc>
      </w:tr>
      <w:tr w:rsidR="00F11E30" w:rsidRPr="00AB4586" w14:paraId="7998AA79" w14:textId="77777777" w:rsidTr="00042678">
        <w:trPr>
          <w:cantSplit/>
          <w:trHeight w:val="403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77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lastRenderedPageBreak/>
              <w:t>5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78" w14:textId="33E640FA" w:rsidR="00F11E30" w:rsidRPr="00AB4586" w:rsidRDefault="00B11FF7" w:rsidP="00EF092D">
            <w:pPr>
              <w:spacing w:before="60" w:after="60"/>
              <w:rPr>
                <w:rFonts w:cs="Arial"/>
              </w:rPr>
            </w:pPr>
            <w:r w:rsidRPr="00AB4586">
              <w:t>Inter-Component use with Service/Agency Code N to identify a DLA DoDAAC to receive supply and shipment status and materiel obligation validation (MOV) for DLA-funded Navy requisitions to other Services under industrial activity support agreement.</w:t>
            </w:r>
          </w:p>
        </w:tc>
      </w:tr>
      <w:tr w:rsidR="00F11E30" w:rsidRPr="00AB4586" w14:paraId="7998AA7C" w14:textId="77777777" w:rsidTr="00042678">
        <w:trPr>
          <w:cantSplit/>
          <w:trHeight w:val="403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7A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6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7B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Inter-Component use with the Navy Service Codes N, V, and R</w:t>
            </w:r>
          </w:p>
        </w:tc>
      </w:tr>
      <w:tr w:rsidR="00F11E30" w:rsidRPr="00AB4586" w14:paraId="7998AA7F" w14:textId="77777777" w:rsidTr="00042678">
        <w:trPr>
          <w:cantSplit/>
          <w:trHeight w:val="403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7D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7 and 8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7E" w14:textId="77777777" w:rsidR="00F11E30" w:rsidRPr="00AB4586" w:rsidRDefault="00F11E30" w:rsidP="00EF092D">
            <w:pPr>
              <w:spacing w:before="60" w:after="60"/>
              <w:rPr>
                <w:rFonts w:cs="Arial"/>
              </w:rPr>
            </w:pPr>
            <w:r w:rsidRPr="00AB4586">
              <w:t>Inter-Component use with the transmission of MOV requests</w:t>
            </w:r>
          </w:p>
        </w:tc>
      </w:tr>
      <w:tr w:rsidR="00F11E30" w:rsidRPr="00AB4586" w14:paraId="7998AA84" w14:textId="77777777" w:rsidTr="00042678">
        <w:trPr>
          <w:cantSplit/>
          <w:trHeight w:val="403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80" w14:textId="77777777" w:rsidR="00F11E30" w:rsidRPr="00AB4586" w:rsidRDefault="00F11E30" w:rsidP="00EF092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AB4586">
              <w:rPr>
                <w:szCs w:val="24"/>
              </w:rPr>
              <w:t>9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81" w14:textId="15DB16E6" w:rsidR="00F11E30" w:rsidRPr="00AB4586" w:rsidRDefault="0054609B" w:rsidP="00EF092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  <w:r w:rsidRPr="00AB4586">
              <w:rPr>
                <w:szCs w:val="24"/>
              </w:rPr>
              <w:t xml:space="preserve">DLA Disposition Services </w:t>
            </w:r>
          </w:p>
          <w:p w14:paraId="7998AA82" w14:textId="77777777" w:rsidR="00F11E30" w:rsidRPr="00AB4586" w:rsidRDefault="00F11E30" w:rsidP="00EF092D">
            <w:pPr>
              <w:spacing w:before="60" w:after="60"/>
              <w:rPr>
                <w:szCs w:val="24"/>
              </w:rPr>
            </w:pPr>
            <w:r w:rsidRPr="00AB4586">
              <w:rPr>
                <w:szCs w:val="24"/>
              </w:rPr>
              <w:t>Federal Center</w:t>
            </w:r>
          </w:p>
          <w:p w14:paraId="7998AA83" w14:textId="77777777" w:rsidR="00F11E30" w:rsidRPr="00AB4586" w:rsidRDefault="00F11E30" w:rsidP="00EF092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AB4586">
              <w:rPr>
                <w:szCs w:val="24"/>
              </w:rPr>
              <w:t>Battle Creek MI</w:t>
            </w:r>
            <w:r w:rsidR="00E04983" w:rsidRPr="00AB4586">
              <w:rPr>
                <w:szCs w:val="24"/>
              </w:rPr>
              <w:t xml:space="preserve">  </w:t>
            </w:r>
            <w:r w:rsidRPr="00AB4586">
              <w:rPr>
                <w:szCs w:val="24"/>
              </w:rPr>
              <w:t>49016-3412</w:t>
            </w:r>
          </w:p>
        </w:tc>
      </w:tr>
      <w:tr w:rsidR="009F3C0B" w:rsidRPr="00AB4586" w14:paraId="7998AA87" w14:textId="77777777" w:rsidTr="00042678">
        <w:trPr>
          <w:cantSplit/>
          <w:trHeight w:val="403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998AA85" w14:textId="77777777" w:rsidR="009F3C0B" w:rsidRPr="00AB4586" w:rsidRDefault="009F3C0B" w:rsidP="00EF092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  <w:r w:rsidRPr="00AB4586">
              <w:rPr>
                <w:szCs w:val="24"/>
              </w:rPr>
              <w:t>111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7998AA86" w14:textId="245EBC84" w:rsidR="009F3C0B" w:rsidRPr="00AB4586" w:rsidRDefault="009F3C0B" w:rsidP="00A90DFA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szCs w:val="24"/>
              </w:rPr>
            </w:pPr>
            <w:r w:rsidRPr="00AB4586">
              <w:t>Inter-Component use for Retail Transportation and Supply Receipt and Acknowledgement Interchange (See D</w:t>
            </w:r>
            <w:r w:rsidR="003D2945" w:rsidRPr="00AB4586">
              <w:t>LM</w:t>
            </w:r>
            <w:r w:rsidRPr="00AB4586">
              <w:t xml:space="preserve"> 4000.25, Volume 3, Chapter 2)</w:t>
            </w:r>
          </w:p>
        </w:tc>
      </w:tr>
    </w:tbl>
    <w:p w14:paraId="7998AA88" w14:textId="77777777" w:rsidR="00E86B43" w:rsidRPr="00AB4586" w:rsidRDefault="00E86B43" w:rsidP="00F11E30"/>
    <w:p w14:paraId="297E5604" w14:textId="658EB09B" w:rsidR="005C2730" w:rsidRPr="00AB4586" w:rsidRDefault="00D968CD" w:rsidP="006344C7">
      <w:r>
        <w:t>AP7</w:t>
      </w:r>
      <w:r w:rsidR="00F11E30" w:rsidRPr="00AB4586">
        <w:t xml:space="preserve">.12.4.  </w:t>
      </w:r>
      <w:r w:rsidR="00E86B43" w:rsidRPr="00AB4586">
        <w:t xml:space="preserve">Component Coordinators.  </w:t>
      </w:r>
      <w:r w:rsidR="003D2945" w:rsidRPr="00AB4586">
        <w:t xml:space="preserve">DoD </w:t>
      </w:r>
      <w:r w:rsidR="00E86B43" w:rsidRPr="00AB4586">
        <w:t xml:space="preserve">Component coordinators </w:t>
      </w:r>
      <w:r w:rsidR="007B4445" w:rsidRPr="00AB4586">
        <w:t xml:space="preserve">are </w:t>
      </w:r>
      <w:r w:rsidR="00E86B43" w:rsidRPr="00AB4586">
        <w:t>established for S/A assignment of distrib</w:t>
      </w:r>
      <w:r w:rsidR="00841FB0" w:rsidRPr="00AB4586">
        <w:t>ution codes</w:t>
      </w:r>
      <w:r w:rsidR="007B4445" w:rsidRPr="00AB4586">
        <w:t>.</w:t>
      </w:r>
      <w:r w:rsidR="005C2730" w:rsidRPr="00AB4586">
        <w:t xml:space="preserve">  See the </w:t>
      </w:r>
      <w:r w:rsidR="00692B69">
        <w:t xml:space="preserve">Defense Enterprise Data </w:t>
      </w:r>
      <w:r w:rsidR="003C1521">
        <w:t>Standards Office (</w:t>
      </w:r>
      <w:r w:rsidR="00692B69">
        <w:t>D</w:t>
      </w:r>
      <w:r w:rsidR="003C1521">
        <w:t>E</w:t>
      </w:r>
      <w:r w:rsidR="00692B69">
        <w:t>D</w:t>
      </w:r>
      <w:r w:rsidR="003C1521">
        <w:t>SO) Webs</w:t>
      </w:r>
      <w:r w:rsidR="00692B69">
        <w:t>i</w:t>
      </w:r>
      <w:r w:rsidR="003C1521">
        <w:t>te</w:t>
      </w:r>
    </w:p>
    <w:p w14:paraId="4934F30B" w14:textId="7A679D96" w:rsidR="00AB4586" w:rsidRPr="00AB4586" w:rsidRDefault="00F50D45" w:rsidP="00692B69">
      <w:hyperlink r:id="rId13" w:history="1">
        <w:r w:rsidR="00692B69" w:rsidRPr="00F10B8C">
          <w:rPr>
            <w:rStyle w:val="Hyperlink"/>
          </w:rPr>
          <w:t>https://www.dla.mil/Defense-Data-Standards/Committees/Contacts/</w:t>
        </w:r>
      </w:hyperlink>
      <w:r w:rsidR="00692B69">
        <w:t xml:space="preserve"> </w:t>
      </w:r>
    </w:p>
    <w:sectPr w:rsidR="00AB4586" w:rsidRPr="00AB4586" w:rsidSect="009F4F8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AA8C" w14:textId="77777777" w:rsidR="00982E72" w:rsidRDefault="00982E72">
      <w:r>
        <w:separator/>
      </w:r>
    </w:p>
  </w:endnote>
  <w:endnote w:type="continuationSeparator" w:id="0">
    <w:p w14:paraId="7998AA8D" w14:textId="77777777" w:rsidR="00982E72" w:rsidRDefault="0098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AA90" w14:textId="3FEB12C6" w:rsidR="00982E72" w:rsidRDefault="00982E72" w:rsidP="00982E72">
    <w:pPr>
      <w:pStyle w:val="Footer"/>
      <w:jc w:val="center"/>
    </w:pPr>
    <w:r>
      <w:t>AP7.12-</w:t>
    </w:r>
    <w:r>
      <w:fldChar w:fldCharType="begin"/>
    </w:r>
    <w:r>
      <w:instrText xml:space="preserve"> PAGE   \* MERGEFORMAT </w:instrText>
    </w:r>
    <w:r>
      <w:fldChar w:fldCharType="separate"/>
    </w:r>
    <w:r w:rsidR="00C33287">
      <w:rPr>
        <w:noProof/>
      </w:rPr>
      <w:t>1</w:t>
    </w:r>
    <w:r>
      <w:rPr>
        <w:noProof/>
      </w:rPr>
      <w:fldChar w:fldCharType="end"/>
    </w:r>
    <w:r>
      <w:tab/>
      <w:t>APPENDIX 7.12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AA8A" w14:textId="77777777" w:rsidR="00982E72" w:rsidRDefault="00982E72">
      <w:r>
        <w:separator/>
      </w:r>
    </w:p>
  </w:footnote>
  <w:footnote w:type="continuationSeparator" w:id="0">
    <w:p w14:paraId="7998AA8B" w14:textId="77777777" w:rsidR="00982E72" w:rsidRDefault="00982E72">
      <w:r>
        <w:continuationSeparator/>
      </w:r>
    </w:p>
  </w:footnote>
  <w:footnote w:id="1">
    <w:p w14:paraId="569F2716" w14:textId="01D8E80E" w:rsidR="00982E72" w:rsidRPr="00AB4586" w:rsidRDefault="00982E72" w:rsidP="00F11E30">
      <w:pPr>
        <w:pStyle w:val="FootnoteText"/>
        <w:spacing w:before="40" w:after="40"/>
        <w:rPr>
          <w:sz w:val="16"/>
          <w:szCs w:val="16"/>
        </w:rPr>
      </w:pPr>
      <w:r w:rsidRPr="00AB4586">
        <w:rPr>
          <w:rStyle w:val="FootnoteReference"/>
        </w:rPr>
        <w:footnoteRef/>
      </w:r>
      <w:r w:rsidRPr="00AB4586">
        <w:t xml:space="preserve"> </w:t>
      </w:r>
      <w:r>
        <w:t>DAAS</w:t>
      </w:r>
      <w:r w:rsidRPr="00AB4586">
        <w:t xml:space="preserve"> requires a user authorization to obtain information from their website.  If you do not currently have approved access to DAAS (user id and password), please complete a request for access by going to the following </w:t>
      </w:r>
      <w:r>
        <w:t>DAAS</w:t>
      </w:r>
      <w:r w:rsidRPr="00AB4586">
        <w:t xml:space="preserve"> website:  </w:t>
      </w:r>
      <w:hyperlink r:id="rId1" w:history="1">
        <w:r w:rsidRPr="005C7777">
          <w:rPr>
            <w:rStyle w:val="Hyperlink"/>
          </w:rPr>
          <w:t>https://www.transactionservices.dla.mil/sar/warning.asp</w:t>
        </w:r>
      </w:hyperlink>
    </w:p>
  </w:footnote>
  <w:footnote w:id="2">
    <w:p w14:paraId="7998AA92" w14:textId="249CE370" w:rsidR="00982E72" w:rsidRPr="00AB4586" w:rsidRDefault="00982E72" w:rsidP="00F11E30">
      <w:pPr>
        <w:pStyle w:val="FootnoteText"/>
        <w:spacing w:before="40" w:after="40"/>
      </w:pPr>
      <w:r w:rsidRPr="00AB4586">
        <w:rPr>
          <w:rStyle w:val="FootnoteReference"/>
        </w:rPr>
        <w:footnoteRef/>
      </w:r>
      <w:r w:rsidRPr="00AB4586">
        <w:t xml:space="preserve"> Ibid.</w:t>
      </w:r>
    </w:p>
  </w:footnote>
  <w:footnote w:id="3">
    <w:p w14:paraId="7998AA93" w14:textId="31CE0F7D" w:rsidR="00982E72" w:rsidRPr="006E039D" w:rsidRDefault="00982E72">
      <w:pPr>
        <w:pStyle w:val="FootnoteText"/>
      </w:pPr>
      <w:r w:rsidRPr="00AB4586">
        <w:rPr>
          <w:rStyle w:val="FootnoteReference"/>
        </w:rPr>
        <w:footnoteRef/>
      </w:r>
      <w:r w:rsidRPr="00AB4586">
        <w:t xml:space="preserve"> Ibid.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DDCAE" w14:textId="3A3DE7EB" w:rsidR="00982E72" w:rsidRDefault="00982E72" w:rsidP="00D968CD">
    <w:pPr>
      <w:tabs>
        <w:tab w:val="center" w:pos="4320"/>
        <w:tab w:val="right" w:pos="8640"/>
      </w:tabs>
      <w:autoSpaceDN w:val="0"/>
      <w:jc w:val="right"/>
      <w:rPr>
        <w:i/>
        <w:iCs/>
      </w:rPr>
    </w:pPr>
    <w:r>
      <w:rPr>
        <w:i/>
        <w:iCs/>
      </w:rPr>
      <w:t xml:space="preserve">DLM 4000.25, Volume 2, </w:t>
    </w:r>
    <w:r w:rsidR="00C33287">
      <w:rPr>
        <w:i/>
      </w:rPr>
      <w:t>November 26</w:t>
    </w:r>
    <w:r>
      <w:rPr>
        <w:i/>
        <w:iCs/>
      </w:rPr>
      <w:t>, 2019</w:t>
    </w:r>
  </w:p>
  <w:p w14:paraId="7998AA8E" w14:textId="1D47D6E1" w:rsidR="00982E72" w:rsidRPr="00982E72" w:rsidRDefault="00982E72" w:rsidP="00D968CD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982E72">
      <w:rPr>
        <w:i/>
        <w:iCs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61FA17D2"/>
    <w:lvl w:ilvl="0">
      <w:start w:val="34"/>
      <w:numFmt w:val="none"/>
      <w:pStyle w:val="Heading1"/>
      <w:suff w:val="nothing"/>
      <w:lvlText w:val="AP2.12 APPENDIX 2.1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2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2.%3.%4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F66739"/>
    <w:multiLevelType w:val="multilevel"/>
    <w:tmpl w:val="8AC8AE90"/>
    <w:lvl w:ilvl="0">
      <w:start w:val="34"/>
      <w:numFmt w:val="none"/>
      <w:suff w:val="nothing"/>
      <w:lvlText w:val="AP2.12 APPENDIX 2.1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2.%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2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0" w15:restartNumberingAfterBreak="0">
    <w:nsid w:val="1CD84608"/>
    <w:multiLevelType w:val="multilevel"/>
    <w:tmpl w:val="EEA6D8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24ED43D6"/>
    <w:multiLevelType w:val="multilevel"/>
    <w:tmpl w:val="0406D690"/>
    <w:lvl w:ilvl="0">
      <w:start w:val="34"/>
      <w:numFmt w:val="none"/>
      <w:suff w:val="nothing"/>
      <w:lvlText w:val="AP2.12 APPENDIX 2.1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suff w:val="nothing"/>
      <w:lvlText w:val="AP2.1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suff w:val="nothing"/>
      <w:lvlText w:val="AP2%1.12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suff w:val="nothing"/>
      <w:lvlText w:val="AP2%1.12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2%1.1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suff w:val="nothing"/>
      <w:lvlText w:val="AP2%1.1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2%1.1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suff w:val="nothing"/>
      <w:lvlText w:val="AP2%1.1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suff w:val="nothing"/>
      <w:lvlText w:val="AP2%1.1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2F6D3646"/>
    <w:multiLevelType w:val="multilevel"/>
    <w:tmpl w:val="EEA6D8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43EA2B84"/>
    <w:multiLevelType w:val="multilevel"/>
    <w:tmpl w:val="EEA6D8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6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7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8" w15:restartNumberingAfterBreak="0">
    <w:nsid w:val="71C31AFC"/>
    <w:multiLevelType w:val="multilevel"/>
    <w:tmpl w:val="EEA6D8A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9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 w16cid:durableId="291518573">
    <w:abstractNumId w:val="6"/>
  </w:num>
  <w:num w:numId="2" w16cid:durableId="1806847990">
    <w:abstractNumId w:val="8"/>
  </w:num>
  <w:num w:numId="3" w16cid:durableId="884566551">
    <w:abstractNumId w:val="5"/>
  </w:num>
  <w:num w:numId="4" w16cid:durableId="1438061129">
    <w:abstractNumId w:val="3"/>
  </w:num>
  <w:num w:numId="5" w16cid:durableId="1077940551">
    <w:abstractNumId w:val="2"/>
  </w:num>
  <w:num w:numId="6" w16cid:durableId="1985621240">
    <w:abstractNumId w:val="4"/>
  </w:num>
  <w:num w:numId="7" w16cid:durableId="1427922125">
    <w:abstractNumId w:val="1"/>
  </w:num>
  <w:num w:numId="8" w16cid:durableId="757411363">
    <w:abstractNumId w:val="0"/>
  </w:num>
  <w:num w:numId="9" w16cid:durableId="213733143">
    <w:abstractNumId w:val="13"/>
  </w:num>
  <w:num w:numId="10" w16cid:durableId="1350326377">
    <w:abstractNumId w:val="15"/>
  </w:num>
  <w:num w:numId="11" w16cid:durableId="695470015">
    <w:abstractNumId w:val="16"/>
  </w:num>
  <w:num w:numId="12" w16cid:durableId="420025632">
    <w:abstractNumId w:val="19"/>
  </w:num>
  <w:num w:numId="13" w16cid:durableId="1555659708">
    <w:abstractNumId w:val="17"/>
  </w:num>
  <w:num w:numId="14" w16cid:durableId="1423987626">
    <w:abstractNumId w:val="7"/>
  </w:num>
  <w:num w:numId="15" w16cid:durableId="595335130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921990">
    <w:abstractNumId w:val="18"/>
  </w:num>
  <w:num w:numId="17" w16cid:durableId="1489901622">
    <w:abstractNumId w:val="12"/>
  </w:num>
  <w:num w:numId="18" w16cid:durableId="958684751">
    <w:abstractNumId w:val="14"/>
  </w:num>
  <w:num w:numId="19" w16cid:durableId="1223372749">
    <w:abstractNumId w:val="10"/>
  </w:num>
  <w:num w:numId="20" w16cid:durableId="1312640000">
    <w:abstractNumId w:val="11"/>
  </w:num>
  <w:num w:numId="21" w16cid:durableId="52311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hideSpellingError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794B"/>
    <w:rsid w:val="00011DAD"/>
    <w:rsid w:val="00042678"/>
    <w:rsid w:val="000508F3"/>
    <w:rsid w:val="000567EF"/>
    <w:rsid w:val="000658EC"/>
    <w:rsid w:val="000875FA"/>
    <w:rsid w:val="000C0B82"/>
    <w:rsid w:val="001440D4"/>
    <w:rsid w:val="0017280F"/>
    <w:rsid w:val="00180341"/>
    <w:rsid w:val="001935A2"/>
    <w:rsid w:val="001A5804"/>
    <w:rsid w:val="001B3D54"/>
    <w:rsid w:val="001C34D5"/>
    <w:rsid w:val="00204EDA"/>
    <w:rsid w:val="0025532F"/>
    <w:rsid w:val="002B5DD1"/>
    <w:rsid w:val="00306DDA"/>
    <w:rsid w:val="0031509C"/>
    <w:rsid w:val="003172FB"/>
    <w:rsid w:val="003543CC"/>
    <w:rsid w:val="00371489"/>
    <w:rsid w:val="00373DB9"/>
    <w:rsid w:val="003A0055"/>
    <w:rsid w:val="003C1521"/>
    <w:rsid w:val="003D2945"/>
    <w:rsid w:val="003E41B7"/>
    <w:rsid w:val="00401AC6"/>
    <w:rsid w:val="00487195"/>
    <w:rsid w:val="004D194E"/>
    <w:rsid w:val="004E266C"/>
    <w:rsid w:val="004F27C2"/>
    <w:rsid w:val="0054609B"/>
    <w:rsid w:val="0056455F"/>
    <w:rsid w:val="00583885"/>
    <w:rsid w:val="005869D7"/>
    <w:rsid w:val="005C2730"/>
    <w:rsid w:val="005C2E9B"/>
    <w:rsid w:val="006344C7"/>
    <w:rsid w:val="00690702"/>
    <w:rsid w:val="00692B69"/>
    <w:rsid w:val="00693A73"/>
    <w:rsid w:val="006E039D"/>
    <w:rsid w:val="007131A2"/>
    <w:rsid w:val="00753CD6"/>
    <w:rsid w:val="00774936"/>
    <w:rsid w:val="007846D3"/>
    <w:rsid w:val="007B4445"/>
    <w:rsid w:val="007D7504"/>
    <w:rsid w:val="00800049"/>
    <w:rsid w:val="008142ED"/>
    <w:rsid w:val="00841FB0"/>
    <w:rsid w:val="00863331"/>
    <w:rsid w:val="008636D3"/>
    <w:rsid w:val="00867D51"/>
    <w:rsid w:val="00872EDE"/>
    <w:rsid w:val="00882633"/>
    <w:rsid w:val="0092568F"/>
    <w:rsid w:val="00933886"/>
    <w:rsid w:val="00962E56"/>
    <w:rsid w:val="00982E72"/>
    <w:rsid w:val="009A2EC8"/>
    <w:rsid w:val="009C55B1"/>
    <w:rsid w:val="009F3B56"/>
    <w:rsid w:val="009F3C0B"/>
    <w:rsid w:val="009F4F8E"/>
    <w:rsid w:val="00A437F4"/>
    <w:rsid w:val="00A90DFA"/>
    <w:rsid w:val="00A915BC"/>
    <w:rsid w:val="00A92CFA"/>
    <w:rsid w:val="00AB4586"/>
    <w:rsid w:val="00AD2C13"/>
    <w:rsid w:val="00B04833"/>
    <w:rsid w:val="00B11FF7"/>
    <w:rsid w:val="00B5046E"/>
    <w:rsid w:val="00B62316"/>
    <w:rsid w:val="00B97356"/>
    <w:rsid w:val="00BE7E5F"/>
    <w:rsid w:val="00BF31FC"/>
    <w:rsid w:val="00BF46AA"/>
    <w:rsid w:val="00C33287"/>
    <w:rsid w:val="00C50B9D"/>
    <w:rsid w:val="00C8445D"/>
    <w:rsid w:val="00CA1BAC"/>
    <w:rsid w:val="00CB5AD7"/>
    <w:rsid w:val="00CD7818"/>
    <w:rsid w:val="00CE25C8"/>
    <w:rsid w:val="00D02286"/>
    <w:rsid w:val="00D113DB"/>
    <w:rsid w:val="00D15F1C"/>
    <w:rsid w:val="00D2466B"/>
    <w:rsid w:val="00D25188"/>
    <w:rsid w:val="00D2794B"/>
    <w:rsid w:val="00D968CD"/>
    <w:rsid w:val="00E04983"/>
    <w:rsid w:val="00E73448"/>
    <w:rsid w:val="00E806FA"/>
    <w:rsid w:val="00E82DEA"/>
    <w:rsid w:val="00E84561"/>
    <w:rsid w:val="00E86B43"/>
    <w:rsid w:val="00EE498C"/>
    <w:rsid w:val="00EF092D"/>
    <w:rsid w:val="00F11E30"/>
    <w:rsid w:val="00F50D45"/>
    <w:rsid w:val="00F64CE7"/>
    <w:rsid w:val="00F8019A"/>
    <w:rsid w:val="00F87F7E"/>
    <w:rsid w:val="00FA44F7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4:docId w14:val="7998AA49"/>
  <w15:docId w15:val="{5FE77611-026F-4D93-B2F0-92D22295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6FA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E806FA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E806FA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E806FA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E806FA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E806FA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E806FA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E806FA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E806FA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E806FA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E806FA"/>
    <w:rPr>
      <w:vertAlign w:val="superscript"/>
    </w:rPr>
  </w:style>
  <w:style w:type="character" w:styleId="FootnoteReference">
    <w:name w:val="footnote reference"/>
    <w:semiHidden/>
    <w:rsid w:val="00E806FA"/>
    <w:rPr>
      <w:vertAlign w:val="superscript"/>
    </w:rPr>
  </w:style>
  <w:style w:type="character" w:styleId="PageNumber">
    <w:name w:val="page number"/>
    <w:rsid w:val="00E806FA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E806F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806FA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E806FA"/>
    <w:rPr>
      <w:sz w:val="20"/>
    </w:rPr>
  </w:style>
  <w:style w:type="paragraph" w:customStyle="1" w:styleId="SubTitle">
    <w:name w:val="Sub Title"/>
    <w:basedOn w:val="Title"/>
    <w:rsid w:val="00E806FA"/>
    <w:rPr>
      <w:u w:val="single"/>
    </w:rPr>
  </w:style>
  <w:style w:type="paragraph" w:styleId="Title">
    <w:name w:val="Title"/>
    <w:basedOn w:val="Normal"/>
    <w:next w:val="Header"/>
    <w:qFormat/>
    <w:rsid w:val="00E806FA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E806FA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E806FA"/>
    <w:pPr>
      <w:spacing w:after="160"/>
      <w:ind w:left="1440"/>
    </w:pPr>
  </w:style>
  <w:style w:type="paragraph" w:styleId="BodyText">
    <w:name w:val="Body Text"/>
    <w:basedOn w:val="Normal"/>
    <w:rsid w:val="00E806FA"/>
    <w:pPr>
      <w:spacing w:after="120"/>
    </w:pPr>
  </w:style>
  <w:style w:type="paragraph" w:styleId="ListBullet">
    <w:name w:val="List Bullet"/>
    <w:basedOn w:val="Normal"/>
    <w:rsid w:val="00E806FA"/>
    <w:pPr>
      <w:spacing w:after="120"/>
      <w:ind w:left="360" w:hanging="360"/>
    </w:pPr>
  </w:style>
  <w:style w:type="paragraph" w:styleId="ListBullet2">
    <w:name w:val="List Bullet 2"/>
    <w:basedOn w:val="Normal"/>
    <w:rsid w:val="00E806FA"/>
    <w:pPr>
      <w:ind w:left="720" w:hanging="360"/>
    </w:pPr>
  </w:style>
  <w:style w:type="paragraph" w:styleId="ListBullet3">
    <w:name w:val="List Bullet 3"/>
    <w:basedOn w:val="Normal"/>
    <w:rsid w:val="00E806FA"/>
    <w:pPr>
      <w:ind w:left="1080" w:hanging="360"/>
    </w:pPr>
  </w:style>
  <w:style w:type="paragraph" w:styleId="ListNumber">
    <w:name w:val="List Number"/>
    <w:basedOn w:val="Normal"/>
    <w:rsid w:val="00E806FA"/>
    <w:pPr>
      <w:ind w:left="360" w:hanging="360"/>
    </w:pPr>
  </w:style>
  <w:style w:type="paragraph" w:styleId="ListNumber2">
    <w:name w:val="List Number 2"/>
    <w:basedOn w:val="Normal"/>
    <w:rsid w:val="00E806FA"/>
    <w:pPr>
      <w:ind w:left="720" w:hanging="360"/>
    </w:pPr>
  </w:style>
  <w:style w:type="paragraph" w:styleId="ListNumber3">
    <w:name w:val="List Number 3"/>
    <w:basedOn w:val="Normal"/>
    <w:rsid w:val="00E806FA"/>
    <w:pPr>
      <w:ind w:left="1080" w:hanging="360"/>
    </w:pPr>
  </w:style>
  <w:style w:type="paragraph" w:styleId="DocumentMap">
    <w:name w:val="Document Map"/>
    <w:basedOn w:val="Normal"/>
    <w:semiHidden/>
    <w:rsid w:val="00E806FA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E806FA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E806F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E806F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sid w:val="00E806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806FA"/>
    <w:rPr>
      <w:sz w:val="20"/>
    </w:rPr>
  </w:style>
  <w:style w:type="character" w:styleId="Hyperlink">
    <w:name w:val="Hyperlink"/>
    <w:rsid w:val="00E806FA"/>
    <w:rPr>
      <w:color w:val="0000FF"/>
      <w:u w:val="single"/>
    </w:rPr>
  </w:style>
  <w:style w:type="character" w:styleId="FollowedHyperlink">
    <w:name w:val="FollowedHyperlink"/>
    <w:rsid w:val="00E806FA"/>
    <w:rPr>
      <w:color w:val="800080"/>
      <w:u w:val="single"/>
    </w:rPr>
  </w:style>
  <w:style w:type="paragraph" w:styleId="BalloonText">
    <w:name w:val="Balloon Text"/>
    <w:basedOn w:val="Normal"/>
    <w:semiHidden/>
    <w:rsid w:val="00306DD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E25C8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011DAD"/>
    <w:rPr>
      <w:b/>
      <w:bCs/>
    </w:rPr>
  </w:style>
  <w:style w:type="character" w:customStyle="1" w:styleId="CommentTextChar">
    <w:name w:val="Comment Text Char"/>
    <w:link w:val="CommentText"/>
    <w:semiHidden/>
    <w:rsid w:val="00011DAD"/>
    <w:rPr>
      <w:rFonts w:ascii="Arial" w:hAnsi="Arial"/>
    </w:rPr>
  </w:style>
  <w:style w:type="character" w:customStyle="1" w:styleId="CommentSubjectChar">
    <w:name w:val="Comment Subject Char"/>
    <w:link w:val="CommentSubject"/>
    <w:rsid w:val="00011DA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11DAD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la.mil/Defense-Data-Standards/Committees/Contac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transactionservices.dla.mil/eDoDAAD_asearch/download_dodaaf.a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transactionservices.dla.mil/edaasinq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actionservices.dla.mil/sar/warning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C196F-5505-40BA-BF30-6E4BA91C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b14b1-392f-4d39-a1e6-499c1f95e431"/>
    <ds:schemaRef ds:uri="20c6e9ec-10ab-44a3-a789-2f95b600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3A4075-C67B-47CC-8D47-CF2DE2FAE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41351E-2E16-4D58-9C8F-0668D8F7B701}">
  <ds:schemaRefs>
    <ds:schemaRef ds:uri="http://purl.org/dc/terms/"/>
    <ds:schemaRef ds:uri="170b14b1-392f-4d39-a1e6-499c1f95e431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20c6e9ec-10ab-44a3-a789-2f95b60010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430819-CCF5-43F8-85ED-569E588C2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7.12 - Distribution Codes</vt:lpstr>
    </vt:vector>
  </TitlesOfParts>
  <Company>DLA Logistics Managment Standards Office </Company>
  <LinksUpToDate>false</LinksUpToDate>
  <CharactersWithSpaces>5406</CharactersWithSpaces>
  <SharedDoc>false</SharedDoc>
  <HLinks>
    <vt:vector size="24" baseType="variant"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http://www.dla.mil/j-6/dlmso/eLibrary/ServicePoints/allpoc.asp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4390931</vt:i4>
      </vt:variant>
      <vt:variant>
        <vt:i4>0</vt:i4>
      </vt:variant>
      <vt:variant>
        <vt:i4>0</vt:i4>
      </vt:variant>
      <vt:variant>
        <vt:i4>5</vt:i4>
      </vt:variant>
      <vt:variant>
        <vt:lpwstr>https://www.daas.dla.mil/daasinq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https://www.daas.dla.mil/sar/sar_menu.html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7.12 - Distribution Codes</dc:title>
  <dc:subject/>
  <dc:creator>Heidi Daverede</dc:creator>
  <cp:keywords/>
  <cp:lastModifiedBy>Nguyen, Bao X CTR DLA INFO OPERATIONS (USA)</cp:lastModifiedBy>
  <cp:revision>2</cp:revision>
  <cp:lastPrinted>2007-10-26T13:09:00Z</cp:lastPrinted>
  <dcterms:created xsi:type="dcterms:W3CDTF">2024-01-27T19:26:00Z</dcterms:created>
  <dcterms:modified xsi:type="dcterms:W3CDTF">2024-01-27T19:26:00Z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2294500</vt:r8>
  </property>
</Properties>
</file>