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2CB55" w14:textId="3F8EBF2A" w:rsidR="00F34516" w:rsidRPr="00D55EEA" w:rsidRDefault="000D63D0" w:rsidP="0073329F">
      <w:pPr>
        <w:spacing w:after="240"/>
        <w:jc w:val="center"/>
        <w:rPr>
          <w:rFonts w:ascii="Arial" w:hAnsi="Arial" w:cs="Arial"/>
          <w:b/>
          <w:sz w:val="44"/>
          <w:szCs w:val="44"/>
          <w:u w:val="single"/>
        </w:rPr>
      </w:pPr>
      <w:r w:rsidRPr="00D55EEA">
        <w:rPr>
          <w:rFonts w:ascii="Arial" w:hAnsi="Arial" w:cs="Arial"/>
          <w:b/>
          <w:sz w:val="44"/>
          <w:szCs w:val="44"/>
          <w:u w:val="single"/>
        </w:rPr>
        <w:t>AP</w:t>
      </w:r>
      <w:r>
        <w:rPr>
          <w:rFonts w:ascii="Arial" w:hAnsi="Arial" w:cs="Arial"/>
          <w:b/>
          <w:sz w:val="44"/>
          <w:szCs w:val="44"/>
          <w:u w:val="single"/>
        </w:rPr>
        <w:t>7</w:t>
      </w:r>
      <w:r w:rsidR="000429CB" w:rsidRPr="00D55EEA">
        <w:rPr>
          <w:rFonts w:ascii="Arial" w:hAnsi="Arial" w:cs="Arial"/>
          <w:b/>
          <w:sz w:val="44"/>
          <w:szCs w:val="44"/>
          <w:u w:val="single"/>
        </w:rPr>
        <w:t xml:space="preserve">.17. APPENDIX </w:t>
      </w:r>
      <w:r>
        <w:rPr>
          <w:rFonts w:ascii="Arial" w:hAnsi="Arial" w:cs="Arial"/>
          <w:b/>
          <w:sz w:val="44"/>
          <w:szCs w:val="44"/>
          <w:u w:val="single"/>
        </w:rPr>
        <w:t>7</w:t>
      </w:r>
      <w:r w:rsidR="000429CB" w:rsidRPr="00D55EEA">
        <w:rPr>
          <w:rFonts w:ascii="Arial" w:hAnsi="Arial" w:cs="Arial"/>
          <w:b/>
          <w:sz w:val="44"/>
          <w:szCs w:val="44"/>
          <w:u w:val="single"/>
        </w:rPr>
        <w:t>.17</w:t>
      </w:r>
    </w:p>
    <w:p w14:paraId="6322CB56" w14:textId="77777777" w:rsidR="000429CB" w:rsidRPr="00A60E3C" w:rsidRDefault="000429CB" w:rsidP="000429CB">
      <w:pPr>
        <w:spacing w:after="360"/>
        <w:jc w:val="center"/>
        <w:rPr>
          <w:rFonts w:ascii="Arial" w:hAnsi="Arial" w:cs="Arial"/>
          <w:b/>
          <w:sz w:val="44"/>
          <w:szCs w:val="44"/>
          <w:u w:val="single"/>
        </w:rPr>
      </w:pPr>
      <w:r w:rsidRPr="00A60E3C">
        <w:rPr>
          <w:rFonts w:ascii="Arial" w:hAnsi="Arial" w:cs="Arial"/>
          <w:b/>
          <w:sz w:val="44"/>
          <w:szCs w:val="44"/>
          <w:u w:val="single"/>
        </w:rPr>
        <w:t>SHIPMENT HOLD CODES</w:t>
      </w:r>
    </w:p>
    <w:tbl>
      <w:tblPr>
        <w:tblW w:w="9648" w:type="dxa"/>
        <w:tblLayout w:type="fixed"/>
        <w:tblLook w:val="01E0" w:firstRow="1" w:lastRow="1" w:firstColumn="1" w:lastColumn="1" w:noHBand="0" w:noVBand="0"/>
      </w:tblPr>
      <w:tblGrid>
        <w:gridCol w:w="2538"/>
        <w:gridCol w:w="7110"/>
      </w:tblGrid>
      <w:tr w:rsidR="000429CB" w:rsidRPr="001139C9" w14:paraId="6322CB59" w14:textId="77777777" w:rsidTr="0073329F">
        <w:tc>
          <w:tcPr>
            <w:tcW w:w="2538" w:type="dxa"/>
          </w:tcPr>
          <w:p w14:paraId="6322CB57" w14:textId="77777777" w:rsidR="000429CB" w:rsidRPr="001139C9" w:rsidRDefault="00BE6F5B" w:rsidP="001139C9">
            <w:pPr>
              <w:spacing w:before="60" w:after="60"/>
              <w:rPr>
                <w:rFonts w:ascii="Arial" w:hAnsi="Arial" w:cs="Arial"/>
              </w:rPr>
            </w:pPr>
            <w:r w:rsidRPr="001139C9">
              <w:rPr>
                <w:rFonts w:ascii="Arial" w:hAnsi="Arial" w:cs="Arial"/>
              </w:rPr>
              <w:t>NUMBER OF CHARACTERS:</w:t>
            </w:r>
          </w:p>
        </w:tc>
        <w:tc>
          <w:tcPr>
            <w:tcW w:w="7110" w:type="dxa"/>
          </w:tcPr>
          <w:p w14:paraId="6322CB58" w14:textId="77777777" w:rsidR="000429CB" w:rsidRPr="0073329F" w:rsidRDefault="00BE6F5B" w:rsidP="001139C9">
            <w:pPr>
              <w:spacing w:before="60" w:after="60"/>
              <w:rPr>
                <w:rFonts w:ascii="Arial" w:hAnsi="Arial" w:cs="Arial"/>
              </w:rPr>
            </w:pPr>
            <w:r w:rsidRPr="0073329F">
              <w:rPr>
                <w:rFonts w:ascii="Arial" w:hAnsi="Arial" w:cs="Arial"/>
              </w:rPr>
              <w:t>One</w:t>
            </w:r>
          </w:p>
        </w:tc>
      </w:tr>
      <w:tr w:rsidR="000429CB" w:rsidRPr="001139C9" w14:paraId="6322CB5C" w14:textId="77777777" w:rsidTr="0073329F">
        <w:tc>
          <w:tcPr>
            <w:tcW w:w="2538" w:type="dxa"/>
          </w:tcPr>
          <w:p w14:paraId="6322CB5A" w14:textId="77777777" w:rsidR="000429CB" w:rsidRPr="001139C9" w:rsidRDefault="00BE6F5B" w:rsidP="001139C9">
            <w:pPr>
              <w:spacing w:before="60" w:after="60"/>
              <w:rPr>
                <w:rFonts w:ascii="Arial" w:hAnsi="Arial" w:cs="Arial"/>
              </w:rPr>
            </w:pPr>
            <w:r w:rsidRPr="001139C9">
              <w:rPr>
                <w:rFonts w:ascii="Arial" w:hAnsi="Arial" w:cs="Arial"/>
              </w:rPr>
              <w:t>TYPE OF CODE:</w:t>
            </w:r>
          </w:p>
        </w:tc>
        <w:tc>
          <w:tcPr>
            <w:tcW w:w="7110" w:type="dxa"/>
          </w:tcPr>
          <w:p w14:paraId="6322CB5B" w14:textId="77777777" w:rsidR="000429CB" w:rsidRPr="0073329F" w:rsidRDefault="00BE6F5B" w:rsidP="001139C9">
            <w:pPr>
              <w:spacing w:before="60" w:after="60"/>
              <w:rPr>
                <w:rFonts w:ascii="Arial" w:hAnsi="Arial" w:cs="Arial"/>
              </w:rPr>
            </w:pPr>
            <w:r w:rsidRPr="0073329F">
              <w:rPr>
                <w:rFonts w:ascii="Arial" w:hAnsi="Arial" w:cs="Arial"/>
              </w:rPr>
              <w:t>Alpha (except I and O)</w:t>
            </w:r>
          </w:p>
        </w:tc>
      </w:tr>
      <w:tr w:rsidR="000429CB" w:rsidRPr="001139C9" w14:paraId="6322CB5F" w14:textId="77777777" w:rsidTr="0073329F">
        <w:tc>
          <w:tcPr>
            <w:tcW w:w="2538" w:type="dxa"/>
          </w:tcPr>
          <w:p w14:paraId="6322CB5D" w14:textId="77777777" w:rsidR="000429CB" w:rsidRPr="001139C9" w:rsidRDefault="00BE6F5B" w:rsidP="001139C9">
            <w:pPr>
              <w:spacing w:before="60" w:after="60"/>
              <w:rPr>
                <w:rFonts w:ascii="Arial" w:hAnsi="Arial" w:cs="Arial"/>
              </w:rPr>
            </w:pPr>
            <w:r w:rsidRPr="001139C9">
              <w:rPr>
                <w:rFonts w:ascii="Arial" w:hAnsi="Arial" w:cs="Arial"/>
              </w:rPr>
              <w:t>EXPLANATION:</w:t>
            </w:r>
          </w:p>
        </w:tc>
        <w:tc>
          <w:tcPr>
            <w:tcW w:w="7110" w:type="dxa"/>
          </w:tcPr>
          <w:p w14:paraId="6322CB5E" w14:textId="0349748D" w:rsidR="000429CB" w:rsidRPr="0073329F" w:rsidRDefault="00BE6F5B" w:rsidP="0073329F">
            <w:pPr>
              <w:spacing w:before="60" w:after="60"/>
              <w:rPr>
                <w:rFonts w:ascii="Arial" w:hAnsi="Arial" w:cs="Arial"/>
              </w:rPr>
            </w:pPr>
            <w:r w:rsidRPr="0073329F">
              <w:rPr>
                <w:rFonts w:ascii="Arial" w:hAnsi="Arial" w:cs="Arial"/>
              </w:rPr>
              <w:t>When MILSTRIP</w:t>
            </w:r>
            <w:r w:rsidR="0073329F" w:rsidRPr="0073329F">
              <w:rPr>
                <w:rFonts w:ascii="Arial" w:hAnsi="Arial" w:cs="Arial"/>
              </w:rPr>
              <w:t xml:space="preserve"> r</w:t>
            </w:r>
            <w:r w:rsidRPr="0073329F">
              <w:rPr>
                <w:rFonts w:ascii="Arial" w:hAnsi="Arial" w:cs="Arial"/>
              </w:rPr>
              <w:t>equisitioned materiel is delayed a</w:t>
            </w:r>
            <w:bookmarkStart w:id="0" w:name="_GoBack"/>
            <w:bookmarkEnd w:id="0"/>
            <w:r w:rsidRPr="0073329F">
              <w:rPr>
                <w:rFonts w:ascii="Arial" w:hAnsi="Arial" w:cs="Arial"/>
              </w:rPr>
              <w:t xml:space="preserve">t a shipping activity after it has been picked, packed, marked, and made ready for shipment, the delay will be recorded on the shipment planning worksheet using the appropriate code below and will be reported for inclusion in the MILSTRIP shipment status and </w:t>
            </w:r>
            <w:r w:rsidR="0073329F" w:rsidRPr="0073329F">
              <w:rPr>
                <w:rFonts w:ascii="Arial" w:hAnsi="Arial" w:cs="Arial"/>
              </w:rPr>
              <w:t>m</w:t>
            </w:r>
            <w:r w:rsidR="00517636" w:rsidRPr="0073329F">
              <w:rPr>
                <w:rFonts w:ascii="Arial" w:hAnsi="Arial" w:cs="Arial"/>
              </w:rPr>
              <w:t xml:space="preserve">ateriel </w:t>
            </w:r>
            <w:r w:rsidR="0073329F" w:rsidRPr="0073329F">
              <w:rPr>
                <w:rFonts w:ascii="Arial" w:hAnsi="Arial" w:cs="Arial"/>
              </w:rPr>
              <w:t>r</w:t>
            </w:r>
            <w:r w:rsidR="00517636" w:rsidRPr="0073329F">
              <w:rPr>
                <w:rFonts w:ascii="Arial" w:hAnsi="Arial" w:cs="Arial"/>
              </w:rPr>
              <w:t xml:space="preserve">elease </w:t>
            </w:r>
            <w:r w:rsidR="0073329F" w:rsidRPr="0073329F">
              <w:rPr>
                <w:rFonts w:ascii="Arial" w:hAnsi="Arial" w:cs="Arial"/>
              </w:rPr>
              <w:t>c</w:t>
            </w:r>
            <w:r w:rsidR="00517636" w:rsidRPr="0073329F">
              <w:rPr>
                <w:rFonts w:ascii="Arial" w:hAnsi="Arial" w:cs="Arial"/>
              </w:rPr>
              <w:t>onfirmation (</w:t>
            </w:r>
            <w:r w:rsidRPr="0073329F">
              <w:rPr>
                <w:rFonts w:ascii="Arial" w:hAnsi="Arial" w:cs="Arial"/>
              </w:rPr>
              <w:t>MRC</w:t>
            </w:r>
            <w:r w:rsidR="00517636" w:rsidRPr="0073329F">
              <w:rPr>
                <w:rFonts w:ascii="Arial" w:hAnsi="Arial" w:cs="Arial"/>
              </w:rPr>
              <w:t>)</w:t>
            </w:r>
            <w:r w:rsidRPr="0073329F">
              <w:rPr>
                <w:rFonts w:ascii="Arial" w:hAnsi="Arial" w:cs="Arial"/>
              </w:rPr>
              <w:t xml:space="preserve"> transaction</w:t>
            </w:r>
          </w:p>
        </w:tc>
      </w:tr>
      <w:tr w:rsidR="000429CB" w:rsidRPr="001139C9" w14:paraId="6322CB62" w14:textId="77777777" w:rsidTr="0073329F">
        <w:tc>
          <w:tcPr>
            <w:tcW w:w="2538" w:type="dxa"/>
          </w:tcPr>
          <w:p w14:paraId="6322CB60" w14:textId="77777777" w:rsidR="000429CB" w:rsidRPr="001139C9" w:rsidRDefault="00BE6F5B" w:rsidP="0073329F">
            <w:pPr>
              <w:spacing w:before="80" w:after="80"/>
              <w:rPr>
                <w:rFonts w:ascii="Arial" w:hAnsi="Arial" w:cs="Arial"/>
              </w:rPr>
            </w:pPr>
            <w:r w:rsidRPr="001139C9">
              <w:rPr>
                <w:rFonts w:ascii="Arial" w:hAnsi="Arial" w:cs="Arial"/>
              </w:rPr>
              <w:t>RECORD POSITION:</w:t>
            </w:r>
          </w:p>
        </w:tc>
        <w:tc>
          <w:tcPr>
            <w:tcW w:w="7110" w:type="dxa"/>
          </w:tcPr>
          <w:p w14:paraId="6322CB61" w14:textId="77777777" w:rsidR="000429CB" w:rsidRPr="001139C9" w:rsidRDefault="00BE6F5B" w:rsidP="0073329F">
            <w:pPr>
              <w:spacing w:before="80" w:after="80"/>
              <w:rPr>
                <w:rFonts w:ascii="Arial" w:hAnsi="Arial" w:cs="Arial"/>
              </w:rPr>
            </w:pPr>
            <w:r w:rsidRPr="001139C9">
              <w:rPr>
                <w:rFonts w:ascii="Arial" w:hAnsi="Arial" w:cs="Arial"/>
              </w:rPr>
              <w:t>51 (in MILSTRIP transactions).</w:t>
            </w:r>
          </w:p>
        </w:tc>
      </w:tr>
    </w:tbl>
    <w:p w14:paraId="50A7A001" w14:textId="77777777" w:rsidR="00314035" w:rsidRDefault="00314035"/>
    <w:p w14:paraId="52062433" w14:textId="5A32B64F" w:rsidR="00314035" w:rsidRDefault="0031403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8730"/>
      </w:tblGrid>
      <w:tr w:rsidR="000429CB" w:rsidRPr="0073329F" w14:paraId="6322CB65" w14:textId="77777777" w:rsidTr="004F00F2">
        <w:trPr>
          <w:cantSplit/>
          <w:tblHeader/>
        </w:trPr>
        <w:tc>
          <w:tcPr>
            <w:tcW w:w="918" w:type="dxa"/>
          </w:tcPr>
          <w:p w14:paraId="6322CB63" w14:textId="696C42E0" w:rsidR="000429CB" w:rsidRPr="0073329F" w:rsidRDefault="000429CB" w:rsidP="001139C9">
            <w:pPr>
              <w:spacing w:before="60" w:after="60"/>
              <w:rPr>
                <w:rFonts w:ascii="Arial" w:hAnsi="Arial" w:cs="Arial"/>
              </w:rPr>
            </w:pPr>
            <w:r w:rsidRPr="0073329F">
              <w:rPr>
                <w:rFonts w:ascii="Arial" w:hAnsi="Arial" w:cs="Arial"/>
              </w:rPr>
              <w:t>CODE</w:t>
            </w:r>
          </w:p>
        </w:tc>
        <w:tc>
          <w:tcPr>
            <w:tcW w:w="8730" w:type="dxa"/>
          </w:tcPr>
          <w:p w14:paraId="6322CB64" w14:textId="77777777" w:rsidR="000429CB" w:rsidRPr="0073329F" w:rsidRDefault="000429CB" w:rsidP="001139C9">
            <w:pPr>
              <w:spacing w:before="60" w:after="60"/>
              <w:rPr>
                <w:rFonts w:ascii="Arial" w:hAnsi="Arial" w:cs="Arial"/>
              </w:rPr>
            </w:pPr>
            <w:r w:rsidRPr="0073329F">
              <w:rPr>
                <w:rFonts w:ascii="Arial" w:hAnsi="Arial" w:cs="Arial"/>
              </w:rPr>
              <w:t>EXPLANATION</w:t>
            </w:r>
          </w:p>
        </w:tc>
      </w:tr>
      <w:tr w:rsidR="000429CB" w:rsidRPr="001139C9" w14:paraId="6322CB68" w14:textId="77777777" w:rsidTr="004F00F2">
        <w:tc>
          <w:tcPr>
            <w:tcW w:w="918" w:type="dxa"/>
          </w:tcPr>
          <w:p w14:paraId="6322CB66" w14:textId="77777777" w:rsidR="000429CB" w:rsidRPr="001139C9" w:rsidRDefault="000429CB" w:rsidP="0073329F">
            <w:pPr>
              <w:spacing w:before="40" w:after="40"/>
              <w:rPr>
                <w:rFonts w:ascii="Arial" w:hAnsi="Arial" w:cs="Arial"/>
              </w:rPr>
            </w:pPr>
            <w:r w:rsidRPr="001139C9">
              <w:rPr>
                <w:rFonts w:ascii="Arial" w:hAnsi="Arial" w:cs="Arial"/>
              </w:rPr>
              <w:t>A</w:t>
            </w:r>
          </w:p>
        </w:tc>
        <w:tc>
          <w:tcPr>
            <w:tcW w:w="8730" w:type="dxa"/>
          </w:tcPr>
          <w:p w14:paraId="6322CB67" w14:textId="77777777" w:rsidR="000429CB" w:rsidRPr="001139C9" w:rsidRDefault="000429CB" w:rsidP="0073329F">
            <w:pPr>
              <w:spacing w:before="40" w:after="40"/>
              <w:rPr>
                <w:rFonts w:ascii="Arial" w:hAnsi="Arial" w:cs="Arial"/>
              </w:rPr>
            </w:pPr>
            <w:r w:rsidRPr="001139C9">
              <w:rPr>
                <w:rFonts w:ascii="Arial" w:hAnsi="Arial" w:cs="Arial"/>
              </w:rPr>
              <w:t>Shipment unit held for consolidation.</w:t>
            </w:r>
          </w:p>
        </w:tc>
      </w:tr>
      <w:tr w:rsidR="000429CB" w:rsidRPr="001139C9" w14:paraId="6322CB6B" w14:textId="77777777" w:rsidTr="004F00F2">
        <w:tc>
          <w:tcPr>
            <w:tcW w:w="918" w:type="dxa"/>
          </w:tcPr>
          <w:p w14:paraId="6322CB69" w14:textId="77777777" w:rsidR="000429CB" w:rsidRPr="001139C9" w:rsidRDefault="000429CB" w:rsidP="0073329F">
            <w:pPr>
              <w:spacing w:before="40" w:after="40"/>
              <w:rPr>
                <w:rFonts w:ascii="Arial" w:hAnsi="Arial" w:cs="Arial"/>
              </w:rPr>
            </w:pPr>
            <w:r w:rsidRPr="001139C9">
              <w:rPr>
                <w:rFonts w:ascii="Arial" w:hAnsi="Arial" w:cs="Arial"/>
              </w:rPr>
              <w:t>B</w:t>
            </w:r>
          </w:p>
        </w:tc>
        <w:tc>
          <w:tcPr>
            <w:tcW w:w="8730" w:type="dxa"/>
          </w:tcPr>
          <w:p w14:paraId="6322CB6A" w14:textId="77777777" w:rsidR="000429CB" w:rsidRPr="001139C9" w:rsidRDefault="000429CB" w:rsidP="0073329F">
            <w:pPr>
              <w:spacing w:before="40" w:after="40"/>
              <w:rPr>
                <w:rFonts w:ascii="Arial" w:hAnsi="Arial" w:cs="Arial"/>
              </w:rPr>
            </w:pPr>
            <w:r w:rsidRPr="001139C9">
              <w:rPr>
                <w:rFonts w:ascii="Arial" w:hAnsi="Arial" w:cs="Arial"/>
              </w:rPr>
              <w:t>Awaiting carrier equipment</w:t>
            </w:r>
          </w:p>
        </w:tc>
      </w:tr>
      <w:tr w:rsidR="000429CB" w:rsidRPr="001139C9" w14:paraId="6322CB6E" w14:textId="77777777" w:rsidTr="004F00F2">
        <w:tc>
          <w:tcPr>
            <w:tcW w:w="918" w:type="dxa"/>
          </w:tcPr>
          <w:p w14:paraId="6322CB6C" w14:textId="77777777" w:rsidR="000429CB" w:rsidRPr="001139C9" w:rsidRDefault="000429CB" w:rsidP="0073329F">
            <w:pPr>
              <w:spacing w:before="40" w:after="40"/>
              <w:rPr>
                <w:rFonts w:ascii="Arial" w:hAnsi="Arial" w:cs="Arial"/>
              </w:rPr>
            </w:pPr>
            <w:r w:rsidRPr="001139C9">
              <w:rPr>
                <w:rFonts w:ascii="Arial" w:hAnsi="Arial" w:cs="Arial"/>
              </w:rPr>
              <w:t>C</w:t>
            </w:r>
          </w:p>
        </w:tc>
        <w:tc>
          <w:tcPr>
            <w:tcW w:w="8730" w:type="dxa"/>
          </w:tcPr>
          <w:p w14:paraId="6322CB6D" w14:textId="77777777" w:rsidR="000429CB" w:rsidRPr="001139C9" w:rsidRDefault="000429CB" w:rsidP="0073329F">
            <w:pPr>
              <w:spacing w:before="40" w:after="40"/>
              <w:rPr>
                <w:rFonts w:ascii="Arial" w:hAnsi="Arial" w:cs="Arial"/>
              </w:rPr>
            </w:pPr>
            <w:r w:rsidRPr="001139C9">
              <w:rPr>
                <w:rFonts w:ascii="Arial" w:hAnsi="Arial" w:cs="Arial"/>
              </w:rPr>
              <w:t>Awaiting export/domestic traffic release.</w:t>
            </w:r>
          </w:p>
        </w:tc>
      </w:tr>
      <w:tr w:rsidR="000429CB" w:rsidRPr="001139C9" w14:paraId="6322CB71" w14:textId="77777777" w:rsidTr="004F00F2">
        <w:tc>
          <w:tcPr>
            <w:tcW w:w="918" w:type="dxa"/>
          </w:tcPr>
          <w:p w14:paraId="6322CB6F" w14:textId="77777777" w:rsidR="000429CB" w:rsidRPr="001139C9" w:rsidRDefault="000429CB" w:rsidP="0073329F">
            <w:pPr>
              <w:spacing w:before="40" w:after="40"/>
              <w:rPr>
                <w:rFonts w:ascii="Arial" w:hAnsi="Arial" w:cs="Arial"/>
              </w:rPr>
            </w:pPr>
            <w:r w:rsidRPr="001139C9">
              <w:rPr>
                <w:rFonts w:ascii="Arial" w:hAnsi="Arial" w:cs="Arial"/>
              </w:rPr>
              <w:t>D</w:t>
            </w:r>
          </w:p>
        </w:tc>
        <w:tc>
          <w:tcPr>
            <w:tcW w:w="8730" w:type="dxa"/>
          </w:tcPr>
          <w:p w14:paraId="6322CB70" w14:textId="77777777" w:rsidR="000429CB" w:rsidRPr="001139C9" w:rsidRDefault="000429CB" w:rsidP="0073329F">
            <w:pPr>
              <w:spacing w:before="40" w:after="40"/>
              <w:rPr>
                <w:rFonts w:ascii="Arial" w:hAnsi="Arial" w:cs="Arial"/>
              </w:rPr>
            </w:pPr>
            <w:r w:rsidRPr="001139C9">
              <w:rPr>
                <w:rFonts w:ascii="Arial" w:hAnsi="Arial" w:cs="Arial"/>
              </w:rPr>
              <w:t>Delay due to diversion to surface resulting from challenge by air clearance activity.</w:t>
            </w:r>
          </w:p>
        </w:tc>
      </w:tr>
      <w:tr w:rsidR="000429CB" w:rsidRPr="001139C9" w14:paraId="6322CB74" w14:textId="77777777" w:rsidTr="004F00F2">
        <w:tc>
          <w:tcPr>
            <w:tcW w:w="918" w:type="dxa"/>
          </w:tcPr>
          <w:p w14:paraId="6322CB72" w14:textId="77777777" w:rsidR="000429CB" w:rsidRPr="001139C9" w:rsidRDefault="000429CB" w:rsidP="0073329F">
            <w:pPr>
              <w:spacing w:before="40" w:after="40"/>
              <w:rPr>
                <w:rFonts w:ascii="Arial" w:hAnsi="Arial" w:cs="Arial"/>
              </w:rPr>
            </w:pPr>
            <w:r w:rsidRPr="001139C9">
              <w:rPr>
                <w:rFonts w:ascii="Arial" w:hAnsi="Arial" w:cs="Arial"/>
              </w:rPr>
              <w:t>E</w:t>
            </w:r>
          </w:p>
        </w:tc>
        <w:tc>
          <w:tcPr>
            <w:tcW w:w="8730" w:type="dxa"/>
          </w:tcPr>
          <w:p w14:paraId="6322CB73" w14:textId="77777777" w:rsidR="000429CB" w:rsidRPr="001139C9" w:rsidRDefault="000429CB" w:rsidP="0073329F">
            <w:pPr>
              <w:spacing w:before="40" w:after="40"/>
              <w:rPr>
                <w:rFonts w:ascii="Arial" w:hAnsi="Arial" w:cs="Arial"/>
              </w:rPr>
            </w:pPr>
            <w:r w:rsidRPr="001139C9">
              <w:rPr>
                <w:rFonts w:ascii="Arial" w:hAnsi="Arial" w:cs="Arial"/>
              </w:rPr>
              <w:t xml:space="preserve">Delay </w:t>
            </w:r>
            <w:r w:rsidR="00BE6F5B" w:rsidRPr="001139C9">
              <w:rPr>
                <w:rFonts w:ascii="Arial" w:hAnsi="Arial" w:cs="Arial"/>
              </w:rPr>
              <w:t>resulting</w:t>
            </w:r>
            <w:r w:rsidRPr="001139C9">
              <w:rPr>
                <w:rFonts w:ascii="Arial" w:hAnsi="Arial" w:cs="Arial"/>
              </w:rPr>
              <w:t xml:space="preserve"> from challenge by air clearance activity for which no diversion to surface occurs and materiel was shipped by air.</w:t>
            </w:r>
          </w:p>
        </w:tc>
      </w:tr>
      <w:tr w:rsidR="000429CB" w:rsidRPr="001139C9" w14:paraId="6322CB77" w14:textId="77777777" w:rsidTr="004F00F2">
        <w:tc>
          <w:tcPr>
            <w:tcW w:w="918" w:type="dxa"/>
          </w:tcPr>
          <w:p w14:paraId="6322CB75" w14:textId="77777777" w:rsidR="000429CB" w:rsidRPr="001139C9" w:rsidRDefault="000429CB" w:rsidP="0073329F">
            <w:pPr>
              <w:spacing w:before="40" w:after="40"/>
              <w:rPr>
                <w:rFonts w:ascii="Arial" w:hAnsi="Arial" w:cs="Arial"/>
              </w:rPr>
            </w:pPr>
            <w:r w:rsidRPr="001139C9">
              <w:rPr>
                <w:rFonts w:ascii="Arial" w:hAnsi="Arial" w:cs="Arial"/>
              </w:rPr>
              <w:t>F</w:t>
            </w:r>
          </w:p>
        </w:tc>
        <w:tc>
          <w:tcPr>
            <w:tcW w:w="8730" w:type="dxa"/>
          </w:tcPr>
          <w:p w14:paraId="6322CB76" w14:textId="77777777" w:rsidR="000429CB" w:rsidRPr="001139C9" w:rsidRDefault="000429CB" w:rsidP="0073329F">
            <w:pPr>
              <w:spacing w:before="40" w:after="40"/>
              <w:rPr>
                <w:rFonts w:ascii="Arial" w:hAnsi="Arial" w:cs="Arial"/>
              </w:rPr>
            </w:pPr>
            <w:r w:rsidRPr="001139C9">
              <w:rPr>
                <w:rFonts w:ascii="Arial" w:hAnsi="Arial" w:cs="Arial"/>
              </w:rPr>
              <w:t>Embargo.</w:t>
            </w:r>
          </w:p>
        </w:tc>
      </w:tr>
      <w:tr w:rsidR="000429CB" w:rsidRPr="001139C9" w14:paraId="6322CB7A" w14:textId="77777777" w:rsidTr="004F00F2">
        <w:tc>
          <w:tcPr>
            <w:tcW w:w="918" w:type="dxa"/>
          </w:tcPr>
          <w:p w14:paraId="6322CB78" w14:textId="77777777" w:rsidR="000429CB" w:rsidRPr="001139C9" w:rsidRDefault="000429CB" w:rsidP="0073329F">
            <w:pPr>
              <w:spacing w:before="40" w:after="40"/>
              <w:rPr>
                <w:rFonts w:ascii="Arial" w:hAnsi="Arial" w:cs="Arial"/>
              </w:rPr>
            </w:pPr>
            <w:r w:rsidRPr="001139C9">
              <w:rPr>
                <w:rFonts w:ascii="Arial" w:hAnsi="Arial" w:cs="Arial"/>
              </w:rPr>
              <w:t>G</w:t>
            </w:r>
          </w:p>
        </w:tc>
        <w:tc>
          <w:tcPr>
            <w:tcW w:w="8730" w:type="dxa"/>
          </w:tcPr>
          <w:p w14:paraId="6322CB79" w14:textId="77777777" w:rsidR="000429CB" w:rsidRPr="001139C9" w:rsidRDefault="000429CB" w:rsidP="0073329F">
            <w:pPr>
              <w:spacing w:before="40" w:after="40"/>
              <w:rPr>
                <w:rFonts w:ascii="Arial" w:hAnsi="Arial" w:cs="Arial"/>
              </w:rPr>
            </w:pPr>
            <w:r w:rsidRPr="001139C9">
              <w:rPr>
                <w:rFonts w:ascii="Arial" w:hAnsi="Arial" w:cs="Arial"/>
              </w:rPr>
              <w:t>Strikes, riots, civil commotion.</w:t>
            </w:r>
          </w:p>
        </w:tc>
      </w:tr>
      <w:tr w:rsidR="000429CB" w:rsidRPr="001139C9" w14:paraId="6322CB7D" w14:textId="77777777" w:rsidTr="004F00F2">
        <w:tc>
          <w:tcPr>
            <w:tcW w:w="918" w:type="dxa"/>
          </w:tcPr>
          <w:p w14:paraId="6322CB7B" w14:textId="77777777" w:rsidR="000429CB" w:rsidRPr="001139C9" w:rsidRDefault="000429CB" w:rsidP="0073329F">
            <w:pPr>
              <w:spacing w:before="40" w:after="40"/>
              <w:rPr>
                <w:rFonts w:ascii="Arial" w:hAnsi="Arial" w:cs="Arial"/>
              </w:rPr>
            </w:pPr>
            <w:r w:rsidRPr="001139C9">
              <w:rPr>
                <w:rFonts w:ascii="Arial" w:hAnsi="Arial" w:cs="Arial"/>
              </w:rPr>
              <w:t>H</w:t>
            </w:r>
          </w:p>
        </w:tc>
        <w:tc>
          <w:tcPr>
            <w:tcW w:w="8730" w:type="dxa"/>
          </w:tcPr>
          <w:p w14:paraId="6322CB7C" w14:textId="77777777" w:rsidR="000429CB" w:rsidRPr="001139C9" w:rsidRDefault="000429CB" w:rsidP="0073329F">
            <w:pPr>
              <w:spacing w:before="40" w:after="40"/>
              <w:rPr>
                <w:rFonts w:ascii="Arial" w:hAnsi="Arial" w:cs="Arial"/>
              </w:rPr>
            </w:pPr>
            <w:r w:rsidRPr="001139C9">
              <w:rPr>
                <w:rFonts w:ascii="Arial" w:hAnsi="Arial" w:cs="Arial"/>
              </w:rPr>
              <w:t>Acts of God.</w:t>
            </w:r>
          </w:p>
        </w:tc>
      </w:tr>
      <w:tr w:rsidR="000429CB" w:rsidRPr="001139C9" w14:paraId="6322CB80" w14:textId="77777777" w:rsidTr="004F00F2">
        <w:tc>
          <w:tcPr>
            <w:tcW w:w="918" w:type="dxa"/>
          </w:tcPr>
          <w:p w14:paraId="6322CB7E" w14:textId="77777777" w:rsidR="000429CB" w:rsidRPr="001139C9" w:rsidRDefault="000429CB" w:rsidP="0073329F">
            <w:pPr>
              <w:spacing w:before="40" w:after="40"/>
              <w:rPr>
                <w:rFonts w:ascii="Arial" w:hAnsi="Arial" w:cs="Arial"/>
              </w:rPr>
            </w:pPr>
            <w:r w:rsidRPr="001139C9">
              <w:rPr>
                <w:rFonts w:ascii="Arial" w:hAnsi="Arial" w:cs="Arial"/>
              </w:rPr>
              <w:t>J</w:t>
            </w:r>
          </w:p>
        </w:tc>
        <w:tc>
          <w:tcPr>
            <w:tcW w:w="8730" w:type="dxa"/>
          </w:tcPr>
          <w:p w14:paraId="6322CB7F" w14:textId="77777777" w:rsidR="000429CB" w:rsidRPr="001139C9" w:rsidRDefault="000429CB" w:rsidP="0073329F">
            <w:pPr>
              <w:spacing w:before="40" w:after="40"/>
              <w:rPr>
                <w:rFonts w:ascii="Arial" w:hAnsi="Arial" w:cs="Arial"/>
              </w:rPr>
            </w:pPr>
            <w:r w:rsidRPr="001139C9">
              <w:rPr>
                <w:rFonts w:ascii="Arial" w:hAnsi="Arial" w:cs="Arial"/>
              </w:rPr>
              <w:t xml:space="preserve">Shipment delayed to process </w:t>
            </w:r>
            <w:r w:rsidR="006D445B" w:rsidRPr="001139C9">
              <w:rPr>
                <w:rFonts w:ascii="Arial" w:hAnsi="Arial" w:cs="Arial"/>
              </w:rPr>
              <w:t>customer</w:t>
            </w:r>
            <w:r w:rsidRPr="001139C9">
              <w:rPr>
                <w:rFonts w:ascii="Arial" w:hAnsi="Arial" w:cs="Arial"/>
              </w:rPr>
              <w:t xml:space="preserve"> cancellation request(s).</w:t>
            </w:r>
          </w:p>
        </w:tc>
      </w:tr>
      <w:tr w:rsidR="000429CB" w:rsidRPr="001139C9" w14:paraId="6322CB83" w14:textId="77777777" w:rsidTr="004F00F2">
        <w:tc>
          <w:tcPr>
            <w:tcW w:w="918" w:type="dxa"/>
          </w:tcPr>
          <w:p w14:paraId="6322CB81" w14:textId="77777777" w:rsidR="000429CB" w:rsidRPr="001139C9" w:rsidRDefault="000429CB" w:rsidP="0073329F">
            <w:pPr>
              <w:spacing w:before="40" w:after="40"/>
              <w:rPr>
                <w:rFonts w:ascii="Arial" w:hAnsi="Arial" w:cs="Arial"/>
              </w:rPr>
            </w:pPr>
            <w:r w:rsidRPr="001139C9">
              <w:rPr>
                <w:rFonts w:ascii="Arial" w:hAnsi="Arial" w:cs="Arial"/>
              </w:rPr>
              <w:t>K</w:t>
            </w:r>
          </w:p>
        </w:tc>
        <w:tc>
          <w:tcPr>
            <w:tcW w:w="8730" w:type="dxa"/>
          </w:tcPr>
          <w:p w14:paraId="6322CB82" w14:textId="77777777" w:rsidR="000429CB" w:rsidRPr="001139C9" w:rsidRDefault="000429CB" w:rsidP="0073329F">
            <w:pPr>
              <w:spacing w:before="40" w:after="40"/>
              <w:rPr>
                <w:rFonts w:ascii="Arial" w:hAnsi="Arial" w:cs="Arial"/>
              </w:rPr>
            </w:pPr>
            <w:r w:rsidRPr="001139C9">
              <w:rPr>
                <w:rFonts w:ascii="Arial" w:hAnsi="Arial" w:cs="Arial"/>
              </w:rPr>
              <w:t>Diversion to surface movement due to characteristics of materiel that preclude air shipment; for example, size, weight, or hazard clarification.</w:t>
            </w:r>
          </w:p>
        </w:tc>
      </w:tr>
      <w:tr w:rsidR="000429CB" w:rsidRPr="001139C9" w14:paraId="6322CB86" w14:textId="77777777" w:rsidTr="004F00F2">
        <w:tc>
          <w:tcPr>
            <w:tcW w:w="918" w:type="dxa"/>
          </w:tcPr>
          <w:p w14:paraId="6322CB84" w14:textId="77777777" w:rsidR="000429CB" w:rsidRPr="001139C9" w:rsidRDefault="000429CB" w:rsidP="0073329F">
            <w:pPr>
              <w:spacing w:before="40" w:after="40"/>
              <w:rPr>
                <w:rFonts w:ascii="Arial" w:hAnsi="Arial" w:cs="Arial"/>
              </w:rPr>
            </w:pPr>
            <w:r w:rsidRPr="001139C9">
              <w:rPr>
                <w:rFonts w:ascii="Arial" w:hAnsi="Arial" w:cs="Arial"/>
              </w:rPr>
              <w:t>L</w:t>
            </w:r>
          </w:p>
        </w:tc>
        <w:tc>
          <w:tcPr>
            <w:tcW w:w="8730" w:type="dxa"/>
          </w:tcPr>
          <w:p w14:paraId="6322CB85" w14:textId="77777777" w:rsidR="000429CB" w:rsidRPr="001139C9" w:rsidRDefault="000429CB" w:rsidP="0073329F">
            <w:pPr>
              <w:spacing w:before="40" w:after="40"/>
              <w:rPr>
                <w:rFonts w:ascii="Arial" w:hAnsi="Arial" w:cs="Arial"/>
              </w:rPr>
            </w:pPr>
            <w:r w:rsidRPr="001139C9">
              <w:rPr>
                <w:rFonts w:ascii="Arial" w:hAnsi="Arial" w:cs="Arial"/>
              </w:rPr>
              <w:t>Delay requested and/or concurred in by consignee.</w:t>
            </w:r>
          </w:p>
        </w:tc>
      </w:tr>
      <w:tr w:rsidR="000429CB" w:rsidRPr="001139C9" w14:paraId="6322CB89" w14:textId="77777777" w:rsidTr="004F00F2">
        <w:tc>
          <w:tcPr>
            <w:tcW w:w="918" w:type="dxa"/>
          </w:tcPr>
          <w:p w14:paraId="6322CB87" w14:textId="77777777" w:rsidR="000429CB" w:rsidRPr="001139C9" w:rsidRDefault="000429CB" w:rsidP="0073329F">
            <w:pPr>
              <w:spacing w:before="40" w:after="40"/>
              <w:rPr>
                <w:rFonts w:ascii="Arial" w:hAnsi="Arial" w:cs="Arial"/>
              </w:rPr>
            </w:pPr>
            <w:r w:rsidRPr="001139C9">
              <w:rPr>
                <w:rFonts w:ascii="Arial" w:hAnsi="Arial" w:cs="Arial"/>
              </w:rPr>
              <w:t>M</w:t>
            </w:r>
          </w:p>
        </w:tc>
        <w:tc>
          <w:tcPr>
            <w:tcW w:w="8730" w:type="dxa"/>
          </w:tcPr>
          <w:p w14:paraId="6322CB88" w14:textId="6159ECEF" w:rsidR="000429CB" w:rsidRPr="001139C9" w:rsidRDefault="000429CB" w:rsidP="0073329F">
            <w:pPr>
              <w:spacing w:before="40" w:after="40"/>
              <w:rPr>
                <w:rFonts w:ascii="Arial" w:hAnsi="Arial" w:cs="Arial"/>
              </w:rPr>
            </w:pPr>
            <w:r w:rsidRPr="001139C9">
              <w:rPr>
                <w:rFonts w:ascii="Arial" w:hAnsi="Arial" w:cs="Arial"/>
              </w:rPr>
              <w:t xml:space="preserve">Delay to comply with delivery dates at </w:t>
            </w:r>
            <w:r w:rsidR="00517636" w:rsidRPr="00517636">
              <w:rPr>
                <w:rFonts w:ascii="Arial" w:hAnsi="Arial" w:cs="Arial"/>
              </w:rPr>
              <w:t>Continental United States</w:t>
            </w:r>
            <w:r w:rsidR="00517636" w:rsidRPr="001139C9">
              <w:rPr>
                <w:rFonts w:ascii="Arial" w:hAnsi="Arial" w:cs="Arial"/>
              </w:rPr>
              <w:t xml:space="preserve"> </w:t>
            </w:r>
            <w:r w:rsidR="00517636">
              <w:rPr>
                <w:rFonts w:ascii="Arial" w:hAnsi="Arial" w:cs="Arial"/>
              </w:rPr>
              <w:t>(</w:t>
            </w:r>
            <w:r w:rsidRPr="001139C9">
              <w:rPr>
                <w:rFonts w:ascii="Arial" w:hAnsi="Arial" w:cs="Arial"/>
              </w:rPr>
              <w:t>CONUS</w:t>
            </w:r>
            <w:r w:rsidR="00517636">
              <w:rPr>
                <w:rFonts w:ascii="Arial" w:hAnsi="Arial" w:cs="Arial"/>
              </w:rPr>
              <w:t>)</w:t>
            </w:r>
            <w:r w:rsidRPr="001139C9">
              <w:rPr>
                <w:rFonts w:ascii="Arial" w:hAnsi="Arial" w:cs="Arial"/>
              </w:rPr>
              <w:t xml:space="preserve"> destinations/</w:t>
            </w:r>
            <w:r w:rsidR="007B49C9" w:rsidRPr="001139C9">
              <w:rPr>
                <w:rFonts w:ascii="Arial" w:hAnsi="Arial" w:cs="Arial"/>
              </w:rPr>
              <w:t>out loading</w:t>
            </w:r>
            <w:r w:rsidRPr="001139C9">
              <w:rPr>
                <w:rFonts w:ascii="Arial" w:hAnsi="Arial" w:cs="Arial"/>
              </w:rPr>
              <w:t xml:space="preserve"> terminal.</w:t>
            </w:r>
          </w:p>
        </w:tc>
      </w:tr>
      <w:tr w:rsidR="000429CB" w:rsidRPr="001139C9" w14:paraId="6322CB8C" w14:textId="77777777" w:rsidTr="004F00F2">
        <w:tc>
          <w:tcPr>
            <w:tcW w:w="918" w:type="dxa"/>
          </w:tcPr>
          <w:p w14:paraId="6322CB8A" w14:textId="77777777" w:rsidR="000429CB" w:rsidRPr="001139C9" w:rsidRDefault="000429CB" w:rsidP="0073329F">
            <w:pPr>
              <w:spacing w:before="40" w:after="40"/>
              <w:rPr>
                <w:rFonts w:ascii="Arial" w:hAnsi="Arial" w:cs="Arial"/>
              </w:rPr>
            </w:pPr>
            <w:r w:rsidRPr="001139C9">
              <w:rPr>
                <w:rFonts w:ascii="Arial" w:hAnsi="Arial" w:cs="Arial"/>
              </w:rPr>
              <w:t>N</w:t>
            </w:r>
          </w:p>
        </w:tc>
        <w:tc>
          <w:tcPr>
            <w:tcW w:w="8730" w:type="dxa"/>
          </w:tcPr>
          <w:p w14:paraId="6322CB8B" w14:textId="77777777" w:rsidR="000429CB" w:rsidRPr="001139C9" w:rsidRDefault="000429CB" w:rsidP="0073329F">
            <w:pPr>
              <w:spacing w:before="40" w:after="40"/>
              <w:rPr>
                <w:rFonts w:ascii="Arial" w:hAnsi="Arial" w:cs="Arial"/>
              </w:rPr>
            </w:pPr>
            <w:r w:rsidRPr="001139C9">
              <w:rPr>
                <w:rFonts w:ascii="Arial" w:hAnsi="Arial" w:cs="Arial"/>
              </w:rPr>
              <w:t>Delay due diversion to air (requisition priority upgraded).</w:t>
            </w:r>
          </w:p>
        </w:tc>
      </w:tr>
      <w:tr w:rsidR="00314035" w:rsidRPr="00314035" w14:paraId="53F5E516" w14:textId="77777777" w:rsidTr="004F00F2">
        <w:tc>
          <w:tcPr>
            <w:tcW w:w="918" w:type="dxa"/>
          </w:tcPr>
          <w:p w14:paraId="54729C4B" w14:textId="78EB336A" w:rsidR="00314035" w:rsidRPr="00314035" w:rsidRDefault="00314035" w:rsidP="00314035">
            <w:pPr>
              <w:spacing w:before="40" w:after="40"/>
              <w:rPr>
                <w:rFonts w:ascii="Arial" w:hAnsi="Arial" w:cs="Arial"/>
              </w:rPr>
            </w:pPr>
            <w:r w:rsidRPr="00314035">
              <w:rPr>
                <w:rFonts w:ascii="Arial" w:hAnsi="Arial" w:cs="Arial"/>
              </w:rPr>
              <w:t>O</w:t>
            </w:r>
          </w:p>
        </w:tc>
        <w:tc>
          <w:tcPr>
            <w:tcW w:w="8730" w:type="dxa"/>
          </w:tcPr>
          <w:p w14:paraId="4BE2B992" w14:textId="69E1078A" w:rsidR="00314035" w:rsidRPr="00314035" w:rsidRDefault="00314035" w:rsidP="00314035">
            <w:pPr>
              <w:spacing w:before="40" w:after="40"/>
              <w:rPr>
                <w:rFonts w:ascii="Arial" w:hAnsi="Arial" w:cs="Arial"/>
              </w:rPr>
            </w:pPr>
            <w:r w:rsidRPr="00314035">
              <w:rPr>
                <w:rFonts w:ascii="Arial" w:hAnsi="Arial" w:cs="Arial"/>
              </w:rPr>
              <w:t>Reserved</w:t>
            </w:r>
          </w:p>
        </w:tc>
      </w:tr>
      <w:tr w:rsidR="00314035" w:rsidRPr="00314035" w14:paraId="6644C7AF" w14:textId="77777777" w:rsidTr="004F00F2">
        <w:tc>
          <w:tcPr>
            <w:tcW w:w="918" w:type="dxa"/>
          </w:tcPr>
          <w:p w14:paraId="2B8EF44F" w14:textId="74D412B0" w:rsidR="00314035" w:rsidRPr="00314035" w:rsidRDefault="00314035" w:rsidP="004F00F2">
            <w:pPr>
              <w:autoSpaceDE w:val="0"/>
              <w:autoSpaceDN w:val="0"/>
              <w:adjustRightInd w:val="0"/>
              <w:rPr>
                <w:rFonts w:ascii="Arial" w:hAnsi="Arial" w:cs="Arial"/>
              </w:rPr>
            </w:pPr>
            <w:r w:rsidRPr="00314035">
              <w:rPr>
                <w:rFonts w:ascii="Arial" w:hAnsi="Arial" w:cs="Arial"/>
                <w:bCs/>
                <w:iCs/>
              </w:rPr>
              <w:t>R</w:t>
            </w:r>
          </w:p>
        </w:tc>
        <w:tc>
          <w:tcPr>
            <w:tcW w:w="8730" w:type="dxa"/>
          </w:tcPr>
          <w:p w14:paraId="625DB315" w14:textId="77777777" w:rsidR="00314035" w:rsidRPr="00314035" w:rsidRDefault="00314035" w:rsidP="00314035">
            <w:pPr>
              <w:autoSpaceDE w:val="0"/>
              <w:autoSpaceDN w:val="0"/>
              <w:adjustRightInd w:val="0"/>
              <w:spacing w:before="40" w:after="40"/>
              <w:rPr>
                <w:rFonts w:ascii="Arial" w:hAnsi="Arial" w:cs="Arial"/>
                <w:bCs/>
                <w:iCs/>
              </w:rPr>
            </w:pPr>
            <w:r w:rsidRPr="00314035">
              <w:rPr>
                <w:rFonts w:ascii="Arial" w:hAnsi="Arial" w:cs="Arial"/>
                <w:bCs/>
                <w:iCs/>
              </w:rPr>
              <w:t>DLA Disposition Services receipt-in-place property held pending disposition and shipping instructions.</w:t>
            </w:r>
          </w:p>
          <w:p w14:paraId="263F524B" w14:textId="77777777" w:rsidR="00314035" w:rsidRPr="00314035" w:rsidRDefault="00314035" w:rsidP="0073329F">
            <w:pPr>
              <w:spacing w:before="40" w:after="40"/>
              <w:rPr>
                <w:rFonts w:ascii="Arial" w:hAnsi="Arial" w:cs="Arial"/>
              </w:rPr>
            </w:pPr>
          </w:p>
        </w:tc>
      </w:tr>
      <w:tr w:rsidR="000429CB" w:rsidRPr="00314035" w14:paraId="6322CB8F" w14:textId="77777777" w:rsidTr="004F00F2">
        <w:trPr>
          <w:cantSplit/>
        </w:trPr>
        <w:tc>
          <w:tcPr>
            <w:tcW w:w="918" w:type="dxa"/>
          </w:tcPr>
          <w:p w14:paraId="6322CB8D" w14:textId="70469A86" w:rsidR="000429CB" w:rsidRPr="00B97BC9" w:rsidRDefault="00612615" w:rsidP="0073329F">
            <w:pPr>
              <w:spacing w:before="40" w:after="40"/>
              <w:rPr>
                <w:rFonts w:ascii="Arial" w:hAnsi="Arial" w:cs="Arial"/>
                <w:b/>
                <w:i/>
              </w:rPr>
            </w:pPr>
            <w:r w:rsidRPr="00F26512">
              <w:rPr>
                <w:rFonts w:ascii="Arial" w:hAnsi="Arial" w:cs="Arial"/>
              </w:rPr>
              <w:lastRenderedPageBreak/>
              <w:t>S</w:t>
            </w:r>
          </w:p>
        </w:tc>
        <w:tc>
          <w:tcPr>
            <w:tcW w:w="8730" w:type="dxa"/>
          </w:tcPr>
          <w:p w14:paraId="6322CB8E" w14:textId="56E1893D" w:rsidR="00612615" w:rsidRPr="00314035" w:rsidRDefault="00B97BC9" w:rsidP="00612615">
            <w:pPr>
              <w:autoSpaceDE w:val="0"/>
              <w:autoSpaceDN w:val="0"/>
              <w:adjustRightInd w:val="0"/>
              <w:spacing w:before="40" w:after="40"/>
              <w:rPr>
                <w:rFonts w:ascii="Arial" w:hAnsi="Arial" w:cs="Arial"/>
              </w:rPr>
            </w:pPr>
            <w:r w:rsidRPr="00F26512">
              <w:rPr>
                <w:rFonts w:ascii="Arial" w:hAnsi="Arial" w:cs="Arial"/>
                <w:bCs/>
                <w:iCs/>
              </w:rPr>
              <w:t xml:space="preserve">Invalid or missing Transportation Account Code (TAC).  </w:t>
            </w:r>
            <w:r w:rsidR="00612615" w:rsidRPr="00314035">
              <w:rPr>
                <w:rFonts w:ascii="Arial" w:hAnsi="Arial" w:cs="Arial"/>
                <w:bCs/>
                <w:iCs/>
              </w:rPr>
              <w:t>.</w:t>
            </w:r>
          </w:p>
        </w:tc>
      </w:tr>
      <w:tr w:rsidR="00B97BC9" w:rsidRPr="00314035" w14:paraId="44E1F1E5" w14:textId="77777777" w:rsidTr="004F00F2">
        <w:trPr>
          <w:cantSplit/>
        </w:trPr>
        <w:tc>
          <w:tcPr>
            <w:tcW w:w="918" w:type="dxa"/>
          </w:tcPr>
          <w:p w14:paraId="09E87A70" w14:textId="09134878" w:rsidR="00B97BC9" w:rsidRPr="00F26512" w:rsidRDefault="00B97BC9" w:rsidP="0073329F">
            <w:pPr>
              <w:spacing w:before="40" w:after="40"/>
              <w:rPr>
                <w:rFonts w:ascii="Arial" w:hAnsi="Arial" w:cs="Arial"/>
              </w:rPr>
            </w:pPr>
            <w:r w:rsidRPr="00F26512">
              <w:rPr>
                <w:rFonts w:ascii="Arial" w:hAnsi="Arial" w:cs="Arial"/>
              </w:rPr>
              <w:t>T-V</w:t>
            </w:r>
          </w:p>
        </w:tc>
        <w:tc>
          <w:tcPr>
            <w:tcW w:w="8730" w:type="dxa"/>
          </w:tcPr>
          <w:p w14:paraId="36ADCEC3" w14:textId="4457C050" w:rsidR="00B97BC9" w:rsidRPr="00B97BC9" w:rsidRDefault="00B97BC9" w:rsidP="00612615">
            <w:pPr>
              <w:autoSpaceDE w:val="0"/>
              <w:autoSpaceDN w:val="0"/>
              <w:adjustRightInd w:val="0"/>
              <w:spacing w:before="40" w:after="40"/>
              <w:rPr>
                <w:rFonts w:ascii="Arial" w:hAnsi="Arial" w:cs="Arial"/>
                <w:bCs/>
                <w:iCs/>
              </w:rPr>
            </w:pPr>
            <w:r>
              <w:rPr>
                <w:rFonts w:ascii="Arial" w:hAnsi="Arial" w:cs="Arial"/>
                <w:bCs/>
                <w:iCs/>
              </w:rPr>
              <w:t>Reserved</w:t>
            </w:r>
          </w:p>
        </w:tc>
      </w:tr>
      <w:tr w:rsidR="000429CB" w:rsidRPr="00314035" w14:paraId="6322CB92" w14:textId="77777777" w:rsidTr="004F00F2">
        <w:tc>
          <w:tcPr>
            <w:tcW w:w="918" w:type="dxa"/>
          </w:tcPr>
          <w:p w14:paraId="6322CB90" w14:textId="77777777" w:rsidR="000429CB" w:rsidRPr="00314035" w:rsidRDefault="000429CB" w:rsidP="0073329F">
            <w:pPr>
              <w:spacing w:before="40" w:after="40"/>
              <w:rPr>
                <w:rFonts w:ascii="Arial" w:hAnsi="Arial" w:cs="Arial"/>
              </w:rPr>
            </w:pPr>
            <w:r w:rsidRPr="00314035">
              <w:rPr>
                <w:rFonts w:ascii="Arial" w:hAnsi="Arial" w:cs="Arial"/>
              </w:rPr>
              <w:t>W</w:t>
            </w:r>
          </w:p>
        </w:tc>
        <w:tc>
          <w:tcPr>
            <w:tcW w:w="8730" w:type="dxa"/>
          </w:tcPr>
          <w:p w14:paraId="6322CB91" w14:textId="77777777" w:rsidR="000429CB" w:rsidRPr="00314035" w:rsidRDefault="000429CB" w:rsidP="0073329F">
            <w:pPr>
              <w:spacing w:before="40" w:after="40"/>
              <w:rPr>
                <w:rFonts w:ascii="Arial" w:hAnsi="Arial" w:cs="Arial"/>
              </w:rPr>
            </w:pPr>
            <w:r w:rsidRPr="00314035">
              <w:rPr>
                <w:rFonts w:ascii="Arial" w:hAnsi="Arial" w:cs="Arial"/>
              </w:rPr>
              <w:t>Wood Packing Material (WPM) remediation/decontamination.</w:t>
            </w:r>
          </w:p>
        </w:tc>
      </w:tr>
      <w:tr w:rsidR="00BD6EFF" w:rsidRPr="00314035" w14:paraId="4C9EC359" w14:textId="77777777" w:rsidTr="004F00F2">
        <w:tc>
          <w:tcPr>
            <w:tcW w:w="918" w:type="dxa"/>
          </w:tcPr>
          <w:p w14:paraId="54229F36" w14:textId="7A9BBFBF" w:rsidR="00BD6EFF" w:rsidRPr="00B97BC9" w:rsidRDefault="00BD6EFF" w:rsidP="000D63D0">
            <w:pPr>
              <w:spacing w:before="60" w:after="60"/>
              <w:rPr>
                <w:rFonts w:ascii="Arial" w:hAnsi="Arial" w:cs="Arial"/>
                <w:b/>
                <w:i/>
              </w:rPr>
            </w:pPr>
            <w:r w:rsidRPr="00F26512">
              <w:rPr>
                <w:rFonts w:ascii="Arial" w:hAnsi="Arial" w:cs="Arial"/>
              </w:rPr>
              <w:t>X</w:t>
            </w:r>
          </w:p>
        </w:tc>
        <w:tc>
          <w:tcPr>
            <w:tcW w:w="8730" w:type="dxa"/>
          </w:tcPr>
          <w:p w14:paraId="4F42B175" w14:textId="01C78A85" w:rsidR="00BD6EFF" w:rsidRPr="00B97BC9" w:rsidRDefault="00BD6EFF" w:rsidP="000D63D0">
            <w:pPr>
              <w:spacing w:before="60" w:after="60"/>
              <w:rPr>
                <w:rFonts w:ascii="Arial" w:hAnsi="Arial" w:cs="Arial"/>
              </w:rPr>
            </w:pPr>
            <w:r w:rsidRPr="00F26512">
              <w:rPr>
                <w:rFonts w:ascii="Arial" w:hAnsi="Arial" w:cs="Arial"/>
              </w:rPr>
              <w:t>DLA Disposition Services Field Office redistribution order held pending release (inventory on hold; not available for alternate use).</w:t>
            </w:r>
          </w:p>
        </w:tc>
      </w:tr>
      <w:tr w:rsidR="000429CB" w:rsidRPr="00314035" w14:paraId="6322CB95" w14:textId="77777777" w:rsidTr="004F00F2">
        <w:tc>
          <w:tcPr>
            <w:tcW w:w="918" w:type="dxa"/>
          </w:tcPr>
          <w:p w14:paraId="6322CB93" w14:textId="180D6B85" w:rsidR="000429CB" w:rsidRPr="00314035" w:rsidRDefault="00BD6EFF" w:rsidP="00BD6EFF">
            <w:pPr>
              <w:spacing w:before="60" w:after="60"/>
              <w:rPr>
                <w:rFonts w:ascii="Arial" w:hAnsi="Arial" w:cs="Arial"/>
              </w:rPr>
            </w:pPr>
            <w:r>
              <w:rPr>
                <w:rFonts w:ascii="Arial" w:hAnsi="Arial" w:cs="Arial"/>
              </w:rPr>
              <w:t>Y</w:t>
            </w:r>
          </w:p>
        </w:tc>
        <w:tc>
          <w:tcPr>
            <w:tcW w:w="8730" w:type="dxa"/>
          </w:tcPr>
          <w:p w14:paraId="6322CB94" w14:textId="77777777" w:rsidR="000429CB" w:rsidRPr="00314035" w:rsidRDefault="000429CB" w:rsidP="001139C9">
            <w:pPr>
              <w:spacing w:before="60" w:after="60"/>
              <w:rPr>
                <w:rFonts w:ascii="Arial" w:hAnsi="Arial" w:cs="Arial"/>
              </w:rPr>
            </w:pPr>
            <w:r w:rsidRPr="00314035">
              <w:rPr>
                <w:rFonts w:ascii="Arial" w:hAnsi="Arial" w:cs="Arial"/>
              </w:rPr>
              <w:t>Reserved.</w:t>
            </w:r>
          </w:p>
        </w:tc>
      </w:tr>
      <w:tr w:rsidR="000429CB" w:rsidRPr="00314035" w14:paraId="6322CB9B" w14:textId="77777777" w:rsidTr="004F00F2">
        <w:tc>
          <w:tcPr>
            <w:tcW w:w="918" w:type="dxa"/>
          </w:tcPr>
          <w:p w14:paraId="6322CB99" w14:textId="77777777" w:rsidR="000429CB" w:rsidRPr="00314035" w:rsidRDefault="000429CB" w:rsidP="001139C9">
            <w:pPr>
              <w:spacing w:before="60" w:after="60"/>
              <w:rPr>
                <w:rFonts w:ascii="Arial" w:hAnsi="Arial" w:cs="Arial"/>
                <w:szCs w:val="23"/>
              </w:rPr>
            </w:pPr>
            <w:r w:rsidRPr="00314035">
              <w:rPr>
                <w:rFonts w:ascii="Arial" w:hAnsi="Arial" w:cs="Arial"/>
                <w:szCs w:val="23"/>
              </w:rPr>
              <w:t>Z</w:t>
            </w:r>
          </w:p>
        </w:tc>
        <w:tc>
          <w:tcPr>
            <w:tcW w:w="8730" w:type="dxa"/>
          </w:tcPr>
          <w:p w14:paraId="6322CB9A" w14:textId="77777777" w:rsidR="000429CB" w:rsidRPr="00314035" w:rsidRDefault="000429CB" w:rsidP="004F00F2">
            <w:pPr>
              <w:spacing w:before="60" w:after="60"/>
              <w:rPr>
                <w:rFonts w:ascii="Arial" w:hAnsi="Arial" w:cs="Arial"/>
                <w:szCs w:val="23"/>
              </w:rPr>
            </w:pPr>
            <w:r w:rsidRPr="00314035">
              <w:rPr>
                <w:rFonts w:ascii="Arial" w:hAnsi="Arial" w:cs="Arial"/>
                <w:szCs w:val="23"/>
              </w:rPr>
              <w:t>Holding action of less than 24 hours from date materiel is available for shipment.</w:t>
            </w:r>
          </w:p>
        </w:tc>
      </w:tr>
    </w:tbl>
    <w:p w14:paraId="6322CB9C" w14:textId="77777777" w:rsidR="000429CB" w:rsidRDefault="000429CB" w:rsidP="0073329F">
      <w:pPr>
        <w:jc w:val="center"/>
      </w:pPr>
    </w:p>
    <w:sectPr w:rsidR="000429CB" w:rsidSect="0073329F">
      <w:headerReference w:type="default" r:id="rId9"/>
      <w:footerReference w:type="even" r:id="rId10"/>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2CB9F" w14:textId="77777777" w:rsidR="000D63D0" w:rsidRDefault="000D63D0" w:rsidP="00847E96">
      <w:r>
        <w:separator/>
      </w:r>
    </w:p>
  </w:endnote>
  <w:endnote w:type="continuationSeparator" w:id="0">
    <w:p w14:paraId="6322CBA0" w14:textId="77777777" w:rsidR="000D63D0" w:rsidRDefault="000D63D0" w:rsidP="0084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CBA2" w14:textId="77777777" w:rsidR="000D63D0" w:rsidRDefault="000D63D0" w:rsidP="00847E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22CBA3" w14:textId="77777777" w:rsidR="000D63D0" w:rsidRDefault="000D6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CBA4" w14:textId="5373B58C" w:rsidR="000D63D0" w:rsidRPr="000429CB" w:rsidRDefault="000D63D0" w:rsidP="00847E96">
    <w:pPr>
      <w:pStyle w:val="Footer"/>
      <w:framePr w:wrap="around" w:vAnchor="text" w:hAnchor="margin" w:xAlign="center" w:y="1"/>
      <w:rPr>
        <w:rStyle w:val="PageNumber"/>
        <w:rFonts w:ascii="Arial" w:hAnsi="Arial" w:cs="Arial"/>
      </w:rPr>
    </w:pPr>
    <w:r>
      <w:rPr>
        <w:rStyle w:val="PageNumber"/>
        <w:rFonts w:ascii="Arial" w:hAnsi="Arial" w:cs="Arial"/>
      </w:rPr>
      <w:t>AP7.17-</w:t>
    </w:r>
    <w:r w:rsidRPr="000429CB">
      <w:rPr>
        <w:rStyle w:val="PageNumber"/>
        <w:rFonts w:ascii="Arial" w:hAnsi="Arial" w:cs="Arial"/>
      </w:rPr>
      <w:fldChar w:fldCharType="begin"/>
    </w:r>
    <w:r w:rsidRPr="000429CB">
      <w:rPr>
        <w:rStyle w:val="PageNumber"/>
        <w:rFonts w:ascii="Arial" w:hAnsi="Arial" w:cs="Arial"/>
      </w:rPr>
      <w:instrText xml:space="preserve">PAGE  </w:instrText>
    </w:r>
    <w:r w:rsidRPr="000429CB">
      <w:rPr>
        <w:rStyle w:val="PageNumber"/>
        <w:rFonts w:ascii="Arial" w:hAnsi="Arial" w:cs="Arial"/>
      </w:rPr>
      <w:fldChar w:fldCharType="separate"/>
    </w:r>
    <w:r w:rsidR="00C8068A">
      <w:rPr>
        <w:rStyle w:val="PageNumber"/>
        <w:rFonts w:ascii="Arial" w:hAnsi="Arial" w:cs="Arial"/>
        <w:noProof/>
      </w:rPr>
      <w:t>1</w:t>
    </w:r>
    <w:r w:rsidRPr="000429CB">
      <w:rPr>
        <w:rStyle w:val="PageNumber"/>
        <w:rFonts w:ascii="Arial" w:hAnsi="Arial" w:cs="Arial"/>
      </w:rPr>
      <w:fldChar w:fldCharType="end"/>
    </w:r>
  </w:p>
  <w:p w14:paraId="6322CBA5" w14:textId="10F39747" w:rsidR="000D63D0" w:rsidRPr="000429CB" w:rsidRDefault="000D63D0" w:rsidP="000429CB">
    <w:pPr>
      <w:pStyle w:val="Footer"/>
      <w:jc w:val="right"/>
      <w:rPr>
        <w:rFonts w:ascii="Arial" w:hAnsi="Arial" w:cs="Arial"/>
      </w:rPr>
    </w:pPr>
    <w:r w:rsidRPr="000429CB">
      <w:rPr>
        <w:rFonts w:ascii="Arial" w:hAnsi="Arial" w:cs="Arial"/>
      </w:rPr>
      <w:t xml:space="preserve">APPENDIX </w:t>
    </w:r>
    <w:r>
      <w:rPr>
        <w:rFonts w:ascii="Arial" w:hAnsi="Arial" w:cs="Arial"/>
      </w:rPr>
      <w:t>7</w:t>
    </w:r>
    <w:r w:rsidRPr="000429CB">
      <w:rPr>
        <w:rFonts w:ascii="Arial" w:hAnsi="Arial" w:cs="Arial"/>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2CB9D" w14:textId="77777777" w:rsidR="000D63D0" w:rsidRDefault="000D63D0" w:rsidP="00847E96">
      <w:r>
        <w:separator/>
      </w:r>
    </w:p>
  </w:footnote>
  <w:footnote w:type="continuationSeparator" w:id="0">
    <w:p w14:paraId="6322CB9E" w14:textId="77777777" w:rsidR="000D63D0" w:rsidRDefault="000D63D0" w:rsidP="00847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512AB" w14:textId="4CF507B6" w:rsidR="000D63D0" w:rsidRPr="000D63D0" w:rsidRDefault="000D63D0" w:rsidP="000D63D0">
    <w:pPr>
      <w:tabs>
        <w:tab w:val="center" w:pos="4320"/>
        <w:tab w:val="right" w:pos="8640"/>
      </w:tabs>
      <w:autoSpaceDN w:val="0"/>
      <w:jc w:val="right"/>
      <w:rPr>
        <w:rFonts w:ascii="Arial" w:hAnsi="Arial"/>
        <w:i/>
        <w:iCs/>
        <w:szCs w:val="20"/>
      </w:rPr>
    </w:pPr>
    <w:r w:rsidRPr="000D63D0">
      <w:rPr>
        <w:rFonts w:ascii="Arial" w:hAnsi="Arial"/>
        <w:i/>
        <w:iCs/>
        <w:szCs w:val="20"/>
      </w:rPr>
      <w:t xml:space="preserve">DLM 4000.25, Volume 2, </w:t>
    </w:r>
    <w:r w:rsidR="00C8068A" w:rsidRPr="00C8068A">
      <w:rPr>
        <w:rFonts w:ascii="Arial" w:hAnsi="Arial"/>
        <w:i/>
        <w:iCs/>
        <w:szCs w:val="20"/>
      </w:rPr>
      <w:t>November 26</w:t>
    </w:r>
    <w:r w:rsidRPr="000D63D0">
      <w:rPr>
        <w:rFonts w:ascii="Arial" w:hAnsi="Arial"/>
        <w:i/>
        <w:iCs/>
        <w:szCs w:val="20"/>
      </w:rPr>
      <w:t>, 2019</w:t>
    </w:r>
  </w:p>
  <w:p w14:paraId="6254400F" w14:textId="642A8E3C" w:rsidR="000D63D0" w:rsidRPr="004F00F2" w:rsidRDefault="000D63D0" w:rsidP="009702EC">
    <w:pPr>
      <w:pStyle w:val="Header"/>
      <w:jc w:val="right"/>
      <w:rPr>
        <w:rFonts w:ascii="Arial" w:hAnsi="Arial" w:cs="Arial"/>
        <w:i/>
      </w:rPr>
    </w:pPr>
    <w:r w:rsidRPr="000D63D0">
      <w:rPr>
        <w:rFonts w:ascii="Arial" w:hAnsi="Arial"/>
        <w:i/>
        <w:iCs/>
        <w:szCs w:val="20"/>
      </w:rPr>
      <w:t>Change 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characterSpacingControl w:val="doNotCompress"/>
  <w:hdrShapeDefaults>
    <o:shapedefaults v:ext="edit" spidmax="337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9CB"/>
    <w:rsid w:val="000429CB"/>
    <w:rsid w:val="00097966"/>
    <w:rsid w:val="000D63D0"/>
    <w:rsid w:val="000E1CDE"/>
    <w:rsid w:val="001139C9"/>
    <w:rsid w:val="00180C59"/>
    <w:rsid w:val="002A5265"/>
    <w:rsid w:val="002F0959"/>
    <w:rsid w:val="00314035"/>
    <w:rsid w:val="0048531A"/>
    <w:rsid w:val="004A7619"/>
    <w:rsid w:val="004C5BEE"/>
    <w:rsid w:val="004F00F2"/>
    <w:rsid w:val="00517636"/>
    <w:rsid w:val="00581406"/>
    <w:rsid w:val="00594A91"/>
    <w:rsid w:val="005D32C9"/>
    <w:rsid w:val="00612615"/>
    <w:rsid w:val="00684998"/>
    <w:rsid w:val="006D445B"/>
    <w:rsid w:val="007141AE"/>
    <w:rsid w:val="0072551E"/>
    <w:rsid w:val="0073329F"/>
    <w:rsid w:val="0075655F"/>
    <w:rsid w:val="007B49C9"/>
    <w:rsid w:val="00847E96"/>
    <w:rsid w:val="009702EC"/>
    <w:rsid w:val="009C4208"/>
    <w:rsid w:val="00A60E3C"/>
    <w:rsid w:val="00AA77AA"/>
    <w:rsid w:val="00AF6709"/>
    <w:rsid w:val="00B63206"/>
    <w:rsid w:val="00B97BC9"/>
    <w:rsid w:val="00BB7276"/>
    <w:rsid w:val="00BC71D3"/>
    <w:rsid w:val="00BD6EFF"/>
    <w:rsid w:val="00BE6F5B"/>
    <w:rsid w:val="00C35A0D"/>
    <w:rsid w:val="00C8068A"/>
    <w:rsid w:val="00C96A62"/>
    <w:rsid w:val="00CB0771"/>
    <w:rsid w:val="00CC3032"/>
    <w:rsid w:val="00D55EEA"/>
    <w:rsid w:val="00D56650"/>
    <w:rsid w:val="00EA6F75"/>
    <w:rsid w:val="00ED1A6F"/>
    <w:rsid w:val="00F04993"/>
    <w:rsid w:val="00F15736"/>
    <w:rsid w:val="00F26512"/>
    <w:rsid w:val="00F3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322CB55"/>
  <w15:docId w15:val="{A97E1044-DA79-48B9-85B3-52735C62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3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29CB"/>
    <w:pPr>
      <w:tabs>
        <w:tab w:val="center" w:pos="4320"/>
        <w:tab w:val="right" w:pos="8640"/>
      </w:tabs>
    </w:pPr>
  </w:style>
  <w:style w:type="paragraph" w:styleId="Footer">
    <w:name w:val="footer"/>
    <w:basedOn w:val="Normal"/>
    <w:rsid w:val="000429CB"/>
    <w:pPr>
      <w:tabs>
        <w:tab w:val="center" w:pos="4320"/>
        <w:tab w:val="right" w:pos="8640"/>
      </w:tabs>
    </w:pPr>
  </w:style>
  <w:style w:type="character" w:styleId="PageNumber">
    <w:name w:val="page number"/>
    <w:basedOn w:val="DefaultParagraphFont"/>
    <w:rsid w:val="000429CB"/>
  </w:style>
  <w:style w:type="table" w:styleId="TableGrid">
    <w:name w:val="Table Grid"/>
    <w:basedOn w:val="TableNormal"/>
    <w:rsid w:val="0004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12615"/>
    <w:rPr>
      <w:sz w:val="16"/>
      <w:szCs w:val="16"/>
    </w:rPr>
  </w:style>
  <w:style w:type="paragraph" w:styleId="CommentText">
    <w:name w:val="annotation text"/>
    <w:basedOn w:val="Normal"/>
    <w:link w:val="CommentTextChar"/>
    <w:rsid w:val="00612615"/>
    <w:rPr>
      <w:sz w:val="20"/>
      <w:szCs w:val="20"/>
    </w:rPr>
  </w:style>
  <w:style w:type="character" w:customStyle="1" w:styleId="CommentTextChar">
    <w:name w:val="Comment Text Char"/>
    <w:basedOn w:val="DefaultParagraphFont"/>
    <w:link w:val="CommentText"/>
    <w:rsid w:val="00612615"/>
  </w:style>
  <w:style w:type="paragraph" w:styleId="CommentSubject">
    <w:name w:val="annotation subject"/>
    <w:basedOn w:val="CommentText"/>
    <w:next w:val="CommentText"/>
    <w:link w:val="CommentSubjectChar"/>
    <w:rsid w:val="00612615"/>
    <w:rPr>
      <w:b/>
      <w:bCs/>
    </w:rPr>
  </w:style>
  <w:style w:type="character" w:customStyle="1" w:styleId="CommentSubjectChar">
    <w:name w:val="Comment Subject Char"/>
    <w:link w:val="CommentSubject"/>
    <w:rsid w:val="00612615"/>
    <w:rPr>
      <w:b/>
      <w:bCs/>
    </w:rPr>
  </w:style>
  <w:style w:type="paragraph" w:styleId="BalloonText">
    <w:name w:val="Balloon Text"/>
    <w:basedOn w:val="Normal"/>
    <w:link w:val="BalloonTextChar"/>
    <w:rsid w:val="00612615"/>
    <w:rPr>
      <w:rFonts w:ascii="Tahoma" w:hAnsi="Tahoma" w:cs="Tahoma"/>
      <w:sz w:val="16"/>
      <w:szCs w:val="16"/>
    </w:rPr>
  </w:style>
  <w:style w:type="character" w:customStyle="1" w:styleId="BalloonTextChar">
    <w:name w:val="Balloon Text Char"/>
    <w:link w:val="BalloonText"/>
    <w:rsid w:val="00612615"/>
    <w:rPr>
      <w:rFonts w:ascii="Tahoma" w:hAnsi="Tahoma" w:cs="Tahoma"/>
      <w:sz w:val="16"/>
      <w:szCs w:val="16"/>
    </w:rPr>
  </w:style>
  <w:style w:type="paragraph" w:styleId="Revision">
    <w:name w:val="Revision"/>
    <w:hidden/>
    <w:uiPriority w:val="99"/>
    <w:semiHidden/>
    <w:rsid w:val="00612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7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DF4B5-0067-4EC6-B198-4A4BFE7CAEAB}">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576D4B7-2585-4E05-B8E8-D2686F480226}">
  <ds:schemaRefs>
    <ds:schemaRef ds:uri="http://schemas.microsoft.com/sharepoint/v3/contenttype/forms"/>
  </ds:schemaRefs>
</ds:datastoreItem>
</file>

<file path=customXml/itemProps3.xml><?xml version="1.0" encoding="utf-8"?>
<ds:datastoreItem xmlns:ds="http://schemas.openxmlformats.org/officeDocument/2006/customXml" ds:itemID="{33F98B2E-0B59-4021-BA39-9BA39485A81A}"/>
</file>

<file path=docProps/app.xml><?xml version="1.0" encoding="utf-8"?>
<Properties xmlns="http://schemas.openxmlformats.org/officeDocument/2006/extended-properties" xmlns:vt="http://schemas.openxmlformats.org/officeDocument/2006/docPropsVTypes">
  <Template>16890C2C.dotm</Template>
  <TotalTime>67</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Appendix 2.17 - Shipment Hold Codes</vt:lpstr>
    </vt:vector>
  </TitlesOfParts>
  <Company>DLA Logistics Management Standards  Office</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7.17 - Shipment Hold Codes</dc:title>
  <dc:subject/>
  <dc:creator>Heidi Daverede</dc:creator>
  <cp:keywords/>
  <dc:description/>
  <cp:lastModifiedBy>Nguyen, Bao X CTR DLA INFO OPERATIONS (USA)</cp:lastModifiedBy>
  <cp:revision>19</cp:revision>
  <dcterms:created xsi:type="dcterms:W3CDTF">2009-12-17T19:46:00Z</dcterms:created>
  <dcterms:modified xsi:type="dcterms:W3CDTF">2019-11-26T21:40:00Z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2295000</vt:r8>
  </property>
</Properties>
</file>