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1CEA" w14:textId="415D4272" w:rsidR="0029240A" w:rsidRPr="002822D4" w:rsidRDefault="00955FE9" w:rsidP="0038112E">
      <w:pPr>
        <w:spacing w:after="240"/>
        <w:jc w:val="center"/>
        <w:rPr>
          <w:b/>
          <w:sz w:val="44"/>
          <w:szCs w:val="44"/>
          <w:u w:val="single"/>
        </w:rPr>
      </w:pPr>
      <w:r>
        <w:rPr>
          <w:b/>
          <w:sz w:val="44"/>
          <w:szCs w:val="44"/>
          <w:u w:val="single"/>
        </w:rPr>
        <w:t>AP7</w:t>
      </w:r>
      <w:r w:rsidR="00F84173" w:rsidRPr="002822D4">
        <w:rPr>
          <w:b/>
          <w:sz w:val="44"/>
          <w:szCs w:val="44"/>
          <w:u w:val="single"/>
        </w:rPr>
        <w:t>.19</w:t>
      </w:r>
      <w:r w:rsidR="001D5DBF" w:rsidRPr="002822D4">
        <w:rPr>
          <w:b/>
          <w:sz w:val="44"/>
          <w:szCs w:val="44"/>
          <w:u w:val="single"/>
        </w:rPr>
        <w:t>.</w:t>
      </w:r>
      <w:r w:rsidR="00F84173" w:rsidRPr="002822D4">
        <w:rPr>
          <w:b/>
          <w:sz w:val="44"/>
          <w:szCs w:val="44"/>
          <w:u w:val="single"/>
        </w:rPr>
        <w:t xml:space="preserve"> APPENDIX </w:t>
      </w:r>
      <w:r>
        <w:rPr>
          <w:b/>
          <w:sz w:val="44"/>
          <w:szCs w:val="44"/>
          <w:u w:val="single"/>
        </w:rPr>
        <w:t>7</w:t>
      </w:r>
      <w:r w:rsidR="00F84173" w:rsidRPr="002822D4">
        <w:rPr>
          <w:b/>
          <w:sz w:val="44"/>
          <w:szCs w:val="44"/>
          <w:u w:val="single"/>
        </w:rPr>
        <w:t>.19</w:t>
      </w:r>
    </w:p>
    <w:p w14:paraId="41CF1CEB" w14:textId="77777777" w:rsidR="0029240A" w:rsidRDefault="00EB3204" w:rsidP="0038112E">
      <w:pPr>
        <w:spacing w:after="360"/>
        <w:jc w:val="center"/>
        <w:rPr>
          <w:b/>
          <w:sz w:val="36"/>
          <w:u w:val="single"/>
        </w:rPr>
      </w:pPr>
      <w:r>
        <w:rPr>
          <w:b/>
          <w:sz w:val="36"/>
          <w:u w:val="single"/>
        </w:rPr>
        <w:t>SECURITY ASSISTANCE PROGRAM</w:t>
      </w:r>
      <w:r w:rsidR="002822D4">
        <w:rPr>
          <w:b/>
          <w:sz w:val="36"/>
          <w:u w:val="single"/>
        </w:rPr>
        <w:t xml:space="preserve"> </w:t>
      </w:r>
      <w:r>
        <w:rPr>
          <w:b/>
          <w:sz w:val="36"/>
          <w:u w:val="single"/>
        </w:rPr>
        <w:t>TYPE OF ASSISTANCE AND FINANCING CODES</w:t>
      </w:r>
    </w:p>
    <w:tbl>
      <w:tblPr>
        <w:tblW w:w="9720" w:type="dxa"/>
        <w:jc w:val="center"/>
        <w:tblLayout w:type="fixed"/>
        <w:tblCellMar>
          <w:left w:w="120" w:type="dxa"/>
          <w:right w:w="120" w:type="dxa"/>
        </w:tblCellMar>
        <w:tblLook w:val="0000" w:firstRow="0" w:lastRow="0" w:firstColumn="0" w:lastColumn="0" w:noHBand="0" w:noVBand="0"/>
      </w:tblPr>
      <w:tblGrid>
        <w:gridCol w:w="4680"/>
        <w:gridCol w:w="5040"/>
      </w:tblGrid>
      <w:tr w:rsidR="00EB3204" w:rsidRPr="00645695" w14:paraId="41CF1CEE" w14:textId="77777777">
        <w:trPr>
          <w:cantSplit/>
          <w:trHeight w:val="403"/>
          <w:jc w:val="center"/>
        </w:trPr>
        <w:tc>
          <w:tcPr>
            <w:tcW w:w="4680" w:type="dxa"/>
            <w:tcBorders>
              <w:top w:val="nil"/>
              <w:left w:val="nil"/>
              <w:bottom w:val="nil"/>
              <w:right w:val="nil"/>
            </w:tcBorders>
          </w:tcPr>
          <w:p w14:paraId="41CF1CEC" w14:textId="77777777" w:rsidR="00EB3204" w:rsidRPr="00645695" w:rsidRDefault="00EB3204">
            <w:pPr>
              <w:spacing w:before="60" w:after="60"/>
            </w:pPr>
            <w:r w:rsidRPr="00645695">
              <w:t>NUMBER OF CHARACTERS:</w:t>
            </w:r>
          </w:p>
        </w:tc>
        <w:tc>
          <w:tcPr>
            <w:tcW w:w="5040" w:type="dxa"/>
            <w:tcBorders>
              <w:top w:val="nil"/>
              <w:left w:val="nil"/>
              <w:bottom w:val="nil"/>
              <w:right w:val="nil"/>
            </w:tcBorders>
          </w:tcPr>
          <w:p w14:paraId="41CF1CED" w14:textId="77777777" w:rsidR="00EB3204" w:rsidRPr="00645695" w:rsidRDefault="00EB3204">
            <w:pPr>
              <w:spacing w:before="60" w:after="60"/>
            </w:pPr>
            <w:r w:rsidRPr="00645695">
              <w:t>One.</w:t>
            </w:r>
          </w:p>
        </w:tc>
      </w:tr>
      <w:tr w:rsidR="00EB3204" w:rsidRPr="00645695" w14:paraId="41CF1CF1" w14:textId="77777777">
        <w:trPr>
          <w:cantSplit/>
          <w:trHeight w:val="403"/>
          <w:jc w:val="center"/>
        </w:trPr>
        <w:tc>
          <w:tcPr>
            <w:tcW w:w="4680" w:type="dxa"/>
            <w:tcBorders>
              <w:top w:val="nil"/>
              <w:left w:val="nil"/>
              <w:bottom w:val="nil"/>
              <w:right w:val="nil"/>
            </w:tcBorders>
          </w:tcPr>
          <w:p w14:paraId="41CF1CEF" w14:textId="77777777" w:rsidR="00EB3204" w:rsidRPr="00645695" w:rsidRDefault="00EB3204">
            <w:pPr>
              <w:spacing w:before="60" w:after="60"/>
            </w:pPr>
            <w:r w:rsidRPr="00645695">
              <w:t>TYPE OF CODE:</w:t>
            </w:r>
          </w:p>
        </w:tc>
        <w:tc>
          <w:tcPr>
            <w:tcW w:w="5040" w:type="dxa"/>
            <w:tcBorders>
              <w:top w:val="nil"/>
              <w:left w:val="nil"/>
              <w:bottom w:val="nil"/>
              <w:right w:val="nil"/>
            </w:tcBorders>
          </w:tcPr>
          <w:p w14:paraId="41CF1CF0" w14:textId="77777777" w:rsidR="00EB3204" w:rsidRPr="00645695" w:rsidRDefault="00EB3204">
            <w:pPr>
              <w:spacing w:before="60" w:after="60"/>
            </w:pPr>
            <w:r w:rsidRPr="00645695">
              <w:t>Alphanumeric.</w:t>
            </w:r>
          </w:p>
        </w:tc>
      </w:tr>
      <w:tr w:rsidR="00EB3204" w:rsidRPr="00645695" w14:paraId="41CF1CF4" w14:textId="77777777">
        <w:trPr>
          <w:cantSplit/>
          <w:trHeight w:val="403"/>
          <w:jc w:val="center"/>
        </w:trPr>
        <w:tc>
          <w:tcPr>
            <w:tcW w:w="4680" w:type="dxa"/>
            <w:tcBorders>
              <w:top w:val="nil"/>
              <w:left w:val="nil"/>
              <w:bottom w:val="nil"/>
              <w:right w:val="nil"/>
            </w:tcBorders>
          </w:tcPr>
          <w:p w14:paraId="41CF1CF2" w14:textId="77777777" w:rsidR="00EB3204" w:rsidRPr="00645695" w:rsidRDefault="00EB3204">
            <w:pPr>
              <w:spacing w:before="60" w:after="60"/>
            </w:pPr>
            <w:r w:rsidRPr="00645695">
              <w:t>EXPLANATION:</w:t>
            </w:r>
          </w:p>
        </w:tc>
        <w:tc>
          <w:tcPr>
            <w:tcW w:w="5040" w:type="dxa"/>
            <w:tcBorders>
              <w:top w:val="nil"/>
              <w:left w:val="nil"/>
              <w:bottom w:val="nil"/>
              <w:right w:val="nil"/>
            </w:tcBorders>
          </w:tcPr>
          <w:p w14:paraId="41CF1CF3" w14:textId="77777777" w:rsidR="00EB3204" w:rsidRPr="00645695" w:rsidRDefault="00EB3204">
            <w:pPr>
              <w:spacing w:before="60" w:after="60"/>
            </w:pPr>
            <w:r w:rsidRPr="00645695">
              <w:t>Provides additional information concerning type of transaction applicable to Security Assistance shipments.</w:t>
            </w:r>
          </w:p>
        </w:tc>
      </w:tr>
      <w:tr w:rsidR="00EB3204" w:rsidRPr="00645695" w14:paraId="41CF1CF7" w14:textId="77777777">
        <w:trPr>
          <w:cantSplit/>
          <w:trHeight w:val="403"/>
          <w:jc w:val="center"/>
        </w:trPr>
        <w:tc>
          <w:tcPr>
            <w:tcW w:w="4680" w:type="dxa"/>
            <w:tcBorders>
              <w:top w:val="nil"/>
              <w:left w:val="nil"/>
              <w:bottom w:val="nil"/>
              <w:right w:val="nil"/>
            </w:tcBorders>
          </w:tcPr>
          <w:p w14:paraId="41CF1CF5" w14:textId="77777777" w:rsidR="00EB3204" w:rsidRPr="00645695" w:rsidRDefault="00EB3204">
            <w:pPr>
              <w:spacing w:before="60" w:after="60"/>
            </w:pPr>
            <w:r w:rsidRPr="00645695">
              <w:t>RECORD POSITION(S):</w:t>
            </w:r>
          </w:p>
        </w:tc>
        <w:tc>
          <w:tcPr>
            <w:tcW w:w="5040" w:type="dxa"/>
            <w:tcBorders>
              <w:top w:val="nil"/>
              <w:left w:val="nil"/>
              <w:bottom w:val="nil"/>
              <w:right w:val="nil"/>
            </w:tcBorders>
          </w:tcPr>
          <w:p w14:paraId="41CF1CF6" w14:textId="77777777" w:rsidR="00EB3204" w:rsidRPr="00645695" w:rsidRDefault="00EB3204">
            <w:pPr>
              <w:spacing w:before="60" w:after="60"/>
            </w:pPr>
            <w:r w:rsidRPr="00645695">
              <w:t>35.</w:t>
            </w:r>
          </w:p>
        </w:tc>
      </w:tr>
      <w:tr w:rsidR="00EB3204" w:rsidRPr="00645695" w14:paraId="41CF1CF9" w14:textId="77777777">
        <w:trPr>
          <w:cantSplit/>
          <w:trHeight w:val="403"/>
          <w:jc w:val="center"/>
        </w:trPr>
        <w:tc>
          <w:tcPr>
            <w:tcW w:w="9720" w:type="dxa"/>
            <w:gridSpan w:val="2"/>
            <w:tcBorders>
              <w:top w:val="nil"/>
              <w:left w:val="nil"/>
              <w:bottom w:val="nil"/>
              <w:right w:val="nil"/>
            </w:tcBorders>
          </w:tcPr>
          <w:p w14:paraId="459DD84D" w14:textId="77777777" w:rsidR="00195A51" w:rsidRPr="00645695" w:rsidRDefault="00195A51" w:rsidP="00FC43F2"/>
          <w:p w14:paraId="41CF1CF8" w14:textId="31CAEA87" w:rsidR="00EB3204" w:rsidRPr="00645695" w:rsidRDefault="00955FE9" w:rsidP="00FC43F2">
            <w:r>
              <w:t>AP7</w:t>
            </w:r>
            <w:r w:rsidR="001D5DBF" w:rsidRPr="00645695">
              <w:t xml:space="preserve">.19.1.  </w:t>
            </w:r>
            <w:r w:rsidR="00EB3204" w:rsidRPr="00645695">
              <w:t xml:space="preserve">GRANT AID </w:t>
            </w:r>
          </w:p>
        </w:tc>
      </w:tr>
    </w:tbl>
    <w:p w14:paraId="3F0BA718" w14:textId="77777777" w:rsidR="00645695" w:rsidRDefault="00645695"/>
    <w:tbl>
      <w:tblPr>
        <w:tblW w:w="9720" w:type="dxa"/>
        <w:jc w:val="center"/>
        <w:tblLayout w:type="fixed"/>
        <w:tblCellMar>
          <w:left w:w="120" w:type="dxa"/>
          <w:right w:w="120" w:type="dxa"/>
        </w:tblCellMar>
        <w:tblLook w:val="0000" w:firstRow="0" w:lastRow="0" w:firstColumn="0" w:lastColumn="0" w:noHBand="0" w:noVBand="0"/>
      </w:tblPr>
      <w:tblGrid>
        <w:gridCol w:w="1620"/>
        <w:gridCol w:w="8100"/>
      </w:tblGrid>
      <w:tr w:rsidR="00EB3204" w:rsidRPr="00645695" w14:paraId="41CF1CFF" w14:textId="77777777" w:rsidTr="00645695">
        <w:trPr>
          <w:cantSplit/>
          <w:trHeight w:val="403"/>
          <w:tblHeader/>
          <w:jc w:val="center"/>
        </w:trPr>
        <w:tc>
          <w:tcPr>
            <w:tcW w:w="1620" w:type="dxa"/>
            <w:tcBorders>
              <w:top w:val="nil"/>
              <w:left w:val="nil"/>
              <w:bottom w:val="nil"/>
              <w:right w:val="nil"/>
            </w:tcBorders>
          </w:tcPr>
          <w:p w14:paraId="41CF1CFD" w14:textId="77777777" w:rsidR="00EB3204" w:rsidRPr="00645695" w:rsidRDefault="00EB3204">
            <w:pPr>
              <w:spacing w:before="60" w:after="60"/>
            </w:pPr>
            <w:r w:rsidRPr="00645695">
              <w:t>CODE</w:t>
            </w:r>
          </w:p>
        </w:tc>
        <w:tc>
          <w:tcPr>
            <w:tcW w:w="8100" w:type="dxa"/>
            <w:tcBorders>
              <w:top w:val="nil"/>
              <w:left w:val="nil"/>
              <w:bottom w:val="nil"/>
              <w:right w:val="nil"/>
            </w:tcBorders>
          </w:tcPr>
          <w:p w14:paraId="41CF1CFE" w14:textId="77777777" w:rsidR="00EB3204" w:rsidRPr="00645695" w:rsidRDefault="00EB3204">
            <w:pPr>
              <w:spacing w:before="60" w:after="60"/>
            </w:pPr>
            <w:r w:rsidRPr="00645695">
              <w:t>EXPLANATION</w:t>
            </w:r>
          </w:p>
        </w:tc>
      </w:tr>
      <w:tr w:rsidR="00EB3204" w:rsidRPr="00645695" w14:paraId="41CF1D02" w14:textId="77777777">
        <w:trPr>
          <w:cantSplit/>
          <w:trHeight w:val="403"/>
          <w:jc w:val="center"/>
        </w:trPr>
        <w:tc>
          <w:tcPr>
            <w:tcW w:w="1620" w:type="dxa"/>
            <w:tcBorders>
              <w:top w:val="nil"/>
              <w:left w:val="nil"/>
              <w:bottom w:val="nil"/>
              <w:right w:val="nil"/>
            </w:tcBorders>
          </w:tcPr>
          <w:p w14:paraId="41CF1D00" w14:textId="77777777" w:rsidR="00EB3204" w:rsidRPr="00645695" w:rsidRDefault="00EB3204">
            <w:pPr>
              <w:spacing w:before="60" w:after="60"/>
            </w:pPr>
            <w:r w:rsidRPr="00645695">
              <w:t>1</w:t>
            </w:r>
          </w:p>
        </w:tc>
        <w:tc>
          <w:tcPr>
            <w:tcW w:w="8100" w:type="dxa"/>
            <w:tcBorders>
              <w:top w:val="nil"/>
              <w:left w:val="nil"/>
              <w:bottom w:val="nil"/>
              <w:right w:val="nil"/>
            </w:tcBorders>
          </w:tcPr>
          <w:p w14:paraId="41CF1D01" w14:textId="3D928363" w:rsidR="00EB3204" w:rsidRPr="00645695" w:rsidRDefault="00EB3204">
            <w:pPr>
              <w:spacing w:before="60" w:after="60"/>
            </w:pPr>
            <w:r w:rsidRPr="00645695">
              <w:t xml:space="preserve">Grant Aid rendered under the authority of the </w:t>
            </w:r>
            <w:r w:rsidR="00F83678" w:rsidRPr="00645695">
              <w:t>Federal Aviation Administration (</w:t>
            </w:r>
            <w:r w:rsidRPr="00645695">
              <w:t>FAA</w:t>
            </w:r>
            <w:r w:rsidR="00F83678" w:rsidRPr="00645695">
              <w:t>)</w:t>
            </w:r>
            <w:r w:rsidRPr="00645695">
              <w:t xml:space="preserve"> of 1961 for which the United States receives no reimbursement.</w:t>
            </w:r>
          </w:p>
        </w:tc>
      </w:tr>
      <w:tr w:rsidR="00EB3204" w:rsidRPr="00645695" w14:paraId="41CF1D05" w14:textId="77777777">
        <w:trPr>
          <w:cantSplit/>
          <w:trHeight w:val="403"/>
          <w:jc w:val="center"/>
        </w:trPr>
        <w:tc>
          <w:tcPr>
            <w:tcW w:w="1620" w:type="dxa"/>
            <w:tcBorders>
              <w:top w:val="nil"/>
              <w:left w:val="nil"/>
              <w:bottom w:val="nil"/>
              <w:right w:val="nil"/>
            </w:tcBorders>
          </w:tcPr>
          <w:p w14:paraId="41CF1D03" w14:textId="77777777" w:rsidR="00EB3204" w:rsidRPr="00645695" w:rsidRDefault="00EB3204">
            <w:pPr>
              <w:spacing w:before="60" w:after="60"/>
            </w:pPr>
            <w:r w:rsidRPr="00645695">
              <w:t>A</w:t>
            </w:r>
          </w:p>
        </w:tc>
        <w:tc>
          <w:tcPr>
            <w:tcW w:w="8100" w:type="dxa"/>
            <w:tcBorders>
              <w:top w:val="nil"/>
              <w:left w:val="nil"/>
              <w:bottom w:val="nil"/>
              <w:right w:val="nil"/>
            </w:tcBorders>
          </w:tcPr>
          <w:p w14:paraId="41CF1D04" w14:textId="77777777" w:rsidR="00EB3204" w:rsidRPr="00645695" w:rsidRDefault="00EB3204">
            <w:pPr>
              <w:spacing w:before="60" w:after="60"/>
            </w:pPr>
            <w:r w:rsidRPr="00645695">
              <w:t>Grant transfers of Excess Defense Articles provided under the authority of the FAA of 1961 for which the United States receives no reimbursement for the value of the materiel.</w:t>
            </w:r>
            <w:bookmarkStart w:id="0" w:name="_GoBack"/>
            <w:bookmarkEnd w:id="0"/>
          </w:p>
        </w:tc>
      </w:tr>
      <w:tr w:rsidR="00EB3204" w:rsidRPr="00645695" w14:paraId="41CF1D08" w14:textId="77777777">
        <w:trPr>
          <w:cantSplit/>
          <w:trHeight w:val="403"/>
          <w:jc w:val="center"/>
        </w:trPr>
        <w:tc>
          <w:tcPr>
            <w:tcW w:w="1620" w:type="dxa"/>
            <w:tcBorders>
              <w:top w:val="nil"/>
              <w:left w:val="nil"/>
              <w:bottom w:val="nil"/>
              <w:right w:val="nil"/>
            </w:tcBorders>
          </w:tcPr>
          <w:p w14:paraId="41CF1D06" w14:textId="77777777" w:rsidR="00EB3204" w:rsidRPr="00645695" w:rsidRDefault="00EB3204">
            <w:pPr>
              <w:spacing w:before="60" w:after="60"/>
            </w:pPr>
            <w:r w:rsidRPr="00645695">
              <w:t>C</w:t>
            </w:r>
          </w:p>
        </w:tc>
        <w:tc>
          <w:tcPr>
            <w:tcW w:w="8100" w:type="dxa"/>
            <w:tcBorders>
              <w:top w:val="nil"/>
              <w:left w:val="nil"/>
              <w:bottom w:val="nil"/>
              <w:right w:val="nil"/>
            </w:tcBorders>
          </w:tcPr>
          <w:p w14:paraId="41CF1D07" w14:textId="20E481EA" w:rsidR="00EB3204" w:rsidRPr="00645695" w:rsidRDefault="00EB3204">
            <w:pPr>
              <w:spacing w:before="60" w:after="60"/>
            </w:pPr>
            <w:r w:rsidRPr="00645695">
              <w:t>Presidential determination to order defense articles from stock and performance of defense services to satisfy Grant Aid requirements with reimbursement from subsequent military assistance appropriations.  (Section 506 of the FAA of 1961.)</w:t>
            </w:r>
            <w:r w:rsidR="00CE6EDC" w:rsidRPr="00645695">
              <w:t xml:space="preserve">  All requests for Working </w:t>
            </w:r>
            <w:r w:rsidR="00BB7D58" w:rsidRPr="00645695">
              <w:t>Capital</w:t>
            </w:r>
            <w:r w:rsidR="00CE6EDC" w:rsidRPr="00645695">
              <w:t xml:space="preserve"> Fund </w:t>
            </w:r>
            <w:r w:rsidR="00BB7D58" w:rsidRPr="00645695">
              <w:t>activities</w:t>
            </w:r>
            <w:r w:rsidR="00CE6EDC" w:rsidRPr="00645695">
              <w:t xml:space="preserve"> (to include transportation), shall include a funding source to allow </w:t>
            </w:r>
            <w:r w:rsidR="00A5409E" w:rsidRPr="00645695">
              <w:t>Defense Working Capital Fund (</w:t>
            </w:r>
            <w:r w:rsidR="00CE6EDC" w:rsidRPr="00645695">
              <w:t>DWCF</w:t>
            </w:r>
            <w:r w:rsidR="00A5409E" w:rsidRPr="00645695">
              <w:t>)</w:t>
            </w:r>
            <w:r w:rsidR="00CE6EDC" w:rsidRPr="00645695">
              <w:t xml:space="preserve"> activities to be reim</w:t>
            </w:r>
            <w:r w:rsidR="00A5409E" w:rsidRPr="00645695">
              <w:t>bursed by t</w:t>
            </w:r>
            <w:r w:rsidR="00CE6EDC" w:rsidRPr="00645695">
              <w:t>he military departments; orders will not be accepted without a funding source. (DoD FMR 7000.14R, Vol 12, paragraph 230502 and Vol 11B, paragraph 110106.A.</w:t>
            </w:r>
          </w:p>
        </w:tc>
      </w:tr>
      <w:tr w:rsidR="00EB3204" w:rsidRPr="00645695" w14:paraId="41CF1D0B" w14:textId="77777777">
        <w:trPr>
          <w:cantSplit/>
          <w:trHeight w:val="403"/>
          <w:jc w:val="center"/>
        </w:trPr>
        <w:tc>
          <w:tcPr>
            <w:tcW w:w="1620" w:type="dxa"/>
            <w:tcBorders>
              <w:top w:val="nil"/>
              <w:left w:val="nil"/>
              <w:bottom w:val="nil"/>
              <w:right w:val="nil"/>
            </w:tcBorders>
          </w:tcPr>
          <w:p w14:paraId="41CF1D09" w14:textId="77777777" w:rsidR="00EB3204" w:rsidRPr="00645695" w:rsidRDefault="00EB3204">
            <w:pPr>
              <w:spacing w:before="60" w:after="60"/>
            </w:pPr>
            <w:r w:rsidRPr="00645695">
              <w:t>D</w:t>
            </w:r>
          </w:p>
        </w:tc>
        <w:tc>
          <w:tcPr>
            <w:tcW w:w="8100" w:type="dxa"/>
            <w:tcBorders>
              <w:top w:val="nil"/>
              <w:left w:val="nil"/>
              <w:bottom w:val="nil"/>
              <w:right w:val="nil"/>
            </w:tcBorders>
          </w:tcPr>
          <w:p w14:paraId="41CF1D0A" w14:textId="5AD1701B" w:rsidR="00EB3204" w:rsidRPr="00645695" w:rsidRDefault="00EB3204" w:rsidP="003511CD">
            <w:pPr>
              <w:spacing w:before="60" w:after="60"/>
            </w:pPr>
            <w:r w:rsidRPr="00645695">
              <w:t>Military Assistance Service Funded</w:t>
            </w:r>
            <w:r w:rsidR="00F83678" w:rsidRPr="00645695">
              <w:t xml:space="preserve"> (MASF)</w:t>
            </w:r>
            <w:r w:rsidRPr="00645695">
              <w:t>.  Grant Aid programs transferred to the DoD budget, which were not controlled and implemented through the</w:t>
            </w:r>
            <w:r w:rsidR="00F83678" w:rsidRPr="00645695">
              <w:t xml:space="preserve"> </w:t>
            </w:r>
            <w:r w:rsidR="003511CD" w:rsidRPr="00645695">
              <w:t>Grant Aid</w:t>
            </w:r>
            <w:r w:rsidRPr="00645695">
              <w:t xml:space="preserve"> documentation and </w:t>
            </w:r>
            <w:r w:rsidR="00195A51" w:rsidRPr="00645695">
              <w:t>a</w:t>
            </w:r>
            <w:r w:rsidR="00F83678" w:rsidRPr="00645695">
              <w:rPr>
                <w:szCs w:val="24"/>
              </w:rPr>
              <w:t xml:space="preserve">utomatic </w:t>
            </w:r>
            <w:r w:rsidR="00195A51" w:rsidRPr="00645695">
              <w:rPr>
                <w:szCs w:val="24"/>
              </w:rPr>
              <w:t>d</w:t>
            </w:r>
            <w:r w:rsidR="00F83678" w:rsidRPr="00645695">
              <w:rPr>
                <w:szCs w:val="24"/>
              </w:rPr>
              <w:t xml:space="preserve">ata </w:t>
            </w:r>
            <w:r w:rsidR="00195A51" w:rsidRPr="00645695">
              <w:rPr>
                <w:szCs w:val="24"/>
              </w:rPr>
              <w:t>p</w:t>
            </w:r>
            <w:r w:rsidR="00F83678" w:rsidRPr="00645695">
              <w:rPr>
                <w:szCs w:val="24"/>
              </w:rPr>
              <w:t>rocessing</w:t>
            </w:r>
            <w:r w:rsidR="00F83678" w:rsidRPr="00645695">
              <w:t xml:space="preserve"> (</w:t>
            </w:r>
            <w:r w:rsidRPr="00645695">
              <w:t>ADP</w:t>
            </w:r>
            <w:r w:rsidR="00F83678" w:rsidRPr="00645695">
              <w:t>)</w:t>
            </w:r>
            <w:r w:rsidRPr="00645695">
              <w:t xml:space="preserve"> system.</w:t>
            </w:r>
          </w:p>
        </w:tc>
      </w:tr>
      <w:tr w:rsidR="00EB3204" w:rsidRPr="00645695" w14:paraId="41CF1D0E" w14:textId="77777777">
        <w:trPr>
          <w:cantSplit/>
          <w:trHeight w:val="403"/>
          <w:jc w:val="center"/>
        </w:trPr>
        <w:tc>
          <w:tcPr>
            <w:tcW w:w="1620" w:type="dxa"/>
            <w:tcBorders>
              <w:top w:val="nil"/>
              <w:left w:val="nil"/>
              <w:bottom w:val="nil"/>
              <w:right w:val="nil"/>
            </w:tcBorders>
          </w:tcPr>
          <w:p w14:paraId="41CF1D0C" w14:textId="77777777" w:rsidR="00EB3204" w:rsidRPr="00645695" w:rsidRDefault="00EB3204">
            <w:pPr>
              <w:spacing w:before="60" w:after="60"/>
            </w:pPr>
            <w:r w:rsidRPr="00645695">
              <w:t>H</w:t>
            </w:r>
          </w:p>
        </w:tc>
        <w:tc>
          <w:tcPr>
            <w:tcW w:w="8100" w:type="dxa"/>
            <w:tcBorders>
              <w:top w:val="nil"/>
              <w:left w:val="nil"/>
              <w:bottom w:val="nil"/>
              <w:right w:val="nil"/>
            </w:tcBorders>
          </w:tcPr>
          <w:p w14:paraId="41CF1D0D" w14:textId="77777777" w:rsidR="00EB3204" w:rsidRPr="00645695" w:rsidRDefault="00EB3204">
            <w:pPr>
              <w:spacing w:before="60" w:after="60"/>
            </w:pPr>
            <w:r w:rsidRPr="00645695">
              <w:t>Grant Aid share of cost sharing agreements.</w:t>
            </w:r>
          </w:p>
        </w:tc>
      </w:tr>
      <w:tr w:rsidR="00EB3204" w:rsidRPr="00645695" w14:paraId="41CF1D11" w14:textId="77777777">
        <w:trPr>
          <w:cantSplit/>
          <w:trHeight w:val="403"/>
          <w:jc w:val="center"/>
        </w:trPr>
        <w:tc>
          <w:tcPr>
            <w:tcW w:w="1620" w:type="dxa"/>
            <w:tcBorders>
              <w:top w:val="nil"/>
              <w:left w:val="nil"/>
              <w:bottom w:val="nil"/>
              <w:right w:val="nil"/>
            </w:tcBorders>
          </w:tcPr>
          <w:p w14:paraId="41CF1D0F" w14:textId="77777777" w:rsidR="00EB3204" w:rsidRPr="00645695" w:rsidRDefault="00EB3204">
            <w:pPr>
              <w:spacing w:before="60" w:after="60"/>
            </w:pPr>
            <w:r w:rsidRPr="00645695">
              <w:t>K</w:t>
            </w:r>
          </w:p>
        </w:tc>
        <w:tc>
          <w:tcPr>
            <w:tcW w:w="8100" w:type="dxa"/>
            <w:tcBorders>
              <w:top w:val="nil"/>
              <w:left w:val="nil"/>
              <w:bottom w:val="nil"/>
              <w:right w:val="nil"/>
            </w:tcBorders>
          </w:tcPr>
          <w:p w14:paraId="41CF1D10" w14:textId="714808E3" w:rsidR="00EB3204" w:rsidRPr="00645695" w:rsidRDefault="009879BB" w:rsidP="003511CD">
            <w:pPr>
              <w:spacing w:before="60" w:after="60"/>
            </w:pPr>
            <w:r w:rsidRPr="00645695">
              <w:t>Grant Aid</w:t>
            </w:r>
            <w:r w:rsidR="00EB3204" w:rsidRPr="00645695">
              <w:t>-owned assets obtained through barter arrangements with Federal Republic of Germany (used in conju</w:t>
            </w:r>
            <w:r w:rsidR="00A5409E" w:rsidRPr="00645695">
              <w:t xml:space="preserve">nction with Supply Source Code </w:t>
            </w:r>
            <w:r w:rsidR="00EB3204" w:rsidRPr="00645695">
              <w:t>B only).</w:t>
            </w:r>
          </w:p>
        </w:tc>
      </w:tr>
      <w:tr w:rsidR="00EB3204" w:rsidRPr="00645695" w14:paraId="41CF1D14" w14:textId="77777777">
        <w:trPr>
          <w:cantSplit/>
          <w:trHeight w:val="403"/>
          <w:jc w:val="center"/>
        </w:trPr>
        <w:tc>
          <w:tcPr>
            <w:tcW w:w="1620" w:type="dxa"/>
            <w:tcBorders>
              <w:top w:val="nil"/>
              <w:left w:val="nil"/>
              <w:bottom w:val="nil"/>
              <w:right w:val="nil"/>
            </w:tcBorders>
          </w:tcPr>
          <w:p w14:paraId="41CF1D12" w14:textId="77777777" w:rsidR="00EB3204" w:rsidRPr="00645695" w:rsidRDefault="00EB3204">
            <w:pPr>
              <w:spacing w:before="60" w:after="60"/>
            </w:pPr>
            <w:r w:rsidRPr="00645695">
              <w:lastRenderedPageBreak/>
              <w:t>L</w:t>
            </w:r>
          </w:p>
        </w:tc>
        <w:tc>
          <w:tcPr>
            <w:tcW w:w="8100" w:type="dxa"/>
            <w:tcBorders>
              <w:top w:val="nil"/>
              <w:left w:val="nil"/>
              <w:bottom w:val="nil"/>
              <w:right w:val="nil"/>
            </w:tcBorders>
          </w:tcPr>
          <w:p w14:paraId="41CF1D13" w14:textId="6C4551DC" w:rsidR="00EB3204" w:rsidRPr="00645695" w:rsidRDefault="00EB3204">
            <w:pPr>
              <w:spacing w:before="60" w:after="60"/>
            </w:pPr>
            <w:r w:rsidRPr="00645695">
              <w:t xml:space="preserve">Grant Aid provided through the </w:t>
            </w:r>
            <w:r w:rsidR="00F83678" w:rsidRPr="00645695">
              <w:rPr>
                <w:szCs w:val="24"/>
              </w:rPr>
              <w:t>NATO Hawk Production and Logistics Office</w:t>
            </w:r>
            <w:r w:rsidR="00F83678" w:rsidRPr="00645695">
              <w:t xml:space="preserve"> (</w:t>
            </w:r>
            <w:r w:rsidRPr="00645695">
              <w:t>NHPLO</w:t>
            </w:r>
            <w:r w:rsidR="00F83678" w:rsidRPr="00645695">
              <w:t>)</w:t>
            </w:r>
            <w:r w:rsidRPr="00645695">
              <w:t xml:space="preserve"> for maintenance support of Hawk Missile system (use in conju</w:t>
            </w:r>
            <w:r w:rsidR="00F83678" w:rsidRPr="00645695">
              <w:t>nction with Supply Source Code N</w:t>
            </w:r>
            <w:r w:rsidRPr="00645695">
              <w:t xml:space="preserve"> only).</w:t>
            </w:r>
          </w:p>
        </w:tc>
      </w:tr>
      <w:tr w:rsidR="00EB3204" w:rsidRPr="00645695" w14:paraId="41CF1D17" w14:textId="77777777">
        <w:trPr>
          <w:cantSplit/>
          <w:trHeight w:val="403"/>
          <w:jc w:val="center"/>
        </w:trPr>
        <w:tc>
          <w:tcPr>
            <w:tcW w:w="1620" w:type="dxa"/>
            <w:tcBorders>
              <w:top w:val="nil"/>
              <w:left w:val="nil"/>
              <w:bottom w:val="nil"/>
              <w:right w:val="nil"/>
            </w:tcBorders>
          </w:tcPr>
          <w:p w14:paraId="41CF1D15" w14:textId="77777777" w:rsidR="00EB3204" w:rsidRPr="00645695" w:rsidRDefault="00EB3204">
            <w:pPr>
              <w:spacing w:before="60" w:after="60"/>
            </w:pPr>
            <w:r w:rsidRPr="00645695">
              <w:t>P</w:t>
            </w:r>
          </w:p>
        </w:tc>
        <w:tc>
          <w:tcPr>
            <w:tcW w:w="8100" w:type="dxa"/>
            <w:tcBorders>
              <w:top w:val="nil"/>
              <w:left w:val="nil"/>
              <w:bottom w:val="nil"/>
              <w:right w:val="nil"/>
            </w:tcBorders>
          </w:tcPr>
          <w:p w14:paraId="41CF1D16" w14:textId="77777777" w:rsidR="00EB3204" w:rsidRPr="00645695" w:rsidRDefault="00EB3204" w:rsidP="00FC43F2">
            <w:pPr>
              <w:spacing w:before="60" w:after="60"/>
            </w:pPr>
            <w:r w:rsidRPr="00645695">
              <w:t xml:space="preserve">Grant Aid programs transferred to the DoD budget which were controlled and implemented through the </w:t>
            </w:r>
            <w:r w:rsidR="00FC43F2" w:rsidRPr="00645695">
              <w:t>Grant Aid</w:t>
            </w:r>
            <w:r w:rsidRPr="00645695">
              <w:t xml:space="preserve"> documentation and ADP system.</w:t>
            </w:r>
          </w:p>
        </w:tc>
      </w:tr>
      <w:tr w:rsidR="00EB3204" w:rsidRPr="00645695" w14:paraId="41CF1D1A" w14:textId="77777777">
        <w:trPr>
          <w:cantSplit/>
          <w:trHeight w:val="403"/>
          <w:jc w:val="center"/>
        </w:trPr>
        <w:tc>
          <w:tcPr>
            <w:tcW w:w="1620" w:type="dxa"/>
            <w:tcBorders>
              <w:top w:val="nil"/>
              <w:left w:val="nil"/>
              <w:bottom w:val="nil"/>
              <w:right w:val="nil"/>
            </w:tcBorders>
          </w:tcPr>
          <w:p w14:paraId="41CF1D18" w14:textId="77777777" w:rsidR="00EB3204" w:rsidRPr="00645695" w:rsidRDefault="00EB3204">
            <w:pPr>
              <w:spacing w:before="60" w:after="60"/>
            </w:pPr>
            <w:r w:rsidRPr="00645695">
              <w:t>R</w:t>
            </w:r>
          </w:p>
        </w:tc>
        <w:tc>
          <w:tcPr>
            <w:tcW w:w="8100" w:type="dxa"/>
            <w:tcBorders>
              <w:top w:val="nil"/>
              <w:left w:val="nil"/>
              <w:bottom w:val="nil"/>
              <w:right w:val="nil"/>
            </w:tcBorders>
          </w:tcPr>
          <w:p w14:paraId="41CF1D19" w14:textId="452EF35A" w:rsidR="00EB3204" w:rsidRPr="00645695" w:rsidRDefault="00EB3204">
            <w:pPr>
              <w:spacing w:before="60" w:after="60"/>
            </w:pPr>
            <w:r w:rsidRPr="00645695">
              <w:t xml:space="preserve">Grant Aid of U.S. recovered materiel resulting from liquidation of </w:t>
            </w:r>
            <w:r w:rsidR="00F83678" w:rsidRPr="00645695">
              <w:rPr>
                <w:szCs w:val="24"/>
              </w:rPr>
              <w:t>NATO Maintenance and Supply Agency</w:t>
            </w:r>
            <w:r w:rsidR="00F83678" w:rsidRPr="00645695">
              <w:t xml:space="preserve">  (</w:t>
            </w:r>
            <w:r w:rsidRPr="00645695">
              <w:t>NAMSA</w:t>
            </w:r>
            <w:r w:rsidR="00F83678" w:rsidRPr="00645695">
              <w:t>)</w:t>
            </w:r>
            <w:r w:rsidRPr="00645695">
              <w:t xml:space="preserve"> excess stockage.</w:t>
            </w:r>
          </w:p>
        </w:tc>
      </w:tr>
      <w:tr w:rsidR="00EB3204" w:rsidRPr="00645695" w14:paraId="41CF1D1D" w14:textId="77777777">
        <w:trPr>
          <w:cantSplit/>
          <w:trHeight w:val="403"/>
          <w:jc w:val="center"/>
        </w:trPr>
        <w:tc>
          <w:tcPr>
            <w:tcW w:w="1620" w:type="dxa"/>
            <w:tcBorders>
              <w:top w:val="nil"/>
              <w:left w:val="nil"/>
              <w:bottom w:val="nil"/>
              <w:right w:val="nil"/>
            </w:tcBorders>
          </w:tcPr>
          <w:p w14:paraId="41CF1D1B" w14:textId="77777777" w:rsidR="00EB3204" w:rsidRPr="00645695" w:rsidRDefault="00EB3204">
            <w:pPr>
              <w:spacing w:before="60" w:after="60"/>
            </w:pPr>
            <w:r w:rsidRPr="00645695">
              <w:t>S</w:t>
            </w:r>
          </w:p>
        </w:tc>
        <w:tc>
          <w:tcPr>
            <w:tcW w:w="8100" w:type="dxa"/>
            <w:tcBorders>
              <w:top w:val="nil"/>
              <w:left w:val="nil"/>
              <w:bottom w:val="nil"/>
              <w:right w:val="nil"/>
            </w:tcBorders>
          </w:tcPr>
          <w:p w14:paraId="41CF1D1C" w14:textId="48601426" w:rsidR="00EB3204" w:rsidRPr="00645695" w:rsidRDefault="00EB3204" w:rsidP="00195A51">
            <w:pPr>
              <w:spacing w:before="60" w:after="60"/>
            </w:pPr>
            <w:r w:rsidRPr="00645695">
              <w:t>Assigned to all records in the R</w:t>
            </w:r>
            <w:r w:rsidR="00195A51" w:rsidRPr="00645695">
              <w:t xml:space="preserve">epbulic of Korea (ROK) </w:t>
            </w:r>
            <w:r w:rsidRPr="00645695">
              <w:t xml:space="preserve">Equipment Transfer program authorized by Public Law 95-384 at no charge to </w:t>
            </w:r>
            <w:r w:rsidR="00FC43F2" w:rsidRPr="00645695">
              <w:t>Grant Aid</w:t>
            </w:r>
            <w:r w:rsidRPr="00645695">
              <w:t xml:space="preserve">.  This code is also assigned to all PY 71 update and 72 equipment transferred to the ROK under Public law 91-652 at no cost to </w:t>
            </w:r>
            <w:r w:rsidR="00FC43F2" w:rsidRPr="00645695">
              <w:t>Grant Aid</w:t>
            </w:r>
            <w:r w:rsidRPr="00645695">
              <w:t xml:space="preserve">.  This code is also assigned to ammunition transferred to the Royal Thai Government from Army </w:t>
            </w:r>
            <w:r w:rsidR="00195A51" w:rsidRPr="00645695">
              <w:t>f</w:t>
            </w:r>
            <w:r w:rsidR="00F83678" w:rsidRPr="00645695">
              <w:t xml:space="preserve">oreign </w:t>
            </w:r>
            <w:r w:rsidR="00195A51" w:rsidRPr="00645695">
              <w:t>m</w:t>
            </w:r>
            <w:r w:rsidR="00F83678" w:rsidRPr="00645695">
              <w:t xml:space="preserve">ilitary </w:t>
            </w:r>
            <w:r w:rsidR="00195A51" w:rsidRPr="00645695">
              <w:t>s</w:t>
            </w:r>
            <w:r w:rsidR="00F83678" w:rsidRPr="00645695">
              <w:t>ales (</w:t>
            </w:r>
            <w:r w:rsidRPr="00645695">
              <w:t>FMS</w:t>
            </w:r>
            <w:r w:rsidR="00F83678" w:rsidRPr="00645695">
              <w:t>)</w:t>
            </w:r>
            <w:r w:rsidRPr="00645695">
              <w:t xml:space="preserve"> Case UEB.  Transfer at no cost to </w:t>
            </w:r>
            <w:r w:rsidR="00FC43F2" w:rsidRPr="00645695">
              <w:t>Grant aid</w:t>
            </w:r>
            <w:r w:rsidRPr="00645695">
              <w:t xml:space="preserve"> was authorized by Section 24, Public Law 96-92.</w:t>
            </w:r>
          </w:p>
        </w:tc>
      </w:tr>
      <w:tr w:rsidR="00EB3204" w:rsidRPr="00645695" w14:paraId="41CF1D1F" w14:textId="77777777" w:rsidTr="00195A51">
        <w:trPr>
          <w:cantSplit/>
          <w:trHeight w:val="153"/>
          <w:jc w:val="center"/>
        </w:trPr>
        <w:tc>
          <w:tcPr>
            <w:tcW w:w="9720" w:type="dxa"/>
            <w:gridSpan w:val="2"/>
            <w:tcBorders>
              <w:top w:val="nil"/>
              <w:left w:val="nil"/>
              <w:bottom w:val="nil"/>
              <w:right w:val="nil"/>
            </w:tcBorders>
          </w:tcPr>
          <w:p w14:paraId="41CF1D1E" w14:textId="77777777" w:rsidR="00EB3204" w:rsidRPr="00645695" w:rsidRDefault="00EB3204">
            <w:pPr>
              <w:spacing w:before="60" w:after="60"/>
            </w:pPr>
          </w:p>
        </w:tc>
      </w:tr>
      <w:tr w:rsidR="00EB3204" w:rsidRPr="00645695" w14:paraId="41CF1D21" w14:textId="77777777" w:rsidTr="00195A51">
        <w:trPr>
          <w:cantSplit/>
          <w:trHeight w:val="117"/>
          <w:jc w:val="center"/>
        </w:trPr>
        <w:tc>
          <w:tcPr>
            <w:tcW w:w="9720" w:type="dxa"/>
            <w:gridSpan w:val="2"/>
            <w:tcBorders>
              <w:top w:val="nil"/>
              <w:left w:val="nil"/>
              <w:bottom w:val="nil"/>
              <w:right w:val="nil"/>
            </w:tcBorders>
          </w:tcPr>
          <w:p w14:paraId="41CF1D20" w14:textId="50941216" w:rsidR="00EB3204" w:rsidRPr="00645695" w:rsidRDefault="00CE6EDC" w:rsidP="00195A51">
            <w:pPr>
              <w:tabs>
                <w:tab w:val="left" w:pos="320"/>
              </w:tabs>
              <w:spacing w:after="240"/>
            </w:pPr>
            <w:r w:rsidRPr="00645695">
              <w:tab/>
            </w:r>
            <w:r w:rsidR="00955FE9">
              <w:t>AP7</w:t>
            </w:r>
            <w:r w:rsidR="0000620A" w:rsidRPr="00645695">
              <w:t xml:space="preserve">.19.1.1.  </w:t>
            </w:r>
            <w:r w:rsidR="00EB3204" w:rsidRPr="00645695">
              <w:t>Type of assistance Codes used in other than Grant Aid transactions:</w:t>
            </w:r>
          </w:p>
        </w:tc>
      </w:tr>
      <w:tr w:rsidR="00EB3204" w:rsidRPr="00645695" w14:paraId="41CF1D24" w14:textId="77777777">
        <w:trPr>
          <w:cantSplit/>
          <w:trHeight w:val="403"/>
          <w:jc w:val="center"/>
        </w:trPr>
        <w:tc>
          <w:tcPr>
            <w:tcW w:w="1620" w:type="dxa"/>
            <w:tcBorders>
              <w:top w:val="nil"/>
              <w:left w:val="nil"/>
              <w:bottom w:val="nil"/>
              <w:right w:val="nil"/>
            </w:tcBorders>
          </w:tcPr>
          <w:p w14:paraId="41CF1D22" w14:textId="77777777" w:rsidR="00EB3204" w:rsidRPr="00645695" w:rsidRDefault="00EB3204" w:rsidP="00195A51">
            <w:pPr>
              <w:spacing w:before="60" w:after="240"/>
            </w:pPr>
            <w:r w:rsidRPr="00645695">
              <w:t>F</w:t>
            </w:r>
          </w:p>
        </w:tc>
        <w:tc>
          <w:tcPr>
            <w:tcW w:w="8100" w:type="dxa"/>
            <w:tcBorders>
              <w:top w:val="nil"/>
              <w:left w:val="nil"/>
              <w:bottom w:val="nil"/>
              <w:right w:val="nil"/>
            </w:tcBorders>
          </w:tcPr>
          <w:p w14:paraId="41CF1D23" w14:textId="77777777" w:rsidR="00EB3204" w:rsidRPr="00645695" w:rsidRDefault="00EB3204" w:rsidP="00195A51">
            <w:pPr>
              <w:spacing w:before="60" w:after="240"/>
            </w:pPr>
            <w:r w:rsidRPr="00645695">
              <w:t>Training provided as a part of an FMS case.  This data is maintained in the DSAA Grant Aid data base purely as a service to assist the Military Department in accounting for students and/or spaces provided under FMS.  Not used in MILSTRIP.</w:t>
            </w:r>
          </w:p>
        </w:tc>
      </w:tr>
    </w:tbl>
    <w:p w14:paraId="280E4E2F" w14:textId="5B86B60D" w:rsidR="00645695" w:rsidRDefault="00955FE9" w:rsidP="004C37F8">
      <w:pPr>
        <w:spacing w:before="240" w:after="240"/>
      </w:pPr>
      <w:r>
        <w:t>AP7</w:t>
      </w:r>
      <w:r w:rsidR="001D5DBF" w:rsidRPr="00645695">
        <w:t xml:space="preserve">.19.2.  </w:t>
      </w:r>
      <w:r w:rsidR="00EB3204" w:rsidRPr="00645695">
        <w:t xml:space="preserve">FOREIGN MILITARY SALES.  Terms of sale and accompanying type of assistance codes indicate the statutory authority for </w:t>
      </w:r>
      <w:r w:rsidR="00782CEF" w:rsidRPr="00645695">
        <w:t>a foreign military sale</w:t>
      </w:r>
      <w:r w:rsidR="00EB3204" w:rsidRPr="00645695">
        <w:t xml:space="preserve">; the time of payment for the sale; whether the sale is to be from </w:t>
      </w:r>
      <w:r w:rsidR="00ED247D" w:rsidRPr="00645695">
        <w:t>DoD</w:t>
      </w:r>
      <w:r w:rsidR="00EB3204" w:rsidRPr="00645695">
        <w:t xml:space="preserve"> stocks or procurement; and whether the sale is to be financed </w:t>
      </w:r>
      <w:r w:rsidR="00D4130E" w:rsidRPr="00645695">
        <w:t>on a cash</w:t>
      </w:r>
      <w:r w:rsidR="00EB3204" w:rsidRPr="00645695">
        <w:t xml:space="preserve"> or credit basis.  The implementing agency enters the appropriate Terms of Sale and accompanying type of assistance codes in the “Terms” block of the letter of offer.  The implementing agency uses type of assistance code for MILSTRIP requisitioning purposes.  The following codes and definitions have been extracted from </w:t>
      </w:r>
      <w:hyperlink r:id="rId10" w:history="1">
        <w:r w:rsidR="00AC2F19" w:rsidRPr="00AC2F19">
          <w:rPr>
            <w:rStyle w:val="Hyperlink"/>
          </w:rPr>
          <w:t>DSCA</w:t>
        </w:r>
        <w:r w:rsidR="00EB3204" w:rsidRPr="00AC2F19">
          <w:rPr>
            <w:rStyle w:val="Hyperlink"/>
          </w:rPr>
          <w:t xml:space="preserve"> 5105.38-M</w:t>
        </w:r>
      </w:hyperlink>
      <w:r w:rsidR="00F83678" w:rsidRPr="00645695">
        <w:t xml:space="preserve">,  </w:t>
      </w:r>
      <w:r w:rsidR="00F83678" w:rsidRPr="00645695">
        <w:rPr>
          <w:szCs w:val="24"/>
        </w:rPr>
        <w:t>Security Assistance Management Manual</w:t>
      </w:r>
      <w:r w:rsidR="00F83678" w:rsidRPr="00645695">
        <w:t xml:space="preserve"> (</w:t>
      </w:r>
      <w:r w:rsidR="00EB3204" w:rsidRPr="00645695">
        <w:t>SAMM), for the convenience of MILSTRIP participants.  A more complete definition of the codes shown below may be found in the SAMM.</w:t>
      </w:r>
    </w:p>
    <w:tbl>
      <w:tblPr>
        <w:tblW w:w="10080" w:type="dxa"/>
        <w:jc w:val="center"/>
        <w:tblLayout w:type="fixed"/>
        <w:tblCellMar>
          <w:left w:w="120" w:type="dxa"/>
          <w:right w:w="120" w:type="dxa"/>
        </w:tblCellMar>
        <w:tblLook w:val="0000" w:firstRow="0" w:lastRow="0" w:firstColumn="0" w:lastColumn="0" w:noHBand="0" w:noVBand="0"/>
      </w:tblPr>
      <w:tblGrid>
        <w:gridCol w:w="1620"/>
        <w:gridCol w:w="8460"/>
      </w:tblGrid>
      <w:tr w:rsidR="00EB3204" w:rsidRPr="00645695" w14:paraId="41CF1D2B" w14:textId="77777777" w:rsidTr="00645695">
        <w:trPr>
          <w:cantSplit/>
          <w:tblHeader/>
          <w:jc w:val="center"/>
        </w:trPr>
        <w:tc>
          <w:tcPr>
            <w:tcW w:w="1620" w:type="dxa"/>
            <w:tcBorders>
              <w:top w:val="nil"/>
              <w:left w:val="nil"/>
              <w:bottom w:val="nil"/>
              <w:right w:val="nil"/>
            </w:tcBorders>
          </w:tcPr>
          <w:p w14:paraId="41CF1D29" w14:textId="77777777" w:rsidR="00EB3204" w:rsidRPr="00645695" w:rsidRDefault="00EB3204">
            <w:pPr>
              <w:spacing w:before="60" w:after="60"/>
            </w:pPr>
            <w:r w:rsidRPr="00645695">
              <w:t>CODE</w:t>
            </w:r>
          </w:p>
        </w:tc>
        <w:tc>
          <w:tcPr>
            <w:tcW w:w="8460" w:type="dxa"/>
            <w:tcBorders>
              <w:top w:val="nil"/>
              <w:left w:val="nil"/>
              <w:bottom w:val="nil"/>
              <w:right w:val="nil"/>
            </w:tcBorders>
          </w:tcPr>
          <w:p w14:paraId="41CF1D2A" w14:textId="77777777" w:rsidR="00EB3204" w:rsidRPr="00645695" w:rsidRDefault="00EB3204">
            <w:pPr>
              <w:spacing w:before="60" w:after="60"/>
            </w:pPr>
            <w:r w:rsidRPr="00645695">
              <w:t>EXPLANATION</w:t>
            </w:r>
          </w:p>
        </w:tc>
      </w:tr>
      <w:tr w:rsidR="00EB3204" w:rsidRPr="00645695" w14:paraId="41CF1D2E" w14:textId="77777777" w:rsidTr="00645695">
        <w:trPr>
          <w:cantSplit/>
          <w:trHeight w:val="403"/>
          <w:jc w:val="center"/>
        </w:trPr>
        <w:tc>
          <w:tcPr>
            <w:tcW w:w="1620" w:type="dxa"/>
            <w:tcBorders>
              <w:top w:val="nil"/>
              <w:left w:val="nil"/>
              <w:bottom w:val="nil"/>
              <w:right w:val="nil"/>
            </w:tcBorders>
          </w:tcPr>
          <w:p w14:paraId="41CF1D2C" w14:textId="77777777" w:rsidR="00EB3204" w:rsidRPr="00645695" w:rsidRDefault="00EB3204">
            <w:pPr>
              <w:spacing w:before="60" w:after="60"/>
            </w:pPr>
            <w:r w:rsidRPr="00645695">
              <w:t>3</w:t>
            </w:r>
          </w:p>
        </w:tc>
        <w:tc>
          <w:tcPr>
            <w:tcW w:w="8460" w:type="dxa"/>
            <w:tcBorders>
              <w:top w:val="nil"/>
              <w:left w:val="nil"/>
              <w:bottom w:val="nil"/>
              <w:right w:val="nil"/>
            </w:tcBorders>
          </w:tcPr>
          <w:p w14:paraId="41CF1D2D" w14:textId="77777777" w:rsidR="00EB3204" w:rsidRPr="00645695" w:rsidRDefault="00D4130E" w:rsidP="00D4130E">
            <w:pPr>
              <w:spacing w:before="60" w:after="60"/>
            </w:pPr>
            <w:r w:rsidRPr="00645695">
              <w:t>Cash sale from Stock with P</w:t>
            </w:r>
            <w:r w:rsidR="00EB3204" w:rsidRPr="00645695">
              <w:t xml:space="preserve">ayment in Advance.  This code applies to cash payments in advance of delivery and/or performance for a foreign military sale which the </w:t>
            </w:r>
            <w:r w:rsidRPr="00645695">
              <w:t>I</w:t>
            </w:r>
            <w:r w:rsidR="00EB3204" w:rsidRPr="00645695">
              <w:t>mplementing Agency determines at the time of the offer will be from DoD stocks.</w:t>
            </w:r>
          </w:p>
        </w:tc>
      </w:tr>
      <w:tr w:rsidR="00EB3204" w:rsidRPr="00645695" w14:paraId="41CF1D31" w14:textId="77777777" w:rsidTr="00645695">
        <w:trPr>
          <w:cantSplit/>
          <w:trHeight w:val="403"/>
          <w:jc w:val="center"/>
        </w:trPr>
        <w:tc>
          <w:tcPr>
            <w:tcW w:w="1620" w:type="dxa"/>
            <w:tcBorders>
              <w:top w:val="nil"/>
              <w:left w:val="nil"/>
              <w:bottom w:val="nil"/>
              <w:right w:val="nil"/>
            </w:tcBorders>
          </w:tcPr>
          <w:p w14:paraId="41CF1D2F" w14:textId="77777777" w:rsidR="00EB3204" w:rsidRPr="00645695" w:rsidRDefault="00EB3204">
            <w:pPr>
              <w:spacing w:before="60" w:after="60"/>
            </w:pPr>
            <w:r w:rsidRPr="00645695">
              <w:lastRenderedPageBreak/>
              <w:t>4</w:t>
            </w:r>
          </w:p>
        </w:tc>
        <w:tc>
          <w:tcPr>
            <w:tcW w:w="8460" w:type="dxa"/>
            <w:tcBorders>
              <w:top w:val="nil"/>
              <w:left w:val="nil"/>
              <w:bottom w:val="nil"/>
              <w:right w:val="nil"/>
            </w:tcBorders>
          </w:tcPr>
          <w:p w14:paraId="41CF1D30" w14:textId="77777777" w:rsidR="00EB3204" w:rsidRPr="00645695" w:rsidRDefault="00EB3204">
            <w:pPr>
              <w:spacing w:before="60" w:after="60"/>
            </w:pPr>
            <w:r w:rsidRPr="00645695">
              <w:t>Source of Supply Not Predetermined</w:t>
            </w:r>
            <w:r w:rsidR="00D4130E" w:rsidRPr="00645695">
              <w:t xml:space="preserve"> with Payment in Advance</w:t>
            </w:r>
            <w:r w:rsidRPr="00645695">
              <w:t>.  This code applies to cash payment for a forei</w:t>
            </w:r>
            <w:r w:rsidR="00D4130E" w:rsidRPr="00645695">
              <w:t>gn military sale for which the I</w:t>
            </w:r>
            <w:r w:rsidRPr="00645695">
              <w:t>mplementing Agency has not yet determined, at the time of the offer, the extent to which the supply source will be DoD stocks or procurement.</w:t>
            </w:r>
          </w:p>
        </w:tc>
      </w:tr>
      <w:tr w:rsidR="00EB3204" w:rsidRPr="00645695" w14:paraId="41CF1D34" w14:textId="77777777" w:rsidTr="00645695">
        <w:trPr>
          <w:cantSplit/>
          <w:trHeight w:val="403"/>
          <w:jc w:val="center"/>
        </w:trPr>
        <w:tc>
          <w:tcPr>
            <w:tcW w:w="1620" w:type="dxa"/>
            <w:tcBorders>
              <w:top w:val="nil"/>
              <w:left w:val="nil"/>
              <w:bottom w:val="nil"/>
              <w:right w:val="nil"/>
            </w:tcBorders>
          </w:tcPr>
          <w:p w14:paraId="41CF1D32" w14:textId="77777777" w:rsidR="00EB3204" w:rsidRPr="00645695" w:rsidRDefault="00EB3204">
            <w:pPr>
              <w:spacing w:before="60" w:after="60"/>
            </w:pPr>
            <w:r w:rsidRPr="00645695">
              <w:t>5</w:t>
            </w:r>
          </w:p>
        </w:tc>
        <w:tc>
          <w:tcPr>
            <w:tcW w:w="8460" w:type="dxa"/>
            <w:tcBorders>
              <w:top w:val="nil"/>
              <w:left w:val="nil"/>
              <w:bottom w:val="nil"/>
              <w:right w:val="nil"/>
            </w:tcBorders>
          </w:tcPr>
          <w:p w14:paraId="41CF1D33" w14:textId="77777777" w:rsidR="00EB3204" w:rsidRPr="00645695" w:rsidRDefault="00EB3204">
            <w:pPr>
              <w:spacing w:before="60" w:after="60"/>
            </w:pPr>
            <w:r w:rsidRPr="00645695">
              <w:t xml:space="preserve">Cash Sale from Procurement with Payment in Advance.  This code applies to cash payment in advance of delivery and/or performance for a foreign </w:t>
            </w:r>
            <w:r w:rsidR="00782CEF" w:rsidRPr="00645695">
              <w:t>military</w:t>
            </w:r>
            <w:r w:rsidR="00D4130E" w:rsidRPr="00645695">
              <w:t xml:space="preserve"> sale which the I</w:t>
            </w:r>
            <w:r w:rsidRPr="00645695">
              <w:t>mplementing Agency determines at the time of the offer will be from DoD procurement.</w:t>
            </w:r>
          </w:p>
        </w:tc>
      </w:tr>
      <w:tr w:rsidR="00EB3204" w:rsidRPr="00645695" w14:paraId="41CF1D37" w14:textId="77777777" w:rsidTr="00645695">
        <w:trPr>
          <w:cantSplit/>
          <w:trHeight w:val="403"/>
          <w:jc w:val="center"/>
        </w:trPr>
        <w:tc>
          <w:tcPr>
            <w:tcW w:w="1620" w:type="dxa"/>
            <w:tcBorders>
              <w:top w:val="nil"/>
              <w:left w:val="nil"/>
              <w:bottom w:val="nil"/>
              <w:right w:val="nil"/>
            </w:tcBorders>
          </w:tcPr>
          <w:p w14:paraId="41CF1D35" w14:textId="77777777" w:rsidR="00EB3204" w:rsidRPr="00645695" w:rsidRDefault="00EB3204">
            <w:pPr>
              <w:spacing w:before="60" w:after="60"/>
            </w:pPr>
            <w:r w:rsidRPr="00645695">
              <w:t>6</w:t>
            </w:r>
          </w:p>
        </w:tc>
        <w:tc>
          <w:tcPr>
            <w:tcW w:w="8460" w:type="dxa"/>
            <w:tcBorders>
              <w:top w:val="nil"/>
              <w:left w:val="nil"/>
              <w:bottom w:val="nil"/>
              <w:right w:val="nil"/>
            </w:tcBorders>
          </w:tcPr>
          <w:p w14:paraId="41CF1D36" w14:textId="77777777" w:rsidR="00EB3204" w:rsidRPr="00645695" w:rsidRDefault="00EB3204">
            <w:pPr>
              <w:spacing w:before="60" w:after="60"/>
            </w:pPr>
            <w:r w:rsidRPr="00645695">
              <w:t>Cash Sale from Stock with Payment on Delivery.  This code applies to cash payment upon delivery of defense articles or initiation of performance of defense services which the implementing Agency determines at the time of offer will be from DoD stocks.</w:t>
            </w:r>
          </w:p>
        </w:tc>
      </w:tr>
      <w:tr w:rsidR="00EB3204" w:rsidRPr="00645695" w14:paraId="41CF1D3A" w14:textId="77777777" w:rsidTr="00645695">
        <w:trPr>
          <w:cantSplit/>
          <w:trHeight w:val="403"/>
          <w:jc w:val="center"/>
        </w:trPr>
        <w:tc>
          <w:tcPr>
            <w:tcW w:w="1620" w:type="dxa"/>
            <w:tcBorders>
              <w:top w:val="nil"/>
              <w:left w:val="nil"/>
              <w:bottom w:val="nil"/>
              <w:right w:val="nil"/>
            </w:tcBorders>
          </w:tcPr>
          <w:p w14:paraId="41CF1D38" w14:textId="77777777" w:rsidR="00EB3204" w:rsidRPr="00645695" w:rsidRDefault="00EB3204">
            <w:pPr>
              <w:spacing w:before="60" w:after="60"/>
            </w:pPr>
            <w:r w:rsidRPr="00645695">
              <w:t>7</w:t>
            </w:r>
          </w:p>
        </w:tc>
        <w:tc>
          <w:tcPr>
            <w:tcW w:w="8460" w:type="dxa"/>
            <w:tcBorders>
              <w:top w:val="nil"/>
              <w:left w:val="nil"/>
              <w:bottom w:val="nil"/>
              <w:right w:val="nil"/>
            </w:tcBorders>
          </w:tcPr>
          <w:p w14:paraId="41CF1D39" w14:textId="77777777" w:rsidR="00EB3204" w:rsidRPr="00645695" w:rsidRDefault="00EB3204">
            <w:pPr>
              <w:spacing w:before="60" w:after="60"/>
            </w:pPr>
            <w:r w:rsidRPr="00645695">
              <w:t xml:space="preserve">Cash sale from Procurement with 120-Day Payment.  This code applies to cash payment 120 days after delivery of articles or commencement of performance of services for a foreign military sale, which the implementing Agency determines at the time of the </w:t>
            </w:r>
            <w:r w:rsidR="00782CEF" w:rsidRPr="00645695">
              <w:t>offer,</w:t>
            </w:r>
            <w:r w:rsidRPr="00645695">
              <w:t xml:space="preserve"> will be from DoD procurement.</w:t>
            </w:r>
          </w:p>
        </w:tc>
      </w:tr>
      <w:tr w:rsidR="00EB3204" w:rsidRPr="00645695" w14:paraId="41CF1D3D" w14:textId="77777777" w:rsidTr="00645695">
        <w:trPr>
          <w:cantSplit/>
          <w:trHeight w:val="403"/>
          <w:jc w:val="center"/>
        </w:trPr>
        <w:tc>
          <w:tcPr>
            <w:tcW w:w="1620" w:type="dxa"/>
            <w:tcBorders>
              <w:top w:val="nil"/>
              <w:left w:val="nil"/>
              <w:bottom w:val="nil"/>
              <w:right w:val="nil"/>
            </w:tcBorders>
          </w:tcPr>
          <w:p w14:paraId="41CF1D3B" w14:textId="77777777" w:rsidR="00EB3204" w:rsidRPr="00645695" w:rsidRDefault="00EB3204">
            <w:pPr>
              <w:spacing w:before="60" w:after="60"/>
            </w:pPr>
            <w:r w:rsidRPr="00645695">
              <w:t>8</w:t>
            </w:r>
          </w:p>
        </w:tc>
        <w:tc>
          <w:tcPr>
            <w:tcW w:w="8460" w:type="dxa"/>
            <w:tcBorders>
              <w:top w:val="nil"/>
              <w:left w:val="nil"/>
              <w:bottom w:val="nil"/>
              <w:right w:val="nil"/>
            </w:tcBorders>
          </w:tcPr>
          <w:p w14:paraId="41CF1D3C" w14:textId="77777777" w:rsidR="00EB3204" w:rsidRPr="00645695" w:rsidRDefault="00EB3204" w:rsidP="00D4130E">
            <w:pPr>
              <w:spacing w:before="60" w:after="60"/>
            </w:pPr>
            <w:r w:rsidRPr="00645695">
              <w:t>Cash sale from Stock with 120-Day payme</w:t>
            </w:r>
            <w:r w:rsidR="00D4130E" w:rsidRPr="00645695">
              <w:t>nt.  This code applies to cash P</w:t>
            </w:r>
            <w:r w:rsidRPr="00645695">
              <w:t xml:space="preserve">ayment 120 days after delivery of articles or commencement of performance of services for a foreign military sale which the </w:t>
            </w:r>
            <w:r w:rsidR="00D4130E" w:rsidRPr="00645695">
              <w:t>I</w:t>
            </w:r>
            <w:r w:rsidRPr="00645695">
              <w:t>mplementing Agency determines at the time of the offer will be from DoD stocks.</w:t>
            </w:r>
          </w:p>
        </w:tc>
      </w:tr>
      <w:tr w:rsidR="00EB3204" w:rsidRPr="00645695" w14:paraId="41CF1D40" w14:textId="77777777" w:rsidTr="00645695">
        <w:trPr>
          <w:cantSplit/>
          <w:trHeight w:val="403"/>
          <w:jc w:val="center"/>
        </w:trPr>
        <w:tc>
          <w:tcPr>
            <w:tcW w:w="1620" w:type="dxa"/>
            <w:tcBorders>
              <w:top w:val="nil"/>
              <w:left w:val="nil"/>
              <w:bottom w:val="nil"/>
              <w:right w:val="nil"/>
            </w:tcBorders>
          </w:tcPr>
          <w:p w14:paraId="41CF1D3E" w14:textId="77777777" w:rsidR="00EB3204" w:rsidRPr="00645695" w:rsidRDefault="00EB3204">
            <w:pPr>
              <w:spacing w:before="60" w:after="60"/>
            </w:pPr>
            <w:r w:rsidRPr="00645695">
              <w:t>M</w:t>
            </w:r>
          </w:p>
        </w:tc>
        <w:tc>
          <w:tcPr>
            <w:tcW w:w="8460" w:type="dxa"/>
            <w:tcBorders>
              <w:top w:val="nil"/>
              <w:left w:val="nil"/>
              <w:bottom w:val="nil"/>
              <w:right w:val="nil"/>
            </w:tcBorders>
          </w:tcPr>
          <w:p w14:paraId="41CF1D3F" w14:textId="77777777" w:rsidR="00EB3204" w:rsidRPr="00645695" w:rsidRDefault="00FC43F2" w:rsidP="00FC43F2">
            <w:pPr>
              <w:spacing w:before="60" w:after="60"/>
            </w:pPr>
            <w:r w:rsidRPr="00645695">
              <w:t>Grant Aid</w:t>
            </w:r>
            <w:r w:rsidR="00EB3204" w:rsidRPr="00645695">
              <w:t xml:space="preserve"> Merger.  The </w:t>
            </w:r>
            <w:r w:rsidRPr="00645695">
              <w:t>Grant Aid</w:t>
            </w:r>
            <w:r w:rsidR="00EB3204" w:rsidRPr="00645695">
              <w:t>, established under the mutual Defense Assistance Act of 1949, originally provided for the loan or grant if military equipment, materials, and services (including training) to eligible nations.  Since FY 82</w:t>
            </w:r>
            <w:r w:rsidR="00D4130E" w:rsidRPr="00645695">
              <w:t>, the authority of Section 503(a</w:t>
            </w:r>
            <w:r w:rsidR="00EB3204" w:rsidRPr="00645695">
              <w:t xml:space="preserve">)(3) of the FAA of 1961 has been used to merge </w:t>
            </w:r>
            <w:r w:rsidRPr="00645695">
              <w:t>Grant Aid</w:t>
            </w:r>
            <w:r w:rsidR="00EB3204" w:rsidRPr="00645695">
              <w:t xml:space="preserve"> funds with recipient countries funds and/or with FMS financing credit in the FMS Trust Fund, to make adequate funds available to finance the country’s FMS cases.</w:t>
            </w:r>
            <w:r w:rsidR="00CE6EDC" w:rsidRPr="00645695">
              <w:t xml:space="preserve">  In addition, since FY06, other authorized granting of US appropriations for use for FMS.</w:t>
            </w:r>
          </w:p>
        </w:tc>
      </w:tr>
      <w:tr w:rsidR="00EB3204" w:rsidRPr="00645695" w14:paraId="41CF1D43" w14:textId="77777777" w:rsidTr="00645695">
        <w:trPr>
          <w:cantSplit/>
          <w:trHeight w:val="403"/>
          <w:jc w:val="center"/>
        </w:trPr>
        <w:tc>
          <w:tcPr>
            <w:tcW w:w="1620" w:type="dxa"/>
            <w:tcBorders>
              <w:top w:val="nil"/>
              <w:left w:val="nil"/>
              <w:bottom w:val="nil"/>
              <w:right w:val="nil"/>
            </w:tcBorders>
          </w:tcPr>
          <w:p w14:paraId="41CF1D41" w14:textId="77777777" w:rsidR="00EB3204" w:rsidRPr="00645695" w:rsidRDefault="00EB3204">
            <w:pPr>
              <w:spacing w:before="60" w:after="60"/>
            </w:pPr>
            <w:r w:rsidRPr="00645695">
              <w:t>N</w:t>
            </w:r>
          </w:p>
        </w:tc>
        <w:tc>
          <w:tcPr>
            <w:tcW w:w="8460" w:type="dxa"/>
            <w:tcBorders>
              <w:top w:val="nil"/>
              <w:left w:val="nil"/>
              <w:bottom w:val="nil"/>
              <w:right w:val="nil"/>
            </w:tcBorders>
          </w:tcPr>
          <w:p w14:paraId="41CF1D42" w14:textId="14A54FF1" w:rsidR="00EB3204" w:rsidRPr="00645695" w:rsidRDefault="00EB3204" w:rsidP="00D017D7">
            <w:pPr>
              <w:spacing w:before="60" w:after="60"/>
            </w:pPr>
            <w:r w:rsidRPr="00645695">
              <w:t xml:space="preserve">Section 23 or 24 </w:t>
            </w:r>
            <w:r w:rsidR="00D017D7" w:rsidRPr="00645695">
              <w:t>Arms Export Control Act (</w:t>
            </w:r>
            <w:r w:rsidRPr="00645695">
              <w:t>AECA</w:t>
            </w:r>
            <w:r w:rsidR="00D017D7" w:rsidRPr="00645695">
              <w:t>)</w:t>
            </w:r>
            <w:r w:rsidRPr="00645695">
              <w:t xml:space="preserve"> FMS, Credit (Non-Repayable).</w:t>
            </w:r>
          </w:p>
        </w:tc>
      </w:tr>
      <w:tr w:rsidR="00EB3204" w:rsidRPr="00645695" w14:paraId="41CF1D46" w14:textId="77777777" w:rsidTr="00645695">
        <w:trPr>
          <w:cantSplit/>
          <w:trHeight w:val="403"/>
          <w:jc w:val="center"/>
        </w:trPr>
        <w:tc>
          <w:tcPr>
            <w:tcW w:w="1620" w:type="dxa"/>
            <w:tcBorders>
              <w:top w:val="nil"/>
              <w:left w:val="nil"/>
              <w:bottom w:val="nil"/>
              <w:right w:val="nil"/>
            </w:tcBorders>
          </w:tcPr>
          <w:p w14:paraId="41CF1D44" w14:textId="77777777" w:rsidR="00EB3204" w:rsidRPr="00645695" w:rsidRDefault="00EB3204">
            <w:pPr>
              <w:spacing w:before="60" w:after="60"/>
            </w:pPr>
            <w:r w:rsidRPr="00645695">
              <w:t>U</w:t>
            </w:r>
          </w:p>
        </w:tc>
        <w:tc>
          <w:tcPr>
            <w:tcW w:w="8460" w:type="dxa"/>
            <w:tcBorders>
              <w:top w:val="nil"/>
              <w:left w:val="nil"/>
              <w:bottom w:val="nil"/>
              <w:right w:val="nil"/>
            </w:tcBorders>
          </w:tcPr>
          <w:p w14:paraId="41CF1D45" w14:textId="3C0546E0" w:rsidR="00EB3204" w:rsidRPr="00645695" w:rsidRDefault="00EB3204" w:rsidP="00EC5443">
            <w:pPr>
              <w:spacing w:before="60" w:after="60"/>
            </w:pPr>
            <w:r w:rsidRPr="00645695">
              <w:t>FMSO No.  1.  This cod</w:t>
            </w:r>
            <w:r w:rsidR="00D4130E" w:rsidRPr="00645695">
              <w:t>e applies to cash payment for a</w:t>
            </w:r>
            <w:r w:rsidRPr="00645695">
              <w:t xml:space="preserve"> </w:t>
            </w:r>
            <w:r w:rsidR="00195A51" w:rsidRPr="00645695">
              <w:rPr>
                <w:szCs w:val="24"/>
              </w:rPr>
              <w:t>Foreign Military Sales Order</w:t>
            </w:r>
            <w:r w:rsidR="00195A51" w:rsidRPr="00645695">
              <w:t xml:space="preserve"> </w:t>
            </w:r>
            <w:r w:rsidR="00EC5443" w:rsidRPr="00645695">
              <w:t>(</w:t>
            </w:r>
            <w:r w:rsidRPr="00645695">
              <w:t>FMSO</w:t>
            </w:r>
            <w:r w:rsidR="00EC5443" w:rsidRPr="00645695">
              <w:t>)</w:t>
            </w:r>
            <w:r w:rsidRPr="00645695">
              <w:t xml:space="preserve"> No.1 </w:t>
            </w:r>
            <w:r w:rsidR="00EC5443" w:rsidRPr="00645695">
              <w:t>Supply Support Arrangement (</w:t>
            </w:r>
            <w:r w:rsidRPr="00645695">
              <w:t>SSA</w:t>
            </w:r>
            <w:r w:rsidR="00EC5443" w:rsidRPr="00645695">
              <w:t>)</w:t>
            </w:r>
            <w:r w:rsidRPr="00645695">
              <w:t>.  The purchasing government buys equity in a specified dollar amount of DoD stocks.  DoD maintains that portion of its stocks for eventual delivery to th</w:t>
            </w:r>
            <w:r w:rsidR="00D4130E" w:rsidRPr="00645695">
              <w:t>e purchasing government under a</w:t>
            </w:r>
            <w:r w:rsidRPr="00645695">
              <w:t xml:space="preserve"> FMSO</w:t>
            </w:r>
            <w:r w:rsidR="00EC5443" w:rsidRPr="00645695">
              <w:t xml:space="preserve"> </w:t>
            </w:r>
            <w:r w:rsidRPr="00645695">
              <w:t>No.2 requisition agreement.</w:t>
            </w:r>
          </w:p>
        </w:tc>
      </w:tr>
      <w:tr w:rsidR="00EB3204" w:rsidRPr="00645695" w14:paraId="41CF1D49" w14:textId="77777777" w:rsidTr="00645695">
        <w:trPr>
          <w:cantSplit/>
          <w:trHeight w:val="403"/>
          <w:jc w:val="center"/>
        </w:trPr>
        <w:tc>
          <w:tcPr>
            <w:tcW w:w="1620" w:type="dxa"/>
            <w:tcBorders>
              <w:top w:val="nil"/>
              <w:left w:val="nil"/>
              <w:bottom w:val="nil"/>
              <w:right w:val="nil"/>
            </w:tcBorders>
          </w:tcPr>
          <w:p w14:paraId="41CF1D47" w14:textId="77777777" w:rsidR="00EB3204" w:rsidRPr="00645695" w:rsidRDefault="00EB3204">
            <w:pPr>
              <w:spacing w:before="60" w:after="60"/>
            </w:pPr>
            <w:r w:rsidRPr="00645695">
              <w:lastRenderedPageBreak/>
              <w:t>V</w:t>
            </w:r>
          </w:p>
        </w:tc>
        <w:tc>
          <w:tcPr>
            <w:tcW w:w="8460" w:type="dxa"/>
            <w:tcBorders>
              <w:top w:val="nil"/>
              <w:left w:val="nil"/>
              <w:bottom w:val="nil"/>
              <w:right w:val="nil"/>
            </w:tcBorders>
          </w:tcPr>
          <w:p w14:paraId="41CF1D48" w14:textId="5142B100" w:rsidR="00EB3204" w:rsidRPr="00645695" w:rsidRDefault="00EB3204" w:rsidP="004C37F8">
            <w:pPr>
              <w:spacing w:before="60" w:after="60"/>
            </w:pPr>
            <w:r w:rsidRPr="00645695">
              <w:t>FMSO No.  2.  This cod</w:t>
            </w:r>
            <w:r w:rsidR="00D4130E" w:rsidRPr="00645695">
              <w:t>e applies to cash payment for a</w:t>
            </w:r>
            <w:r w:rsidRPr="00645695">
              <w:t xml:space="preserve"> FMSO No.2 SSA which permits the purchaser to submit requisitions for common repair parts and secondary items in the DoD stocks of which the purchas</w:t>
            </w:r>
            <w:r w:rsidR="00D4130E" w:rsidRPr="00645695">
              <w:t>er has bought an equity under a</w:t>
            </w:r>
            <w:r w:rsidRPr="00645695">
              <w:t xml:space="preserve"> FMSO No.1 agreement.  The use of this code requires the input of </w:t>
            </w:r>
            <w:r w:rsidR="000A5557" w:rsidRPr="00645695">
              <w:rPr>
                <w:rFonts w:cs="Arial"/>
                <w:color w:val="000000"/>
                <w:lang w:val="en"/>
              </w:rPr>
              <w:t xml:space="preserve">Cooperative Logistics Program Support </w:t>
            </w:r>
            <w:r w:rsidR="000A5557" w:rsidRPr="00645695">
              <w:rPr>
                <w:rStyle w:val="Strong"/>
                <w:rFonts w:cs="Arial"/>
                <w:b w:val="0"/>
                <w:color w:val="000000"/>
                <w:lang w:val="en"/>
              </w:rPr>
              <w:t>Code</w:t>
            </w:r>
            <w:r w:rsidR="000A5557" w:rsidRPr="00645695">
              <w:rPr>
                <w:rFonts w:cs="Arial"/>
                <w:color w:val="000000"/>
                <w:lang w:val="en"/>
              </w:rPr>
              <w:t xml:space="preserve"> (</w:t>
            </w:r>
            <w:r w:rsidRPr="00645695">
              <w:t>CLPSC</w:t>
            </w:r>
            <w:r w:rsidR="000A5557" w:rsidRPr="00645695">
              <w:t>)</w:t>
            </w:r>
            <w:r w:rsidRPr="00645695">
              <w:t xml:space="preserve"> 1 or 2 (</w:t>
            </w:r>
            <w:r w:rsidR="004C37F8">
              <w:t>Appendix 7</w:t>
            </w:r>
            <w:r w:rsidRPr="00645695">
              <w:t xml:space="preserve">.22) in rp 72 of </w:t>
            </w:r>
            <w:r w:rsidR="000A5557" w:rsidRPr="00645695">
              <w:rPr>
                <w:szCs w:val="24"/>
              </w:rPr>
              <w:t>Cooperative Logistics Supply Support Arrangement</w:t>
            </w:r>
            <w:r w:rsidR="000A5557" w:rsidRPr="00645695">
              <w:t xml:space="preserve"> (</w:t>
            </w:r>
            <w:r w:rsidRPr="00645695">
              <w:t>CLSSA</w:t>
            </w:r>
            <w:r w:rsidR="000A5557" w:rsidRPr="00645695">
              <w:t>)</w:t>
            </w:r>
            <w:r w:rsidRPr="00645695">
              <w:t xml:space="preserve"> requisitions and passing orders by the applicable </w:t>
            </w:r>
            <w:r w:rsidR="000A5557" w:rsidRPr="00645695">
              <w:rPr>
                <w:szCs w:val="24"/>
              </w:rPr>
              <w:t>International Logistics Control Office</w:t>
            </w:r>
            <w:r w:rsidR="000A5557" w:rsidRPr="00645695">
              <w:t xml:space="preserve"> (</w:t>
            </w:r>
            <w:r w:rsidRPr="00645695">
              <w:t>ILCO</w:t>
            </w:r>
            <w:r w:rsidR="000A5557" w:rsidRPr="00645695">
              <w:t>)</w:t>
            </w:r>
            <w:r w:rsidRPr="00645695">
              <w:t>.</w:t>
            </w:r>
          </w:p>
        </w:tc>
      </w:tr>
      <w:tr w:rsidR="00EB3204" w:rsidRPr="00645695" w14:paraId="41CF1D4C" w14:textId="77777777" w:rsidTr="00645695">
        <w:trPr>
          <w:cantSplit/>
          <w:trHeight w:val="403"/>
          <w:jc w:val="center"/>
        </w:trPr>
        <w:tc>
          <w:tcPr>
            <w:tcW w:w="1620" w:type="dxa"/>
            <w:tcBorders>
              <w:top w:val="nil"/>
              <w:left w:val="nil"/>
              <w:bottom w:val="nil"/>
              <w:right w:val="nil"/>
            </w:tcBorders>
          </w:tcPr>
          <w:p w14:paraId="41CF1D4A" w14:textId="77777777" w:rsidR="00EB3204" w:rsidRPr="00645695" w:rsidRDefault="00EB3204">
            <w:pPr>
              <w:spacing w:before="60" w:after="60"/>
            </w:pPr>
            <w:r w:rsidRPr="00645695">
              <w:t>Z</w:t>
            </w:r>
          </w:p>
        </w:tc>
        <w:tc>
          <w:tcPr>
            <w:tcW w:w="8460" w:type="dxa"/>
            <w:tcBorders>
              <w:top w:val="nil"/>
              <w:left w:val="nil"/>
              <w:bottom w:val="nil"/>
              <w:right w:val="nil"/>
            </w:tcBorders>
          </w:tcPr>
          <w:p w14:paraId="41CF1D4B" w14:textId="77777777" w:rsidR="00EB3204" w:rsidRPr="00645695" w:rsidRDefault="00EB3204">
            <w:pPr>
              <w:spacing w:before="60" w:after="60"/>
            </w:pPr>
            <w:r w:rsidRPr="00645695">
              <w:t>Section 23 or 24, AECA, FMS Credit.</w:t>
            </w:r>
          </w:p>
        </w:tc>
      </w:tr>
    </w:tbl>
    <w:p w14:paraId="41CF1D4D" w14:textId="77777777" w:rsidR="00206A55" w:rsidRDefault="00206A55" w:rsidP="00EC54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before="60" w:after="60"/>
        <w:jc w:val="center"/>
      </w:pPr>
    </w:p>
    <w:sectPr w:rsidR="00206A55" w:rsidSect="00195A51">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F1D50" w14:textId="77777777" w:rsidR="00E27F59" w:rsidRDefault="00E27F59">
      <w:r>
        <w:separator/>
      </w:r>
    </w:p>
  </w:endnote>
  <w:endnote w:type="continuationSeparator" w:id="0">
    <w:p w14:paraId="41CF1D51" w14:textId="77777777" w:rsidR="00E27F59" w:rsidRDefault="00E2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1D55" w14:textId="77777777" w:rsidR="00E27F59" w:rsidRPr="00232F7F" w:rsidRDefault="00E27F59" w:rsidP="00EB3204">
    <w:pPr>
      <w:pStyle w:val="Footer"/>
      <w:framePr w:wrap="around" w:vAnchor="text" w:hAnchor="margin" w:xAlign="center" w:y="1"/>
      <w:rPr>
        <w:rStyle w:val="PageNumber"/>
        <w:b w:val="0"/>
      </w:rPr>
    </w:pPr>
    <w:r w:rsidRPr="00232F7F">
      <w:rPr>
        <w:rStyle w:val="PageNumber"/>
        <w:b w:val="0"/>
      </w:rPr>
      <w:fldChar w:fldCharType="begin"/>
    </w:r>
    <w:r w:rsidRPr="00232F7F">
      <w:rPr>
        <w:rStyle w:val="PageNumber"/>
        <w:b w:val="0"/>
      </w:rPr>
      <w:instrText xml:space="preserve">PAGE  </w:instrText>
    </w:r>
    <w:r w:rsidRPr="00232F7F">
      <w:rPr>
        <w:rStyle w:val="PageNumber"/>
        <w:b w:val="0"/>
      </w:rPr>
      <w:fldChar w:fldCharType="separate"/>
    </w:r>
    <w:r w:rsidRPr="00232F7F">
      <w:rPr>
        <w:rStyle w:val="PageNumber"/>
        <w:b w:val="0"/>
        <w:noProof/>
      </w:rPr>
      <w:t>3</w:t>
    </w:r>
    <w:r w:rsidRPr="00232F7F">
      <w:rPr>
        <w:rStyle w:val="PageNumber"/>
        <w:b w:val="0"/>
      </w:rPr>
      <w:fldChar w:fldCharType="end"/>
    </w:r>
  </w:p>
  <w:p w14:paraId="41CF1D56" w14:textId="77777777" w:rsidR="00E27F59" w:rsidRPr="00F84173" w:rsidRDefault="00E27F59" w:rsidP="00F84173">
    <w:pPr>
      <w:pStyle w:val="Footer"/>
      <w:jc w:val="right"/>
    </w:pPr>
    <w:r w:rsidRPr="00F84173">
      <w:rPr>
        <w:rStyle w:val="PageNumber"/>
        <w:b w:val="0"/>
      </w:rPr>
      <w:t>APPENDIX 2</w:t>
    </w:r>
    <w:r>
      <w:rPr>
        <w:rStyle w:val="PageNumber"/>
        <w:b w:val="0"/>
      </w:rPr>
      <w:t>.19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1D57" w14:textId="27BADE18" w:rsidR="00E27F59" w:rsidRPr="0038112E" w:rsidRDefault="00955FE9" w:rsidP="00EB3204">
    <w:pPr>
      <w:pStyle w:val="Footer"/>
      <w:framePr w:wrap="around" w:vAnchor="text" w:hAnchor="margin" w:xAlign="center" w:y="1"/>
      <w:rPr>
        <w:rStyle w:val="PageNumber"/>
        <w:b w:val="0"/>
      </w:rPr>
    </w:pPr>
    <w:r>
      <w:rPr>
        <w:rStyle w:val="PageNumber"/>
        <w:b w:val="0"/>
      </w:rPr>
      <w:t>AP7</w:t>
    </w:r>
    <w:r w:rsidR="00E27F59">
      <w:rPr>
        <w:rStyle w:val="PageNumber"/>
        <w:b w:val="0"/>
      </w:rPr>
      <w:t>.19-</w:t>
    </w:r>
    <w:r w:rsidR="00E27F59" w:rsidRPr="0038112E">
      <w:rPr>
        <w:rStyle w:val="PageNumber"/>
        <w:b w:val="0"/>
      </w:rPr>
      <w:fldChar w:fldCharType="begin"/>
    </w:r>
    <w:r w:rsidR="00E27F59" w:rsidRPr="0038112E">
      <w:rPr>
        <w:rStyle w:val="PageNumber"/>
        <w:b w:val="0"/>
      </w:rPr>
      <w:instrText xml:space="preserve">PAGE  </w:instrText>
    </w:r>
    <w:r w:rsidR="00E27F59" w:rsidRPr="0038112E">
      <w:rPr>
        <w:rStyle w:val="PageNumber"/>
        <w:b w:val="0"/>
      </w:rPr>
      <w:fldChar w:fldCharType="separate"/>
    </w:r>
    <w:r w:rsidR="00E154F0">
      <w:rPr>
        <w:rStyle w:val="PageNumber"/>
        <w:b w:val="0"/>
        <w:noProof/>
      </w:rPr>
      <w:t>1</w:t>
    </w:r>
    <w:r w:rsidR="00E27F59" w:rsidRPr="0038112E">
      <w:rPr>
        <w:rStyle w:val="PageNumber"/>
        <w:b w:val="0"/>
      </w:rPr>
      <w:fldChar w:fldCharType="end"/>
    </w:r>
  </w:p>
  <w:p w14:paraId="41CF1D58" w14:textId="537A1397" w:rsidR="00E27F59" w:rsidRPr="00F84173" w:rsidRDefault="00E27F59" w:rsidP="0038112E">
    <w:pPr>
      <w:pStyle w:val="Footer"/>
      <w:tabs>
        <w:tab w:val="clear" w:pos="4320"/>
        <w:tab w:val="clear" w:pos="8640"/>
      </w:tabs>
      <w:jc w:val="right"/>
    </w:pPr>
    <w:r w:rsidRPr="00F84173">
      <w:t xml:space="preserve">APPENDIX </w:t>
    </w:r>
    <w:r w:rsidR="00955FE9">
      <w:t>7</w:t>
    </w:r>
    <w: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F1D4E" w14:textId="77777777" w:rsidR="00E27F59" w:rsidRDefault="00E27F59">
      <w:r>
        <w:separator/>
      </w:r>
    </w:p>
  </w:footnote>
  <w:footnote w:type="continuationSeparator" w:id="0">
    <w:p w14:paraId="41CF1D4F" w14:textId="77777777" w:rsidR="00E27F59" w:rsidRDefault="00E2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1D52" w14:textId="77777777" w:rsidR="00E27F59" w:rsidRDefault="00E27F59" w:rsidP="002B732C">
    <w:pPr>
      <w:pStyle w:val="Header"/>
      <w:jc w:val="right"/>
      <w:rPr>
        <w:i/>
        <w:u w:val="none"/>
      </w:rPr>
    </w:pPr>
    <w:r w:rsidRPr="00361E73">
      <w:rPr>
        <w:i/>
        <w:u w:val="none"/>
      </w:rPr>
      <w:t xml:space="preserve">DoD 4000.25-1-M, </w:t>
    </w:r>
    <w:r>
      <w:rPr>
        <w:i/>
        <w:u w:val="none"/>
      </w:rPr>
      <w:t>January, 2006</w:t>
    </w:r>
  </w:p>
  <w:p w14:paraId="41CF1D53" w14:textId="77777777" w:rsidR="00E27F59" w:rsidRPr="00361E73" w:rsidRDefault="00E27F59" w:rsidP="002B732C">
    <w:pPr>
      <w:pStyle w:val="Header"/>
      <w:jc w:val="right"/>
      <w:rPr>
        <w:i/>
      </w:rPr>
    </w:pPr>
    <w:r>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E61B" w14:textId="172A1214" w:rsidR="00E27F59" w:rsidRDefault="00E27F59" w:rsidP="00E27F59">
    <w:pPr>
      <w:tabs>
        <w:tab w:val="center" w:pos="4320"/>
        <w:tab w:val="right" w:pos="8640"/>
      </w:tabs>
      <w:autoSpaceDN w:val="0"/>
      <w:jc w:val="right"/>
      <w:rPr>
        <w:i/>
        <w:iCs/>
      </w:rPr>
    </w:pPr>
    <w:r>
      <w:rPr>
        <w:i/>
        <w:iCs/>
      </w:rPr>
      <w:t xml:space="preserve">DLM 4000.25, Volume 2, </w:t>
    </w:r>
    <w:r w:rsidR="00E154F0">
      <w:rPr>
        <w:i/>
      </w:rPr>
      <w:t>November 26</w:t>
    </w:r>
    <w:r>
      <w:rPr>
        <w:i/>
        <w:iCs/>
      </w:rPr>
      <w:t>, 2019</w:t>
    </w:r>
  </w:p>
  <w:p w14:paraId="41CF1D54" w14:textId="2BD06962" w:rsidR="00E27F59" w:rsidRPr="004C37F8" w:rsidRDefault="00E27F59" w:rsidP="00E27F59">
    <w:pPr>
      <w:pStyle w:val="Header"/>
      <w:jc w:val="right"/>
      <w:rPr>
        <w:u w:val="none"/>
      </w:rPr>
    </w:pPr>
    <w:r w:rsidRPr="004C37F8">
      <w:rPr>
        <w:i/>
        <w:iCs/>
        <w:u w:val="none"/>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1D59" w14:textId="77777777" w:rsidR="00E27F59" w:rsidRDefault="00E27F59" w:rsidP="00206A55">
    <w:pPr>
      <w:pStyle w:val="Header"/>
      <w:jc w:val="right"/>
    </w:pPr>
    <w:r>
      <w:t xml:space="preserve">                                                                         </w:t>
    </w:r>
    <w:r>
      <w:br/>
    </w:r>
    <w:r>
      <w:rPr>
        <w:b/>
        <w:u w:val="none"/>
      </w:rPr>
      <w:t>DoD 4000.25-1-M</w:t>
    </w:r>
    <w:r>
      <w:rPr>
        <w:b/>
        <w:u w:val="none"/>
      </w:rPr>
      <w:br/>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0F8A831C"/>
    <w:lvl w:ilvl="0">
      <w:start w:val="34"/>
      <w:numFmt w:val="none"/>
      <w:pStyle w:val="Heading1"/>
      <w:suff w:val="nothing"/>
      <w:lvlText w:val="AP2.19 APPENDIX 2.19"/>
      <w:lvlJc w:val="left"/>
      <w:pPr>
        <w:ind w:left="0" w:firstLine="0"/>
      </w:pPr>
      <w:rPr>
        <w:rFonts w:ascii="Arial" w:hAnsi="Arial" w:hint="default"/>
        <w:b/>
        <w:i w:val="0"/>
        <w:sz w:val="48"/>
      </w:rPr>
    </w:lvl>
    <w:lvl w:ilvl="1">
      <w:start w:val="1"/>
      <w:numFmt w:val="none"/>
      <w:pStyle w:val="Heading2"/>
      <w:suff w:val="nothing"/>
      <w:lvlText w:val="AP2.19. "/>
      <w:lvlJc w:val="left"/>
      <w:pPr>
        <w:ind w:left="0" w:firstLine="0"/>
      </w:pPr>
      <w:rPr>
        <w:rFonts w:ascii="Arial" w:hAnsi="Arial" w:hint="default"/>
        <w:b/>
        <w:i w:val="0"/>
        <w:sz w:val="24"/>
      </w:rPr>
    </w:lvl>
    <w:lvl w:ilvl="2">
      <w:start w:val="1"/>
      <w:numFmt w:val="decimal"/>
      <w:pStyle w:val="Heading3"/>
      <w:suff w:val="nothing"/>
      <w:lvlText w:val="AP2%1.19.%3. "/>
      <w:lvlJc w:val="left"/>
      <w:pPr>
        <w:ind w:left="0" w:firstLine="0"/>
      </w:pPr>
      <w:rPr>
        <w:rFonts w:ascii="Arial" w:hAnsi="Arial" w:hint="default"/>
        <w:b/>
        <w:i w:val="0"/>
        <w:sz w:val="24"/>
      </w:rPr>
    </w:lvl>
    <w:lvl w:ilvl="3">
      <w:start w:val="1"/>
      <w:numFmt w:val="decimal"/>
      <w:pStyle w:val="Heading4"/>
      <w:suff w:val="nothing"/>
      <w:lvlText w:val="AP2%1.19.%3.%4. "/>
      <w:lvlJc w:val="left"/>
      <w:pPr>
        <w:ind w:left="0" w:firstLine="720"/>
      </w:pPr>
      <w:rPr>
        <w:rFonts w:ascii="Arial" w:hAnsi="Arial" w:hint="default"/>
        <w:b/>
        <w:i w:val="0"/>
        <w:sz w:val="24"/>
      </w:rPr>
    </w:lvl>
    <w:lvl w:ilvl="4">
      <w:start w:val="1"/>
      <w:numFmt w:val="decimal"/>
      <w:pStyle w:val="Heading5"/>
      <w:suff w:val="nothing"/>
      <w:lvlText w:val="AP2%1.19.%3.%4.%5. "/>
      <w:lvlJc w:val="left"/>
      <w:pPr>
        <w:ind w:left="0" w:firstLine="1080"/>
      </w:pPr>
      <w:rPr>
        <w:rFonts w:ascii="Arial" w:hAnsi="Arial" w:hint="default"/>
        <w:b/>
        <w:i w:val="0"/>
        <w:sz w:val="24"/>
      </w:rPr>
    </w:lvl>
    <w:lvl w:ilvl="5">
      <w:start w:val="1"/>
      <w:numFmt w:val="decimal"/>
      <w:pStyle w:val="Heading6"/>
      <w:suff w:val="nothing"/>
      <w:lvlText w:val="AP2%1.19.%3.%4.%5.%6. "/>
      <w:lvlJc w:val="left"/>
      <w:pPr>
        <w:ind w:left="0" w:firstLine="1440"/>
      </w:pPr>
      <w:rPr>
        <w:rFonts w:ascii="Arial" w:hAnsi="Arial" w:hint="default"/>
        <w:b/>
        <w:i w:val="0"/>
        <w:sz w:val="24"/>
      </w:rPr>
    </w:lvl>
    <w:lvl w:ilvl="6">
      <w:start w:val="1"/>
      <w:numFmt w:val="decimal"/>
      <w:pStyle w:val="Heading7"/>
      <w:suff w:val="nothing"/>
      <w:lvlText w:val="AP2%1.19.%3.%4.%5.%6.%7. "/>
      <w:lvlJc w:val="left"/>
      <w:pPr>
        <w:ind w:left="0" w:firstLine="1800"/>
      </w:pPr>
      <w:rPr>
        <w:rFonts w:ascii="Arial" w:hAnsi="Arial" w:hint="default"/>
        <w:b/>
        <w:i w:val="0"/>
        <w:sz w:val="24"/>
      </w:rPr>
    </w:lvl>
    <w:lvl w:ilvl="7">
      <w:start w:val="1"/>
      <w:numFmt w:val="decimal"/>
      <w:pStyle w:val="Heading8"/>
      <w:suff w:val="nothing"/>
      <w:lvlText w:val="AP2%1.19.%3.%4.%5.%6.%7.%8. "/>
      <w:lvlJc w:val="left"/>
      <w:pPr>
        <w:ind w:left="0" w:firstLine="2160"/>
      </w:pPr>
      <w:rPr>
        <w:rFonts w:ascii="Arial" w:hAnsi="Arial" w:hint="default"/>
        <w:b/>
        <w:i w:val="0"/>
        <w:sz w:val="24"/>
      </w:rPr>
    </w:lvl>
    <w:lvl w:ilvl="8">
      <w:start w:val="1"/>
      <w:numFmt w:val="decimal"/>
      <w:pStyle w:val="Codes"/>
      <w:suff w:val="nothing"/>
      <w:lvlText w:val="AP2%1.19.%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4C5045"/>
    <w:multiLevelType w:val="multilevel"/>
    <w:tmpl w:val="1BD8A21C"/>
    <w:lvl w:ilvl="0">
      <w:start w:val="34"/>
      <w:numFmt w:val="none"/>
      <w:suff w:val="nothing"/>
      <w:lvlText w:val="AP2.19 APPENDIX 2.19"/>
      <w:lvlJc w:val="left"/>
      <w:pPr>
        <w:ind w:left="0" w:firstLine="0"/>
      </w:pPr>
      <w:rPr>
        <w:rFonts w:ascii="Arial" w:hAnsi="Arial" w:hint="default"/>
        <w:b/>
        <w:i w:val="0"/>
        <w:sz w:val="48"/>
      </w:rPr>
    </w:lvl>
    <w:lvl w:ilvl="1">
      <w:start w:val="1"/>
      <w:numFmt w:val="none"/>
      <w:suff w:val="nothing"/>
      <w:lvlText w:val="AP2.19. "/>
      <w:lvlJc w:val="left"/>
      <w:pPr>
        <w:ind w:left="0" w:firstLine="0"/>
      </w:pPr>
      <w:rPr>
        <w:rFonts w:ascii="Arial" w:hAnsi="Arial" w:hint="default"/>
        <w:b/>
        <w:i w:val="0"/>
        <w:sz w:val="24"/>
      </w:rPr>
    </w:lvl>
    <w:lvl w:ilvl="2">
      <w:start w:val="1"/>
      <w:numFmt w:val="decimal"/>
      <w:suff w:val="nothing"/>
      <w:lvlText w:val="AP2%1.19.%3. "/>
      <w:lvlJc w:val="left"/>
      <w:pPr>
        <w:ind w:left="0" w:firstLine="360"/>
      </w:pPr>
      <w:rPr>
        <w:rFonts w:ascii="Arial" w:hAnsi="Arial" w:hint="default"/>
        <w:b/>
        <w:i w:val="0"/>
        <w:sz w:val="24"/>
      </w:rPr>
    </w:lvl>
    <w:lvl w:ilvl="3">
      <w:start w:val="1"/>
      <w:numFmt w:val="decimal"/>
      <w:suff w:val="nothing"/>
      <w:lvlText w:val="AP2%1.19.%3.%4. "/>
      <w:lvlJc w:val="left"/>
      <w:pPr>
        <w:ind w:left="0" w:firstLine="720"/>
      </w:pPr>
      <w:rPr>
        <w:rFonts w:ascii="Arial" w:hAnsi="Arial" w:hint="default"/>
        <w:b/>
        <w:i w:val="0"/>
        <w:sz w:val="24"/>
      </w:rPr>
    </w:lvl>
    <w:lvl w:ilvl="4">
      <w:start w:val="1"/>
      <w:numFmt w:val="decimal"/>
      <w:suff w:val="nothing"/>
      <w:lvlText w:val="AP2%1.19.%3.%4.%5. "/>
      <w:lvlJc w:val="left"/>
      <w:pPr>
        <w:ind w:left="0" w:firstLine="1080"/>
      </w:pPr>
      <w:rPr>
        <w:rFonts w:ascii="Arial" w:hAnsi="Arial" w:hint="default"/>
        <w:b/>
        <w:i w:val="0"/>
        <w:sz w:val="24"/>
      </w:rPr>
    </w:lvl>
    <w:lvl w:ilvl="5">
      <w:start w:val="1"/>
      <w:numFmt w:val="decimal"/>
      <w:suff w:val="nothing"/>
      <w:lvlText w:val="AP2%1.19.%3.%4.%5.%6. "/>
      <w:lvlJc w:val="left"/>
      <w:pPr>
        <w:ind w:left="0" w:firstLine="1440"/>
      </w:pPr>
      <w:rPr>
        <w:rFonts w:ascii="Arial" w:hAnsi="Arial" w:hint="default"/>
        <w:b/>
        <w:i w:val="0"/>
        <w:sz w:val="24"/>
      </w:rPr>
    </w:lvl>
    <w:lvl w:ilvl="6">
      <w:start w:val="1"/>
      <w:numFmt w:val="decimal"/>
      <w:suff w:val="nothing"/>
      <w:lvlText w:val="AP2%1.19.%3.%4.%5.%6.%7. "/>
      <w:lvlJc w:val="left"/>
      <w:pPr>
        <w:ind w:left="0" w:firstLine="1800"/>
      </w:pPr>
      <w:rPr>
        <w:rFonts w:ascii="Arial" w:hAnsi="Arial" w:hint="default"/>
        <w:b/>
        <w:i w:val="0"/>
        <w:sz w:val="24"/>
      </w:rPr>
    </w:lvl>
    <w:lvl w:ilvl="7">
      <w:start w:val="1"/>
      <w:numFmt w:val="decimal"/>
      <w:suff w:val="nothing"/>
      <w:lvlText w:val="AP2%1.19.%3.%4.%5.%6.%7.%8. "/>
      <w:lvlJc w:val="left"/>
      <w:pPr>
        <w:ind w:left="0" w:firstLine="2160"/>
      </w:pPr>
      <w:rPr>
        <w:rFonts w:ascii="Arial" w:hAnsi="Arial" w:hint="default"/>
        <w:b/>
        <w:i w:val="0"/>
        <w:sz w:val="24"/>
      </w:rPr>
    </w:lvl>
    <w:lvl w:ilvl="8">
      <w:start w:val="1"/>
      <w:numFmt w:val="decimal"/>
      <w:suff w:val="nothing"/>
      <w:lvlText w:val="AP2%1.19.%3.%4.%5.%6.%7.%8.%9. "/>
      <w:lvlJc w:val="left"/>
      <w:pPr>
        <w:ind w:left="0" w:firstLine="2520"/>
      </w:pPr>
      <w:rPr>
        <w:rFonts w:ascii="Arial" w:hAnsi="Arial" w:hint="default"/>
        <w:b/>
        <w:i w:val="0"/>
        <w:sz w:val="24"/>
      </w:rPr>
    </w:lvl>
  </w:abstractNum>
  <w:abstractNum w:abstractNumId="10" w15:restartNumberingAfterBreak="0">
    <w:nsid w:val="2BDF45D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7A9D3CE8"/>
    <w:multiLevelType w:val="multilevel"/>
    <w:tmpl w:val="BD48169A"/>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11"/>
  </w:num>
  <w:num w:numId="10">
    <w:abstractNumId w:val="12"/>
  </w:num>
  <w:num w:numId="11">
    <w:abstractNumId w:val="13"/>
  </w:num>
  <w:num w:numId="12">
    <w:abstractNumId w:val="15"/>
  </w:num>
  <w:num w:numId="13">
    <w:abstractNumId w:val="14"/>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06A55"/>
    <w:rsid w:val="00005D2E"/>
    <w:rsid w:val="0000620A"/>
    <w:rsid w:val="0006288C"/>
    <w:rsid w:val="000A5557"/>
    <w:rsid w:val="00184AB3"/>
    <w:rsid w:val="00195A51"/>
    <w:rsid w:val="001D5DBF"/>
    <w:rsid w:val="00206A55"/>
    <w:rsid w:val="00232F7F"/>
    <w:rsid w:val="002405D2"/>
    <w:rsid w:val="002822D4"/>
    <w:rsid w:val="00282E44"/>
    <w:rsid w:val="0029240A"/>
    <w:rsid w:val="002B3F3A"/>
    <w:rsid w:val="002B732C"/>
    <w:rsid w:val="003511CD"/>
    <w:rsid w:val="00361E73"/>
    <w:rsid w:val="0038112E"/>
    <w:rsid w:val="003D5D78"/>
    <w:rsid w:val="00446429"/>
    <w:rsid w:val="00480EC1"/>
    <w:rsid w:val="004C37F8"/>
    <w:rsid w:val="004C5458"/>
    <w:rsid w:val="00530807"/>
    <w:rsid w:val="005350E3"/>
    <w:rsid w:val="00550D7A"/>
    <w:rsid w:val="005B4148"/>
    <w:rsid w:val="005B7C83"/>
    <w:rsid w:val="005D1922"/>
    <w:rsid w:val="005F1758"/>
    <w:rsid w:val="00645695"/>
    <w:rsid w:val="006747E6"/>
    <w:rsid w:val="006823BF"/>
    <w:rsid w:val="006E40FC"/>
    <w:rsid w:val="00736AA1"/>
    <w:rsid w:val="00782CEF"/>
    <w:rsid w:val="007B3F55"/>
    <w:rsid w:val="007B4430"/>
    <w:rsid w:val="007B72FA"/>
    <w:rsid w:val="00900E3C"/>
    <w:rsid w:val="00926E3D"/>
    <w:rsid w:val="00955778"/>
    <w:rsid w:val="00955FE9"/>
    <w:rsid w:val="009879BB"/>
    <w:rsid w:val="00995615"/>
    <w:rsid w:val="009B67D2"/>
    <w:rsid w:val="009C47E6"/>
    <w:rsid w:val="009D12D5"/>
    <w:rsid w:val="009D3DB6"/>
    <w:rsid w:val="00A5409E"/>
    <w:rsid w:val="00A8329C"/>
    <w:rsid w:val="00A90827"/>
    <w:rsid w:val="00A93D30"/>
    <w:rsid w:val="00AC2F19"/>
    <w:rsid w:val="00BA36E8"/>
    <w:rsid w:val="00BB7D58"/>
    <w:rsid w:val="00BF3CEA"/>
    <w:rsid w:val="00C10A46"/>
    <w:rsid w:val="00C35323"/>
    <w:rsid w:val="00CC5E27"/>
    <w:rsid w:val="00CE650B"/>
    <w:rsid w:val="00CE6EDC"/>
    <w:rsid w:val="00D017D7"/>
    <w:rsid w:val="00D4130E"/>
    <w:rsid w:val="00E154F0"/>
    <w:rsid w:val="00E27F59"/>
    <w:rsid w:val="00EB3204"/>
    <w:rsid w:val="00EC5443"/>
    <w:rsid w:val="00ED247D"/>
    <w:rsid w:val="00F42EA1"/>
    <w:rsid w:val="00F83678"/>
    <w:rsid w:val="00F84173"/>
    <w:rsid w:val="00FC43F2"/>
    <w:rsid w:val="00FE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CF1CEA"/>
  <w15:docId w15:val="{3F708AEA-59C6-456C-9507-13B73BB1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3A"/>
    <w:rPr>
      <w:rFonts w:ascii="Arial" w:hAnsi="Arial"/>
      <w:sz w:val="24"/>
    </w:rPr>
  </w:style>
  <w:style w:type="paragraph" w:styleId="Heading1">
    <w:name w:val="heading 1"/>
    <w:basedOn w:val="Normal"/>
    <w:next w:val="Heading2"/>
    <w:qFormat/>
    <w:rsid w:val="002B3F3A"/>
    <w:pPr>
      <w:numPr>
        <w:numId w:val="1"/>
      </w:numPr>
      <w:spacing w:before="60" w:after="120"/>
      <w:outlineLvl w:val="0"/>
    </w:pPr>
    <w:rPr>
      <w:b/>
      <w:caps/>
      <w:sz w:val="28"/>
    </w:rPr>
  </w:style>
  <w:style w:type="paragraph" w:styleId="Heading2">
    <w:name w:val="heading 2"/>
    <w:basedOn w:val="Normal"/>
    <w:qFormat/>
    <w:rsid w:val="002B3F3A"/>
    <w:pPr>
      <w:numPr>
        <w:ilvl w:val="1"/>
        <w:numId w:val="1"/>
      </w:numPr>
      <w:spacing w:before="60" w:after="120"/>
      <w:outlineLvl w:val="1"/>
    </w:pPr>
  </w:style>
  <w:style w:type="paragraph" w:styleId="Heading3">
    <w:name w:val="heading 3"/>
    <w:basedOn w:val="Normal"/>
    <w:qFormat/>
    <w:rsid w:val="002B3F3A"/>
    <w:pPr>
      <w:numPr>
        <w:ilvl w:val="2"/>
        <w:numId w:val="1"/>
      </w:numPr>
      <w:tabs>
        <w:tab w:val="left" w:pos="1530"/>
      </w:tabs>
      <w:spacing w:before="60" w:after="120"/>
      <w:outlineLvl w:val="2"/>
    </w:pPr>
  </w:style>
  <w:style w:type="paragraph" w:styleId="Heading4">
    <w:name w:val="heading 4"/>
    <w:basedOn w:val="Normal"/>
    <w:qFormat/>
    <w:rsid w:val="002B3F3A"/>
    <w:pPr>
      <w:numPr>
        <w:ilvl w:val="3"/>
        <w:numId w:val="1"/>
      </w:numPr>
      <w:spacing w:before="60" w:after="120"/>
      <w:outlineLvl w:val="3"/>
    </w:pPr>
  </w:style>
  <w:style w:type="paragraph" w:styleId="Heading5">
    <w:name w:val="heading 5"/>
    <w:basedOn w:val="Normal"/>
    <w:qFormat/>
    <w:rsid w:val="002B3F3A"/>
    <w:pPr>
      <w:numPr>
        <w:ilvl w:val="4"/>
        <w:numId w:val="1"/>
      </w:numPr>
      <w:spacing w:before="60" w:after="120"/>
      <w:outlineLvl w:val="4"/>
    </w:pPr>
  </w:style>
  <w:style w:type="paragraph" w:styleId="Heading6">
    <w:name w:val="heading 6"/>
    <w:basedOn w:val="Normal"/>
    <w:qFormat/>
    <w:rsid w:val="002B3F3A"/>
    <w:pPr>
      <w:numPr>
        <w:ilvl w:val="5"/>
        <w:numId w:val="1"/>
      </w:numPr>
      <w:tabs>
        <w:tab w:val="left" w:pos="3150"/>
      </w:tabs>
      <w:spacing w:before="60" w:after="120"/>
      <w:outlineLvl w:val="5"/>
    </w:pPr>
  </w:style>
  <w:style w:type="paragraph" w:styleId="Heading7">
    <w:name w:val="heading 7"/>
    <w:basedOn w:val="Normal"/>
    <w:qFormat/>
    <w:rsid w:val="002B3F3A"/>
    <w:pPr>
      <w:numPr>
        <w:ilvl w:val="6"/>
        <w:numId w:val="1"/>
      </w:numPr>
      <w:spacing w:before="60" w:after="120"/>
      <w:outlineLvl w:val="6"/>
    </w:pPr>
  </w:style>
  <w:style w:type="paragraph" w:styleId="Heading8">
    <w:name w:val="heading 8"/>
    <w:basedOn w:val="Normal"/>
    <w:next w:val="Heading9"/>
    <w:qFormat/>
    <w:rsid w:val="002B3F3A"/>
    <w:pPr>
      <w:numPr>
        <w:ilvl w:val="7"/>
        <w:numId w:val="1"/>
      </w:numPr>
      <w:spacing w:before="60" w:after="120"/>
      <w:outlineLvl w:val="7"/>
    </w:pPr>
  </w:style>
  <w:style w:type="paragraph" w:styleId="Heading9">
    <w:name w:val="heading 9"/>
    <w:basedOn w:val="Normal"/>
    <w:qFormat/>
    <w:rsid w:val="002B3F3A"/>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2B3F3A"/>
    <w:rPr>
      <w:vertAlign w:val="superscript"/>
    </w:rPr>
  </w:style>
  <w:style w:type="character" w:styleId="FootnoteReference">
    <w:name w:val="footnote reference"/>
    <w:basedOn w:val="DefaultParagraphFont"/>
    <w:semiHidden/>
    <w:rsid w:val="002B3F3A"/>
    <w:rPr>
      <w:vertAlign w:val="superscript"/>
    </w:rPr>
  </w:style>
  <w:style w:type="character" w:styleId="PageNumber">
    <w:name w:val="page number"/>
    <w:basedOn w:val="DefaultParagraphFont"/>
    <w:rsid w:val="002B3F3A"/>
    <w:rPr>
      <w:rFonts w:ascii="Arial" w:hAnsi="Arial"/>
      <w:b/>
      <w:sz w:val="24"/>
    </w:rPr>
  </w:style>
  <w:style w:type="paragraph" w:styleId="Footer">
    <w:name w:val="footer"/>
    <w:basedOn w:val="Normal"/>
    <w:rsid w:val="002B3F3A"/>
    <w:pPr>
      <w:tabs>
        <w:tab w:val="center" w:pos="4320"/>
        <w:tab w:val="right" w:pos="8640"/>
      </w:tabs>
    </w:pPr>
  </w:style>
  <w:style w:type="paragraph" w:styleId="Header">
    <w:name w:val="header"/>
    <w:basedOn w:val="Normal"/>
    <w:rsid w:val="002B3F3A"/>
    <w:pPr>
      <w:tabs>
        <w:tab w:val="center" w:pos="4320"/>
        <w:tab w:val="right" w:pos="8640"/>
      </w:tabs>
      <w:jc w:val="center"/>
    </w:pPr>
    <w:rPr>
      <w:u w:val="single"/>
    </w:rPr>
  </w:style>
  <w:style w:type="paragraph" w:styleId="FootnoteText">
    <w:name w:val="footnote text"/>
    <w:basedOn w:val="Normal"/>
    <w:semiHidden/>
    <w:rsid w:val="002B3F3A"/>
    <w:rPr>
      <w:sz w:val="20"/>
    </w:rPr>
  </w:style>
  <w:style w:type="paragraph" w:customStyle="1" w:styleId="SubTitle">
    <w:name w:val="Sub Title"/>
    <w:basedOn w:val="Title"/>
    <w:rsid w:val="002B3F3A"/>
    <w:rPr>
      <w:u w:val="single"/>
    </w:rPr>
  </w:style>
  <w:style w:type="paragraph" w:styleId="Title">
    <w:name w:val="Title"/>
    <w:basedOn w:val="Normal"/>
    <w:next w:val="Header"/>
    <w:qFormat/>
    <w:rsid w:val="002B3F3A"/>
    <w:pPr>
      <w:spacing w:after="240"/>
      <w:jc w:val="center"/>
    </w:pPr>
    <w:rPr>
      <w:b/>
      <w:caps/>
      <w:kern w:val="28"/>
      <w:sz w:val="28"/>
    </w:rPr>
  </w:style>
  <w:style w:type="paragraph" w:styleId="Subtitle0">
    <w:name w:val="Subtitle"/>
    <w:basedOn w:val="Normal"/>
    <w:qFormat/>
    <w:rsid w:val="002B3F3A"/>
    <w:pPr>
      <w:spacing w:after="240"/>
      <w:jc w:val="center"/>
    </w:pPr>
    <w:rPr>
      <w:b/>
      <w:caps/>
      <w:sz w:val="28"/>
      <w:u w:val="single"/>
    </w:rPr>
  </w:style>
  <w:style w:type="paragraph" w:customStyle="1" w:styleId="BodyTextHanging">
    <w:name w:val="Body Text Hanging"/>
    <w:basedOn w:val="Normal"/>
    <w:rsid w:val="002B3F3A"/>
    <w:pPr>
      <w:spacing w:after="160"/>
      <w:ind w:left="1440"/>
    </w:pPr>
  </w:style>
  <w:style w:type="paragraph" w:styleId="BodyText">
    <w:name w:val="Body Text"/>
    <w:basedOn w:val="Normal"/>
    <w:rsid w:val="002B3F3A"/>
    <w:pPr>
      <w:spacing w:after="120"/>
    </w:pPr>
  </w:style>
  <w:style w:type="paragraph" w:styleId="ListBullet">
    <w:name w:val="List Bullet"/>
    <w:basedOn w:val="Normal"/>
    <w:rsid w:val="002B3F3A"/>
    <w:pPr>
      <w:spacing w:after="120"/>
      <w:ind w:left="360" w:hanging="360"/>
    </w:pPr>
  </w:style>
  <w:style w:type="paragraph" w:styleId="ListBullet2">
    <w:name w:val="List Bullet 2"/>
    <w:basedOn w:val="Normal"/>
    <w:rsid w:val="002B3F3A"/>
    <w:pPr>
      <w:ind w:left="720" w:hanging="360"/>
    </w:pPr>
  </w:style>
  <w:style w:type="paragraph" w:styleId="ListBullet3">
    <w:name w:val="List Bullet 3"/>
    <w:basedOn w:val="Normal"/>
    <w:rsid w:val="002B3F3A"/>
    <w:pPr>
      <w:ind w:left="1080" w:hanging="360"/>
    </w:pPr>
  </w:style>
  <w:style w:type="paragraph" w:styleId="ListNumber">
    <w:name w:val="List Number"/>
    <w:basedOn w:val="Normal"/>
    <w:rsid w:val="002B3F3A"/>
    <w:pPr>
      <w:ind w:left="360" w:hanging="360"/>
    </w:pPr>
  </w:style>
  <w:style w:type="paragraph" w:styleId="ListNumber2">
    <w:name w:val="List Number 2"/>
    <w:basedOn w:val="Normal"/>
    <w:rsid w:val="002B3F3A"/>
    <w:pPr>
      <w:ind w:left="720" w:hanging="360"/>
    </w:pPr>
  </w:style>
  <w:style w:type="paragraph" w:styleId="ListNumber3">
    <w:name w:val="List Number 3"/>
    <w:basedOn w:val="Normal"/>
    <w:rsid w:val="002B3F3A"/>
    <w:pPr>
      <w:ind w:left="1080" w:hanging="360"/>
    </w:pPr>
  </w:style>
  <w:style w:type="paragraph" w:styleId="DocumentMap">
    <w:name w:val="Document Map"/>
    <w:basedOn w:val="Normal"/>
    <w:semiHidden/>
    <w:rsid w:val="002B3F3A"/>
    <w:pPr>
      <w:shd w:val="clear" w:color="auto" w:fill="000080"/>
    </w:pPr>
    <w:rPr>
      <w:rFonts w:ascii="Tahoma" w:hAnsi="Tahoma"/>
    </w:rPr>
  </w:style>
  <w:style w:type="paragraph" w:customStyle="1" w:styleId="Codes">
    <w:name w:val="Codes"/>
    <w:rsid w:val="002B3F3A"/>
    <w:pPr>
      <w:numPr>
        <w:ilvl w:val="8"/>
        <w:numId w:val="1"/>
      </w:numPr>
    </w:pPr>
    <w:rPr>
      <w:rFonts w:ascii="Arial" w:hAnsi="Arial"/>
      <w:noProof/>
      <w:sz w:val="24"/>
    </w:rPr>
  </w:style>
  <w:style w:type="paragraph" w:customStyle="1" w:styleId="2MANUALPara">
    <w:name w:val="2MANUAL Para"/>
    <w:rsid w:val="002B3F3A"/>
    <w:pPr>
      <w:autoSpaceDE w:val="0"/>
      <w:autoSpaceDN w:val="0"/>
      <w:adjustRightInd w:val="0"/>
    </w:pPr>
    <w:rPr>
      <w:rFonts w:ascii="Arial" w:hAnsi="Arial"/>
      <w:szCs w:val="24"/>
    </w:rPr>
  </w:style>
  <w:style w:type="paragraph" w:customStyle="1" w:styleId="1MANUALPara">
    <w:name w:val="1MANUAL Para"/>
    <w:rsid w:val="002B3F3A"/>
    <w:pPr>
      <w:autoSpaceDE w:val="0"/>
      <w:autoSpaceDN w:val="0"/>
      <w:adjustRightInd w:val="0"/>
    </w:pPr>
    <w:rPr>
      <w:rFonts w:ascii="Arial" w:hAnsi="Arial"/>
      <w:szCs w:val="24"/>
    </w:rPr>
  </w:style>
  <w:style w:type="character" w:styleId="CommentReference">
    <w:name w:val="annotation reference"/>
    <w:basedOn w:val="DefaultParagraphFont"/>
    <w:semiHidden/>
    <w:rsid w:val="002B3F3A"/>
    <w:rPr>
      <w:sz w:val="16"/>
      <w:szCs w:val="16"/>
    </w:rPr>
  </w:style>
  <w:style w:type="paragraph" w:styleId="CommentText">
    <w:name w:val="annotation text"/>
    <w:basedOn w:val="Normal"/>
    <w:semiHidden/>
    <w:rsid w:val="002B3F3A"/>
    <w:rPr>
      <w:sz w:val="20"/>
    </w:rPr>
  </w:style>
  <w:style w:type="paragraph" w:customStyle="1" w:styleId="1Paragraph">
    <w:name w:val="1Paragraph"/>
    <w:rsid w:val="002B3F3A"/>
    <w:pPr>
      <w:autoSpaceDE w:val="0"/>
      <w:autoSpaceDN w:val="0"/>
      <w:adjustRightInd w:val="0"/>
    </w:pPr>
    <w:rPr>
      <w:rFonts w:ascii="Arial" w:hAnsi="Arial"/>
      <w:szCs w:val="24"/>
    </w:rPr>
  </w:style>
  <w:style w:type="paragraph" w:styleId="BalloonText">
    <w:name w:val="Balloon Text"/>
    <w:basedOn w:val="Normal"/>
    <w:semiHidden/>
    <w:rsid w:val="00206A55"/>
    <w:rPr>
      <w:rFonts w:ascii="Tahoma" w:hAnsi="Tahoma" w:cs="Tahoma"/>
      <w:sz w:val="16"/>
      <w:szCs w:val="16"/>
    </w:rPr>
  </w:style>
  <w:style w:type="character" w:styleId="Strong">
    <w:name w:val="Strong"/>
    <w:basedOn w:val="DefaultParagraphFont"/>
    <w:uiPriority w:val="22"/>
    <w:qFormat/>
    <w:rsid w:val="000A5557"/>
    <w:rPr>
      <w:b/>
      <w:bCs/>
    </w:rPr>
  </w:style>
  <w:style w:type="character" w:styleId="Hyperlink">
    <w:name w:val="Hyperlink"/>
    <w:basedOn w:val="DefaultParagraphFont"/>
    <w:rsid w:val="00AC2F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7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amm.dsca.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D8CC7290-B10C-4861-AACE-F94E431F7F73}">
  <ds:schemaRefs>
    <ds:schemaRef ds:uri="http://schemas.microsoft.com/sharepoint/v3/contenttype/forms"/>
  </ds:schemaRefs>
</ds:datastoreItem>
</file>

<file path=customXml/itemProps2.xml><?xml version="1.0" encoding="utf-8"?>
<ds:datastoreItem xmlns:ds="http://schemas.openxmlformats.org/officeDocument/2006/customXml" ds:itemID="{80237FC8-F963-4D4C-B085-B081E8CF3AF6}"/>
</file>

<file path=customXml/itemProps3.xml><?xml version="1.0" encoding="utf-8"?>
<ds:datastoreItem xmlns:ds="http://schemas.openxmlformats.org/officeDocument/2006/customXml" ds:itemID="{44812A09-4D68-4706-9847-AF691791549F}">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ap1.34.dot</Template>
  <TotalTime>75</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Appendix 7.19 - Security Assistance Program Type of Assistance and Financing Codes</vt:lpstr>
    </vt:vector>
  </TitlesOfParts>
  <Company>DLA Logistics Management Standards Office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7.19 - Security Assistance Program Type of Assistance and Financing Codes</dc:title>
  <dc:subject/>
  <dc:creator>Heidi Daverde</dc:creator>
  <cp:keywords/>
  <cp:lastModifiedBy>Nguyen, Bao X CTR DLA INFO OPERATIONS (USA)</cp:lastModifiedBy>
  <cp:revision>17</cp:revision>
  <cp:lastPrinted>2012-01-17T16:47:00Z</cp:lastPrinted>
  <dcterms:created xsi:type="dcterms:W3CDTF">2011-07-28T15:21:00Z</dcterms:created>
  <dcterms:modified xsi:type="dcterms:W3CDTF">2019-11-26T21:41:00Z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2295200</vt:r8>
  </property>
</Properties>
</file>