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3E77" w14:textId="01F3433F" w:rsidR="005A60A8" w:rsidRPr="0089039E" w:rsidRDefault="00E97DCD" w:rsidP="00780A40">
      <w:pPr>
        <w:spacing w:after="240"/>
        <w:jc w:val="center"/>
        <w:rPr>
          <w:b/>
          <w:sz w:val="44"/>
          <w:szCs w:val="44"/>
          <w:u w:val="single"/>
        </w:rPr>
      </w:pPr>
      <w:r w:rsidRPr="0089039E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7</w:t>
      </w:r>
      <w:r w:rsidR="00A92748" w:rsidRPr="0089039E">
        <w:rPr>
          <w:b/>
          <w:sz w:val="44"/>
          <w:szCs w:val="44"/>
          <w:u w:val="single"/>
        </w:rPr>
        <w:t>.25</w:t>
      </w:r>
      <w:r w:rsidR="00EC7E56" w:rsidRPr="0089039E">
        <w:rPr>
          <w:b/>
          <w:sz w:val="44"/>
          <w:szCs w:val="44"/>
          <w:u w:val="single"/>
        </w:rPr>
        <w:t>.</w:t>
      </w:r>
      <w:r w:rsidR="00A92748" w:rsidRPr="0089039E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  <w:r w:rsidR="00A92748" w:rsidRPr="0089039E">
        <w:rPr>
          <w:b/>
          <w:sz w:val="44"/>
          <w:szCs w:val="44"/>
          <w:u w:val="single"/>
        </w:rPr>
        <w:t>.25</w:t>
      </w:r>
    </w:p>
    <w:p w14:paraId="021F3E78" w14:textId="77777777" w:rsidR="00A81C8A" w:rsidRPr="0099248B" w:rsidRDefault="00AA62FE" w:rsidP="00270E17">
      <w:pPr>
        <w:spacing w:after="360"/>
        <w:jc w:val="center"/>
        <w:rPr>
          <w:b/>
          <w:sz w:val="36"/>
          <w:szCs w:val="36"/>
          <w:u w:val="single"/>
        </w:rPr>
      </w:pPr>
      <w:r w:rsidRPr="0099248B">
        <w:rPr>
          <w:b/>
          <w:sz w:val="36"/>
          <w:szCs w:val="36"/>
          <w:u w:val="single"/>
        </w:rPr>
        <w:t>CUSTOMER IDENTIFICATION</w:t>
      </w:r>
    </w:p>
    <w:tbl>
      <w:tblPr>
        <w:tblW w:w="954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490"/>
      </w:tblGrid>
      <w:tr w:rsidR="00F3066E" w:rsidRPr="00EC7E56" w14:paraId="021F3E7B" w14:textId="77777777">
        <w:trPr>
          <w:cantSplit/>
          <w:trHeight w:val="40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1F3E79" w14:textId="77777777" w:rsidR="00F3066E" w:rsidRPr="00EC7E56" w:rsidRDefault="00F3066E" w:rsidP="00270E17">
            <w:pPr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bCs/>
                <w:szCs w:val="24"/>
              </w:rPr>
              <w:t>NUMBER OF CHARACTERS: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3E7A" w14:textId="77777777" w:rsidR="00F3066E" w:rsidRPr="00EC7E56" w:rsidRDefault="00F3066E" w:rsidP="00270E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szCs w:val="24"/>
              </w:rPr>
              <w:t>Thirteen.</w:t>
            </w:r>
          </w:p>
        </w:tc>
      </w:tr>
      <w:tr w:rsidR="00F3066E" w:rsidRPr="00EC7E56" w14:paraId="021F3E7E" w14:textId="77777777">
        <w:trPr>
          <w:cantSplit/>
          <w:trHeight w:val="40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1F3E7C" w14:textId="77777777" w:rsidR="00F3066E" w:rsidRPr="00EC7E56" w:rsidRDefault="00F3066E" w:rsidP="00270E17">
            <w:pPr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bCs/>
                <w:szCs w:val="24"/>
              </w:rPr>
              <w:t>TYPE OF CODE: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21F3E7D" w14:textId="77777777" w:rsidR="00F3066E" w:rsidRPr="00EC7E56" w:rsidRDefault="00F3066E" w:rsidP="00270E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szCs w:val="24"/>
              </w:rPr>
              <w:t>Alpha/Numeric</w:t>
            </w:r>
            <w:r w:rsidR="00BC4816" w:rsidRPr="00EC7E56">
              <w:rPr>
                <w:szCs w:val="24"/>
              </w:rPr>
              <w:t>.</w:t>
            </w:r>
          </w:p>
        </w:tc>
      </w:tr>
      <w:tr w:rsidR="00F3066E" w:rsidRPr="00EC7E56" w14:paraId="021F3E81" w14:textId="77777777">
        <w:trPr>
          <w:cantSplit/>
          <w:trHeight w:val="40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1F3E7F" w14:textId="77777777" w:rsidR="00F3066E" w:rsidRPr="00EC7E56" w:rsidRDefault="00F3066E" w:rsidP="00270E17">
            <w:pPr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bCs/>
                <w:szCs w:val="24"/>
              </w:rPr>
              <w:t>EXPLANATION: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21F3E80" w14:textId="22823820" w:rsidR="00F3066E" w:rsidRPr="00EC7E56" w:rsidRDefault="00F3066E" w:rsidP="00B07D4E">
            <w:pPr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szCs w:val="24"/>
              </w:rPr>
              <w:t xml:space="preserve">Provides customer identification on automated submission of requisitions containing exception ship-to addresses via a system-generated code that cannot be overridden by the user.  The first three-charters may identify the preparing system followed by a 10-character identification of the individual customer keyed to the customer login/account.  The originating organization must be able to identify the specific individual by this code.  When constructed by the </w:t>
            </w:r>
            <w:r w:rsidR="00A14075">
              <w:rPr>
                <w:szCs w:val="24"/>
              </w:rPr>
              <w:t>Defense Automa</w:t>
            </w:r>
            <w:r w:rsidR="00B07D4E">
              <w:rPr>
                <w:szCs w:val="24"/>
              </w:rPr>
              <w:t xml:space="preserve">tic </w:t>
            </w:r>
            <w:r w:rsidR="00A14075">
              <w:rPr>
                <w:szCs w:val="24"/>
              </w:rPr>
              <w:t>Addresing System (</w:t>
            </w:r>
            <w:r w:rsidRPr="00EC7E56">
              <w:rPr>
                <w:szCs w:val="24"/>
              </w:rPr>
              <w:t>DAAS</w:t>
            </w:r>
            <w:r w:rsidR="00A14075">
              <w:rPr>
                <w:szCs w:val="24"/>
              </w:rPr>
              <w:t>)</w:t>
            </w:r>
            <w:r w:rsidRPr="00EC7E56">
              <w:rPr>
                <w:szCs w:val="24"/>
              </w:rPr>
              <w:t>, the customer identification will consist of the originator  (the first position of the seven position communications routing identifier is dropped) plus the four-position serial number and the three-position date form the incoming message header.</w:t>
            </w:r>
            <w:r w:rsidR="00A81C8A" w:rsidRPr="00EC7E56">
              <w:rPr>
                <w:szCs w:val="24"/>
              </w:rPr>
              <w:t xml:space="preserve">  Originating systems are identified below.</w:t>
            </w:r>
          </w:p>
        </w:tc>
        <w:bookmarkStart w:id="0" w:name="_GoBack"/>
        <w:bookmarkEnd w:id="0"/>
      </w:tr>
      <w:tr w:rsidR="00F3066E" w:rsidRPr="00EC7E56" w14:paraId="021F3E84" w14:textId="77777777">
        <w:trPr>
          <w:cantSplit/>
          <w:trHeight w:val="40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1F3E82" w14:textId="77777777" w:rsidR="00F3066E" w:rsidRPr="00EC7E56" w:rsidRDefault="00F3066E" w:rsidP="00270E17">
            <w:pPr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bCs/>
                <w:szCs w:val="24"/>
              </w:rPr>
              <w:t>RECORD POSITION(S):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21F3E83" w14:textId="77777777" w:rsidR="00F3066E" w:rsidRPr="00EC7E56" w:rsidRDefault="00F3066E" w:rsidP="00270E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EC7E56">
              <w:rPr>
                <w:rFonts w:cs="Arial"/>
                <w:szCs w:val="24"/>
              </w:rPr>
              <w:t>67- 69</w:t>
            </w:r>
            <w:r w:rsidR="00567847" w:rsidRPr="00EC7E56">
              <w:rPr>
                <w:rStyle w:val="FootnoteReference"/>
                <w:rFonts w:cs="Arial"/>
                <w:szCs w:val="24"/>
              </w:rPr>
              <w:footnoteReference w:id="1"/>
            </w:r>
            <w:r w:rsidRPr="00EC7E56">
              <w:rPr>
                <w:rFonts w:cs="Arial"/>
                <w:szCs w:val="24"/>
              </w:rPr>
              <w:t xml:space="preserve"> </w:t>
            </w:r>
          </w:p>
        </w:tc>
      </w:tr>
    </w:tbl>
    <w:p w14:paraId="021F3E85" w14:textId="77777777" w:rsidR="00F3066E" w:rsidRPr="00EC7E56" w:rsidRDefault="00F3066E" w:rsidP="00270E17">
      <w:pPr>
        <w:pStyle w:val="Heading3"/>
        <w:numPr>
          <w:ilvl w:val="0"/>
          <w:numId w:val="0"/>
        </w:numPr>
        <w:spacing w:after="60"/>
        <w:ind w:firstLine="360"/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7650"/>
      </w:tblGrid>
      <w:tr w:rsidR="00F3066E" w:rsidRPr="008647AF" w14:paraId="021F3E88" w14:textId="77777777">
        <w:trPr>
          <w:cantSplit/>
          <w:trHeight w:val="40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1F3E86" w14:textId="77777777" w:rsidR="00F3066E" w:rsidRPr="008647AF" w:rsidRDefault="00F3066E" w:rsidP="00270E17">
            <w:pPr>
              <w:spacing w:before="60" w:after="60"/>
              <w:rPr>
                <w:bCs/>
                <w:szCs w:val="24"/>
              </w:rPr>
            </w:pPr>
            <w:r w:rsidRPr="008647AF">
              <w:rPr>
                <w:bCs/>
                <w:szCs w:val="24"/>
              </w:rPr>
              <w:t>CODE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021F3E87" w14:textId="77777777" w:rsidR="00F3066E" w:rsidRPr="008647AF" w:rsidRDefault="00F3066E" w:rsidP="00270E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8647AF">
              <w:rPr>
                <w:rFonts w:cs="Arial"/>
                <w:szCs w:val="24"/>
              </w:rPr>
              <w:t>EXPLANITION</w:t>
            </w:r>
          </w:p>
        </w:tc>
      </w:tr>
      <w:tr w:rsidR="0064256B" w14:paraId="021F3E8B" w14:textId="77777777">
        <w:trPr>
          <w:cantSplit/>
          <w:trHeight w:val="40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1F3E89" w14:textId="77777777" w:rsidR="0064256B" w:rsidRPr="0064256B" w:rsidRDefault="0064256B" w:rsidP="00270E17">
            <w:pPr>
              <w:spacing w:before="60" w:after="60"/>
              <w:rPr>
                <w:bCs/>
                <w:szCs w:val="24"/>
              </w:rPr>
            </w:pPr>
            <w:r w:rsidRPr="0064256B">
              <w:rPr>
                <w:bCs/>
                <w:szCs w:val="24"/>
              </w:rPr>
              <w:t>OTS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021F3E8A" w14:textId="77777777" w:rsidR="0064256B" w:rsidRPr="0064256B" w:rsidRDefault="0064256B" w:rsidP="00270E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64256B">
              <w:rPr>
                <w:rFonts w:cs="Arial"/>
                <w:szCs w:val="24"/>
              </w:rPr>
              <w:t>Navy One Touch</w:t>
            </w:r>
          </w:p>
        </w:tc>
      </w:tr>
    </w:tbl>
    <w:p w14:paraId="021F3E8C" w14:textId="77777777" w:rsidR="008729B4" w:rsidRDefault="008729B4" w:rsidP="00EC7E56">
      <w:pPr>
        <w:jc w:val="center"/>
      </w:pPr>
    </w:p>
    <w:sectPr w:rsidR="008729B4" w:rsidSect="00270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3E8F" w14:textId="77777777" w:rsidR="00E82B70" w:rsidRDefault="00E82B70">
      <w:r>
        <w:separator/>
      </w:r>
    </w:p>
  </w:endnote>
  <w:endnote w:type="continuationSeparator" w:id="0">
    <w:p w14:paraId="021F3E90" w14:textId="77777777" w:rsidR="00E82B70" w:rsidRDefault="00E8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3E94" w14:textId="77777777" w:rsidR="008729B4" w:rsidRPr="0010343E" w:rsidRDefault="008729B4" w:rsidP="008729B4">
    <w:pPr>
      <w:pStyle w:val="Footer"/>
      <w:framePr w:wrap="around" w:vAnchor="text" w:hAnchor="margin" w:xAlign="center" w:y="1"/>
      <w:rPr>
        <w:rStyle w:val="PageNumber"/>
        <w:b w:val="0"/>
      </w:rPr>
    </w:pPr>
    <w:r w:rsidRPr="0010343E">
      <w:rPr>
        <w:rStyle w:val="PageNumber"/>
        <w:b w:val="0"/>
      </w:rPr>
      <w:fldChar w:fldCharType="begin"/>
    </w:r>
    <w:r w:rsidRPr="0010343E">
      <w:rPr>
        <w:rStyle w:val="PageNumber"/>
        <w:b w:val="0"/>
      </w:rPr>
      <w:instrText xml:space="preserve">PAGE  </w:instrText>
    </w:r>
    <w:r w:rsidRPr="0010343E">
      <w:rPr>
        <w:rStyle w:val="PageNumber"/>
        <w:b w:val="0"/>
      </w:rPr>
      <w:fldChar w:fldCharType="separate"/>
    </w:r>
    <w:r w:rsidR="001A1903" w:rsidRPr="0010343E">
      <w:rPr>
        <w:rStyle w:val="PageNumber"/>
        <w:b w:val="0"/>
        <w:noProof/>
      </w:rPr>
      <w:t>1</w:t>
    </w:r>
    <w:r w:rsidRPr="0010343E">
      <w:rPr>
        <w:rStyle w:val="PageNumber"/>
        <w:b w:val="0"/>
      </w:rPr>
      <w:fldChar w:fldCharType="end"/>
    </w:r>
  </w:p>
  <w:p w14:paraId="021F3E95" w14:textId="77777777" w:rsidR="002259EA" w:rsidRDefault="00A92748" w:rsidP="00A92748">
    <w:pPr>
      <w:pStyle w:val="Footer"/>
      <w:jc w:val="right"/>
    </w:pPr>
    <w:r>
      <w:t>APPENDIX 2</w:t>
    </w:r>
    <w:r w:rsidR="00195894">
      <w:t>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3E96" w14:textId="2FBE758C" w:rsidR="008729B4" w:rsidRPr="00270E17" w:rsidRDefault="00E97DCD" w:rsidP="008729B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270E17">
      <w:rPr>
        <w:rStyle w:val="PageNumber"/>
        <w:b w:val="0"/>
      </w:rPr>
      <w:t>.25-</w:t>
    </w:r>
    <w:r w:rsidR="008729B4" w:rsidRPr="00270E17">
      <w:rPr>
        <w:rStyle w:val="PageNumber"/>
        <w:b w:val="0"/>
      </w:rPr>
      <w:fldChar w:fldCharType="begin"/>
    </w:r>
    <w:r w:rsidR="008729B4" w:rsidRPr="00270E17">
      <w:rPr>
        <w:rStyle w:val="PageNumber"/>
        <w:b w:val="0"/>
      </w:rPr>
      <w:instrText xml:space="preserve">PAGE  </w:instrText>
    </w:r>
    <w:r w:rsidR="008729B4" w:rsidRPr="00270E17">
      <w:rPr>
        <w:rStyle w:val="PageNumber"/>
        <w:b w:val="0"/>
      </w:rPr>
      <w:fldChar w:fldCharType="separate"/>
    </w:r>
    <w:r w:rsidR="00CB4598">
      <w:rPr>
        <w:rStyle w:val="PageNumber"/>
        <w:b w:val="0"/>
        <w:noProof/>
      </w:rPr>
      <w:t>1</w:t>
    </w:r>
    <w:r w:rsidR="008729B4" w:rsidRPr="00270E17">
      <w:rPr>
        <w:rStyle w:val="PageNumber"/>
        <w:b w:val="0"/>
      </w:rPr>
      <w:fldChar w:fldCharType="end"/>
    </w:r>
  </w:p>
  <w:p w14:paraId="021F3E97" w14:textId="567C0CE9" w:rsidR="002259EA" w:rsidRDefault="00A92748" w:rsidP="00270E17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E97DCD">
      <w:t>7</w:t>
    </w:r>
    <w:r w:rsidR="00195894">
      <w:t>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3E9C" w14:textId="77777777" w:rsidR="002259EA" w:rsidRDefault="002259EA" w:rsidP="00872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3E8D" w14:textId="77777777" w:rsidR="00E82B70" w:rsidRDefault="00E82B70">
      <w:r>
        <w:separator/>
      </w:r>
    </w:p>
  </w:footnote>
  <w:footnote w:type="continuationSeparator" w:id="0">
    <w:p w14:paraId="021F3E8E" w14:textId="77777777" w:rsidR="00E82B70" w:rsidRDefault="00E82B70">
      <w:r>
        <w:continuationSeparator/>
      </w:r>
    </w:p>
  </w:footnote>
  <w:footnote w:id="1">
    <w:p w14:paraId="021F3E9D" w14:textId="3DFA5EF1" w:rsidR="00567847" w:rsidRPr="008729B4" w:rsidRDefault="00567847">
      <w:pPr>
        <w:pStyle w:val="FootnoteText"/>
      </w:pPr>
      <w:r w:rsidRPr="008729B4">
        <w:rPr>
          <w:rStyle w:val="FootnoteReference"/>
        </w:rPr>
        <w:footnoteRef/>
      </w:r>
      <w:r w:rsidRPr="008729B4">
        <w:t xml:space="preserve">Applicable only to </w:t>
      </w:r>
      <w:r w:rsidRPr="008729B4">
        <w:rPr>
          <w:rFonts w:cs="Arial"/>
          <w:szCs w:val="24"/>
        </w:rPr>
        <w:t xml:space="preserve">DLA-supported </w:t>
      </w:r>
      <w:r w:rsidR="00B439B8">
        <w:rPr>
          <w:rFonts w:cs="Arial"/>
          <w:szCs w:val="24"/>
        </w:rPr>
        <w:t xml:space="preserve">Document Identifier Code </w:t>
      </w:r>
      <w:r w:rsidRPr="008729B4">
        <w:rPr>
          <w:rFonts w:cs="Arial"/>
          <w:szCs w:val="24"/>
        </w:rPr>
        <w:t>YRZ-formatted requisition trailer</w:t>
      </w:r>
      <w:r w:rsidR="0058775B" w:rsidRPr="008729B4">
        <w:rPr>
          <w:rFonts w:cs="Arial"/>
          <w:szCs w:val="24"/>
        </w:rPr>
        <w:t>s</w:t>
      </w:r>
      <w:r w:rsidRPr="008729B4">
        <w:rPr>
          <w:rFonts w:cs="Arial"/>
          <w:szCs w:val="24"/>
        </w:rPr>
        <w:t xml:space="preserve"> </w:t>
      </w:r>
      <w:r w:rsidR="0058775B" w:rsidRPr="008729B4">
        <w:rPr>
          <w:rFonts w:cs="Arial"/>
          <w:szCs w:val="24"/>
        </w:rPr>
        <w:t>that provide</w:t>
      </w:r>
      <w:r w:rsidRPr="008729B4">
        <w:rPr>
          <w:rFonts w:cs="Arial"/>
          <w:szCs w:val="24"/>
        </w:rPr>
        <w:t xml:space="preserve"> exception ship-to information as identified by Type Transaction Code 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3E91" w14:textId="77777777" w:rsidR="006C7D08" w:rsidRDefault="002259EA" w:rsidP="0002330A">
    <w:pPr>
      <w:pStyle w:val="Header"/>
      <w:jc w:val="right"/>
      <w:rPr>
        <w:i/>
        <w:u w:val="none"/>
      </w:rPr>
    </w:pPr>
    <w:r w:rsidRPr="006C7D08">
      <w:rPr>
        <w:i/>
        <w:u w:val="none"/>
      </w:rPr>
      <w:t>DoD 4000.25-1-M</w:t>
    </w:r>
    <w:r w:rsidR="00A92748" w:rsidRPr="006C7D08">
      <w:rPr>
        <w:i/>
        <w:u w:val="none"/>
      </w:rPr>
      <w:t xml:space="preserve">, </w:t>
    </w:r>
    <w:r w:rsidR="003A056C">
      <w:rPr>
        <w:i/>
        <w:u w:val="none"/>
      </w:rPr>
      <w:t>January, 2006</w:t>
    </w:r>
  </w:p>
  <w:p w14:paraId="021F3E92" w14:textId="77777777" w:rsidR="002259EA" w:rsidRPr="006C7D08" w:rsidRDefault="006C7D08" w:rsidP="0002330A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D833" w14:textId="49980D9C" w:rsidR="00E97DCD" w:rsidRPr="00CB4598" w:rsidRDefault="00E97DCD" w:rsidP="00E97DCD">
    <w:pPr>
      <w:tabs>
        <w:tab w:val="center" w:pos="4320"/>
        <w:tab w:val="right" w:pos="8640"/>
      </w:tabs>
      <w:autoSpaceDN w:val="0"/>
      <w:jc w:val="right"/>
      <w:rPr>
        <w:i/>
        <w:iCs/>
      </w:rPr>
    </w:pPr>
    <w:r w:rsidRPr="00CB4598">
      <w:rPr>
        <w:i/>
        <w:iCs/>
      </w:rPr>
      <w:t xml:space="preserve">DLM 4000.25, Volume 2, </w:t>
    </w:r>
    <w:r w:rsidR="00CB4598" w:rsidRPr="00CB4598">
      <w:rPr>
        <w:i/>
      </w:rPr>
      <w:t>November 26</w:t>
    </w:r>
    <w:r w:rsidRPr="00CB4598">
      <w:rPr>
        <w:i/>
        <w:iCs/>
      </w:rPr>
      <w:t>, 2019</w:t>
    </w:r>
  </w:p>
  <w:p w14:paraId="021F3E93" w14:textId="2565EF13" w:rsidR="002259EA" w:rsidRPr="00CB4598" w:rsidRDefault="00E97DCD" w:rsidP="00E97DCD">
    <w:pPr>
      <w:pStyle w:val="Header"/>
      <w:tabs>
        <w:tab w:val="clear" w:pos="4320"/>
        <w:tab w:val="clear" w:pos="8640"/>
      </w:tabs>
      <w:jc w:val="right"/>
      <w:rPr>
        <w:bCs/>
        <w:iCs/>
        <w:u w:val="none"/>
      </w:rPr>
    </w:pPr>
    <w:r w:rsidRPr="00CB4598">
      <w:rPr>
        <w:i/>
        <w:iCs/>
        <w:u w:val="none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3E98" w14:textId="77777777" w:rsidR="002259EA" w:rsidRPr="0010343E" w:rsidRDefault="009A70A5" w:rsidP="009A70A5">
    <w:pPr>
      <w:pStyle w:val="Header"/>
      <w:ind w:left="7920"/>
      <w:jc w:val="left"/>
      <w:rPr>
        <w:iCs/>
        <w:u w:val="none"/>
      </w:rPr>
    </w:pPr>
    <w:r w:rsidRPr="0010343E">
      <w:rPr>
        <w:iCs/>
        <w:u w:val="none"/>
      </w:rPr>
      <w:t xml:space="preserve">    </w:t>
    </w:r>
    <w:r w:rsidR="002259EA" w:rsidRPr="0010343E">
      <w:rPr>
        <w:iCs/>
        <w:u w:val="none"/>
      </w:rPr>
      <w:t xml:space="preserve"> </w:t>
    </w:r>
  </w:p>
  <w:p w14:paraId="021F3E99" w14:textId="77777777" w:rsidR="002259EA" w:rsidRDefault="002259EA" w:rsidP="00D067CD">
    <w:pPr>
      <w:pStyle w:val="Header"/>
      <w:ind w:left="7920"/>
      <w:jc w:val="right"/>
      <w:rPr>
        <w:b/>
        <w:u w:val="none"/>
      </w:rPr>
    </w:pPr>
    <w:r>
      <w:rPr>
        <w:b/>
        <w:u w:val="none"/>
      </w:rPr>
      <w:t>DoD 4000.25-1-M</w:t>
    </w:r>
  </w:p>
  <w:p w14:paraId="021F3E9A" w14:textId="77777777" w:rsidR="00623400" w:rsidRPr="0010343E" w:rsidRDefault="00623400" w:rsidP="00D067CD">
    <w:pPr>
      <w:pStyle w:val="Header"/>
      <w:ind w:left="7920"/>
      <w:jc w:val="right"/>
      <w:rPr>
        <w:u w:val="none"/>
      </w:rPr>
    </w:pPr>
  </w:p>
  <w:p w14:paraId="021F3E9B" w14:textId="77777777" w:rsidR="002259EA" w:rsidRDefault="002259EA">
    <w:pPr>
      <w:pStyle w:val="Header"/>
      <w:jc w:val="right"/>
      <w:rPr>
        <w:i/>
        <w:iCs/>
        <w:u w:val="none"/>
      </w:rPr>
    </w:pPr>
    <w:r w:rsidRPr="0010343E">
      <w:rPr>
        <w:bCs/>
        <w:iCs/>
        <w:szCs w:val="24"/>
        <w:u w:val="non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34202B88"/>
    <w:lvl w:ilvl="0">
      <w:start w:val="34"/>
      <w:numFmt w:val="none"/>
      <w:pStyle w:val="Heading1"/>
      <w:suff w:val="nothing"/>
      <w:lvlText w:val="AP2.25 APPENDIX 2.2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865359"/>
    <w:multiLevelType w:val="multilevel"/>
    <w:tmpl w:val="74C07702"/>
    <w:lvl w:ilvl="0">
      <w:start w:val="34"/>
      <w:numFmt w:val="none"/>
      <w:suff w:val="nothing"/>
      <w:lvlText w:val="AP2.16 APPENDIX 2.1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6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305E4E64"/>
    <w:multiLevelType w:val="multilevel"/>
    <w:tmpl w:val="9416790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30794492"/>
    <w:multiLevelType w:val="hybridMultilevel"/>
    <w:tmpl w:val="BD7CEBD4"/>
    <w:lvl w:ilvl="0" w:tplc="6EE24188">
      <w:start w:val="1"/>
      <w:numFmt w:val="upperLetter"/>
      <w:lvlText w:val="%1P2.16.1"/>
      <w:lvlJc w:val="center"/>
      <w:pPr>
        <w:tabs>
          <w:tab w:val="num" w:pos="2520"/>
        </w:tabs>
        <w:ind w:left="216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10D30"/>
    <w:multiLevelType w:val="hybridMultilevel"/>
    <w:tmpl w:val="38BE4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203A0"/>
    <w:multiLevelType w:val="hybridMultilevel"/>
    <w:tmpl w:val="B8120062"/>
    <w:lvl w:ilvl="0" w:tplc="46106A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416342E9"/>
    <w:multiLevelType w:val="multilevel"/>
    <w:tmpl w:val="AC748434"/>
    <w:lvl w:ilvl="0">
      <w:start w:val="34"/>
      <w:numFmt w:val="none"/>
      <w:suff w:val="nothing"/>
      <w:lvlText w:val="AP2.25 APPENDIX 2.2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6.%3. "/>
      <w:lvlJc w:val="left"/>
      <w:pPr>
        <w:ind w:left="54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8" w15:restartNumberingAfterBreak="0">
    <w:nsid w:val="4C8A224D"/>
    <w:multiLevelType w:val="hybridMultilevel"/>
    <w:tmpl w:val="A1889030"/>
    <w:lvl w:ilvl="0" w:tplc="2886F1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0" w15:restartNumberingAfterBreak="0">
    <w:nsid w:val="5568418C"/>
    <w:multiLevelType w:val="multilevel"/>
    <w:tmpl w:val="9416790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1" w15:restartNumberingAfterBreak="0">
    <w:nsid w:val="577866E0"/>
    <w:multiLevelType w:val="multilevel"/>
    <w:tmpl w:val="65A61E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2" w15:restartNumberingAfterBreak="0">
    <w:nsid w:val="68EA252C"/>
    <w:multiLevelType w:val="multilevel"/>
    <w:tmpl w:val="65A61E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23"/>
  </w:num>
  <w:num w:numId="13">
    <w:abstractNumId w:val="19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22"/>
  </w:num>
  <w:num w:numId="19">
    <w:abstractNumId w:val="21"/>
  </w:num>
  <w:num w:numId="20">
    <w:abstractNumId w:val="18"/>
  </w:num>
  <w:num w:numId="21">
    <w:abstractNumId w:val="11"/>
  </w:num>
  <w:num w:numId="22">
    <w:abstractNumId w:val="13"/>
  </w:num>
  <w:num w:numId="23">
    <w:abstractNumId w:val="12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400"/>
    <w:rsid w:val="00023221"/>
    <w:rsid w:val="0002330A"/>
    <w:rsid w:val="00053A5E"/>
    <w:rsid w:val="00066C69"/>
    <w:rsid w:val="000724BA"/>
    <w:rsid w:val="000B13EA"/>
    <w:rsid w:val="000E3C83"/>
    <w:rsid w:val="0010343E"/>
    <w:rsid w:val="00195894"/>
    <w:rsid w:val="001A1903"/>
    <w:rsid w:val="001D772E"/>
    <w:rsid w:val="001E6F81"/>
    <w:rsid w:val="002259EA"/>
    <w:rsid w:val="0025439A"/>
    <w:rsid w:val="00270E17"/>
    <w:rsid w:val="003A056C"/>
    <w:rsid w:val="003E6317"/>
    <w:rsid w:val="004104EF"/>
    <w:rsid w:val="004A710D"/>
    <w:rsid w:val="00520116"/>
    <w:rsid w:val="00531FEE"/>
    <w:rsid w:val="00567847"/>
    <w:rsid w:val="005843FB"/>
    <w:rsid w:val="0058775B"/>
    <w:rsid w:val="005A60A8"/>
    <w:rsid w:val="00623400"/>
    <w:rsid w:val="0064256B"/>
    <w:rsid w:val="00650DDD"/>
    <w:rsid w:val="006B0BA0"/>
    <w:rsid w:val="006C7D08"/>
    <w:rsid w:val="006F18E4"/>
    <w:rsid w:val="00750813"/>
    <w:rsid w:val="007649B7"/>
    <w:rsid w:val="00780A40"/>
    <w:rsid w:val="007D1382"/>
    <w:rsid w:val="00824753"/>
    <w:rsid w:val="00854DC9"/>
    <w:rsid w:val="008647AF"/>
    <w:rsid w:val="00871885"/>
    <w:rsid w:val="008729B4"/>
    <w:rsid w:val="0089039E"/>
    <w:rsid w:val="008934D4"/>
    <w:rsid w:val="0099248B"/>
    <w:rsid w:val="009A70A5"/>
    <w:rsid w:val="00A14075"/>
    <w:rsid w:val="00A81C8A"/>
    <w:rsid w:val="00A92748"/>
    <w:rsid w:val="00AA62FE"/>
    <w:rsid w:val="00AA7CAC"/>
    <w:rsid w:val="00B07D4E"/>
    <w:rsid w:val="00B439B8"/>
    <w:rsid w:val="00B5228F"/>
    <w:rsid w:val="00B763D7"/>
    <w:rsid w:val="00BC4816"/>
    <w:rsid w:val="00C14F0C"/>
    <w:rsid w:val="00C160D2"/>
    <w:rsid w:val="00C8001C"/>
    <w:rsid w:val="00CB4598"/>
    <w:rsid w:val="00CF769A"/>
    <w:rsid w:val="00D067CD"/>
    <w:rsid w:val="00DB0A23"/>
    <w:rsid w:val="00DB1D50"/>
    <w:rsid w:val="00DC1CA9"/>
    <w:rsid w:val="00DC6542"/>
    <w:rsid w:val="00DE7B0E"/>
    <w:rsid w:val="00E13940"/>
    <w:rsid w:val="00E60F0D"/>
    <w:rsid w:val="00E7394D"/>
    <w:rsid w:val="00E82B70"/>
    <w:rsid w:val="00E97DCD"/>
    <w:rsid w:val="00EC7E56"/>
    <w:rsid w:val="00F3066E"/>
    <w:rsid w:val="00F624FA"/>
    <w:rsid w:val="00F814EB"/>
    <w:rsid w:val="00F837EE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3E77"/>
  <w15:docId w15:val="{9202833D-7C2B-47B5-95E1-4F1659E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D0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C1A4E-6AE3-4CA9-836C-3F87B4F2495E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47BBEE-BD3E-4DE0-B148-F957FC03C018}"/>
</file>

<file path=customXml/itemProps3.xml><?xml version="1.0" encoding="utf-8"?>
<ds:datastoreItem xmlns:ds="http://schemas.openxmlformats.org/officeDocument/2006/customXml" ds:itemID="{551CCE8E-C2DC-4960-80B6-EA424B6EC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2.25 -  Customer Identification</vt:lpstr>
    </vt:vector>
  </TitlesOfParts>
  <Company>DLA Logistics Management Standards Office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7.25 -  Customer Identification</dc:title>
  <dc:subject/>
  <dc:creator>Heidi Daverede</dc:creator>
  <cp:keywords/>
  <cp:lastModifiedBy>Nguyen, Bao X CTR DLA INFO OPERATIONS (USA)</cp:lastModifiedBy>
  <cp:revision>11</cp:revision>
  <cp:lastPrinted>2007-10-26T13:11:00Z</cp:lastPrinted>
  <dcterms:created xsi:type="dcterms:W3CDTF">2009-12-17T19:52:00Z</dcterms:created>
  <dcterms:modified xsi:type="dcterms:W3CDTF">2019-11-26T21:45:00Z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2295800</vt:r8>
  </property>
</Properties>
</file>