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5F8C7" w14:textId="1F5C8B4D" w:rsidR="00C055F5" w:rsidRPr="0088742A" w:rsidRDefault="00AC2F78" w:rsidP="00115513">
      <w:pPr>
        <w:tabs>
          <w:tab w:val="left" w:pos="540"/>
        </w:tabs>
        <w:spacing w:after="24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AP7</w:t>
      </w:r>
      <w:r w:rsidR="003C3B1F">
        <w:rPr>
          <w:b/>
          <w:sz w:val="44"/>
          <w:szCs w:val="44"/>
          <w:u w:val="single"/>
        </w:rPr>
        <w:t>.30</w:t>
      </w:r>
      <w:r w:rsidR="006A2D58" w:rsidRPr="0088742A">
        <w:rPr>
          <w:b/>
          <w:sz w:val="44"/>
          <w:szCs w:val="44"/>
          <w:u w:val="single"/>
        </w:rPr>
        <w:t>.</w:t>
      </w:r>
      <w:r>
        <w:rPr>
          <w:b/>
          <w:sz w:val="44"/>
          <w:szCs w:val="44"/>
          <w:u w:val="single"/>
        </w:rPr>
        <w:t xml:space="preserve"> APPENDIX 7</w:t>
      </w:r>
      <w:r w:rsidR="003C3B1F">
        <w:rPr>
          <w:b/>
          <w:sz w:val="44"/>
          <w:szCs w:val="44"/>
          <w:u w:val="single"/>
        </w:rPr>
        <w:t>.30</w:t>
      </w:r>
    </w:p>
    <w:p w14:paraId="0CF5F8C8" w14:textId="5C83A9F9" w:rsidR="00C055F5" w:rsidRPr="00526D29" w:rsidRDefault="003C3B1F" w:rsidP="00602897">
      <w:pPr>
        <w:tabs>
          <w:tab w:val="left" w:pos="540"/>
        </w:tabs>
        <w:spacing w:after="360"/>
        <w:jc w:val="center"/>
        <w:rPr>
          <w:b/>
          <w:bCs/>
          <w:sz w:val="36"/>
          <w:szCs w:val="36"/>
          <w:u w:val="single"/>
        </w:rPr>
      </w:pPr>
      <w:r w:rsidRPr="003C3B1F">
        <w:rPr>
          <w:b/>
          <w:bCs/>
          <w:sz w:val="36"/>
          <w:szCs w:val="36"/>
          <w:u w:val="single"/>
        </w:rPr>
        <w:t>HAZARDOUS WASTE/MATERIAL CODE</w:t>
      </w:r>
    </w:p>
    <w:tbl>
      <w:tblPr>
        <w:tblW w:w="990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2610"/>
        <w:gridCol w:w="5760"/>
      </w:tblGrid>
      <w:tr w:rsidR="003C3B1F" w:rsidRPr="00452E55" w14:paraId="7044BA1D" w14:textId="77777777" w:rsidTr="00CB08F0">
        <w:trPr>
          <w:cantSplit/>
          <w:trHeight w:val="403"/>
          <w:jc w:val="center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5DF3A" w14:textId="77777777" w:rsidR="003C3B1F" w:rsidRPr="00452E55" w:rsidRDefault="003C3B1F" w:rsidP="00CB08F0">
            <w:pPr>
              <w:spacing w:before="60" w:after="60"/>
              <w:rPr>
                <w:rFonts w:cs="Arial"/>
              </w:rPr>
            </w:pPr>
            <w:r w:rsidRPr="00452E55">
              <w:rPr>
                <w:bCs/>
              </w:rPr>
              <w:t>NUMBER OF CHARACTERS: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4D1660D" w14:textId="77777777" w:rsidR="003C3B1F" w:rsidRPr="00452E55" w:rsidRDefault="003C3B1F" w:rsidP="00CB08F0">
            <w:pPr>
              <w:spacing w:before="60" w:after="60"/>
              <w:rPr>
                <w:rFonts w:cs="Arial"/>
              </w:rPr>
            </w:pPr>
            <w:r w:rsidRPr="00452E55">
              <w:t>One (Generator Communication Legacy)/Two (DLMS)</w:t>
            </w:r>
          </w:p>
        </w:tc>
      </w:tr>
      <w:tr w:rsidR="003C3B1F" w:rsidRPr="00452E55" w14:paraId="22E5387D" w14:textId="77777777" w:rsidTr="00CB08F0">
        <w:trPr>
          <w:cantSplit/>
          <w:trHeight w:val="403"/>
          <w:jc w:val="center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4EFFC" w14:textId="77777777" w:rsidR="003C3B1F" w:rsidRPr="00452E55" w:rsidRDefault="003C3B1F" w:rsidP="00CB08F0">
            <w:pPr>
              <w:spacing w:before="60" w:after="60"/>
              <w:rPr>
                <w:rFonts w:cs="Arial"/>
              </w:rPr>
            </w:pPr>
            <w:r w:rsidRPr="00452E55">
              <w:rPr>
                <w:bCs/>
              </w:rPr>
              <w:t>TYPE OF CODE: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2D975D5B" w14:textId="77777777" w:rsidR="003C3B1F" w:rsidRPr="00452E55" w:rsidRDefault="003C3B1F" w:rsidP="00CB08F0">
            <w:pPr>
              <w:spacing w:before="60" w:after="60"/>
              <w:rPr>
                <w:rFonts w:cs="Arial"/>
              </w:rPr>
            </w:pPr>
            <w:r w:rsidRPr="00452E55">
              <w:t>Alpha</w:t>
            </w:r>
          </w:p>
        </w:tc>
      </w:tr>
      <w:tr w:rsidR="003C3B1F" w:rsidRPr="00452E55" w14:paraId="397934CC" w14:textId="77777777" w:rsidTr="00CB08F0">
        <w:trPr>
          <w:cantSplit/>
          <w:trHeight w:val="403"/>
          <w:jc w:val="center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4D160" w14:textId="77777777" w:rsidR="003C3B1F" w:rsidRPr="00452E55" w:rsidRDefault="003C3B1F" w:rsidP="00CB08F0">
            <w:pPr>
              <w:spacing w:before="60" w:after="60"/>
              <w:rPr>
                <w:rFonts w:cs="Arial"/>
              </w:rPr>
            </w:pPr>
            <w:r w:rsidRPr="00452E55">
              <w:rPr>
                <w:bCs/>
              </w:rPr>
              <w:t>EXPLANATION: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9D13209" w14:textId="77777777" w:rsidR="003C3B1F" w:rsidRPr="00452E55" w:rsidRDefault="003C3B1F" w:rsidP="00CB08F0">
            <w:pPr>
              <w:spacing w:before="60" w:after="60"/>
              <w:rPr>
                <w:rFonts w:cs="Arial"/>
              </w:rPr>
            </w:pPr>
            <w:r w:rsidRPr="00452E55">
              <w:t>Entered on the DTID Record supporting a Hazardous Material/Hazardous Waste Turn-In to DLA Disposition Services to identify the nature of the hazard and service request.  The Generator Communication (</w:t>
            </w:r>
            <w:proofErr w:type="spellStart"/>
            <w:r w:rsidRPr="00452E55">
              <w:t>GenComm</w:t>
            </w:r>
            <w:proofErr w:type="spellEnd"/>
            <w:r w:rsidRPr="00452E55">
              <w:t>) legacy format is one alpha character.  Under the DLMS, this value is converted to a two position alpha character for alignment with the Disposition Services Indicator DLMS data element.</w:t>
            </w:r>
          </w:p>
        </w:tc>
      </w:tr>
      <w:tr w:rsidR="003C3B1F" w:rsidRPr="00A11762" w14:paraId="65FD6022" w14:textId="77777777" w:rsidTr="00CB08F0">
        <w:trPr>
          <w:cantSplit/>
          <w:trHeight w:val="403"/>
          <w:jc w:val="center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B526B" w14:textId="77777777" w:rsidR="003C3B1F" w:rsidRPr="00452E55" w:rsidRDefault="003C3B1F" w:rsidP="00CB08F0">
            <w:pPr>
              <w:spacing w:before="60" w:after="60"/>
              <w:rPr>
                <w:rFonts w:cs="Arial"/>
              </w:rPr>
            </w:pPr>
            <w:r w:rsidRPr="00452E55">
              <w:rPr>
                <w:bCs/>
              </w:rPr>
              <w:t>RECORD POSITION(S):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53C5CAAE" w14:textId="77777777" w:rsidR="003C3B1F" w:rsidRPr="00452E55" w:rsidRDefault="003C3B1F" w:rsidP="00CB08F0">
            <w:pPr>
              <w:spacing w:before="60" w:after="60"/>
              <w:rPr>
                <w:rFonts w:cs="Arial"/>
              </w:rPr>
            </w:pPr>
            <w:r w:rsidRPr="00452E55">
              <w:t>GENCOMM DTID Record Format (8</w:t>
            </w:r>
            <w:r w:rsidRPr="00452E55">
              <w:rPr>
                <w:vertAlign w:val="superscript"/>
              </w:rPr>
              <w:t>th</w:t>
            </w:r>
            <w:r w:rsidRPr="00452E55">
              <w:t xml:space="preserve"> data element)</w:t>
            </w:r>
          </w:p>
        </w:tc>
      </w:tr>
      <w:tr w:rsidR="003C3B1F" w:rsidRPr="00A11762" w14:paraId="6D905D15" w14:textId="77777777" w:rsidTr="00CB08F0">
        <w:trPr>
          <w:cantSplit/>
          <w:trHeight w:val="403"/>
          <w:jc w:val="center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DD9E9" w14:textId="77777777" w:rsidR="003C3B1F" w:rsidRPr="00452E55" w:rsidRDefault="003C3B1F" w:rsidP="00CB08F0">
            <w:pPr>
              <w:spacing w:before="60" w:after="60"/>
              <w:rPr>
                <w:bCs/>
              </w:rPr>
            </w:pPr>
            <w:r w:rsidRPr="00452E55">
              <w:rPr>
                <w:bCs/>
              </w:rPr>
              <w:t>DLMS SEGMENT/QUALFIER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5F7D8627" w14:textId="77777777" w:rsidR="003C3B1F" w:rsidRPr="00452E55" w:rsidRDefault="003C3B1F" w:rsidP="00CB08F0">
            <w:pPr>
              <w:spacing w:before="60" w:after="60"/>
            </w:pPr>
            <w:r w:rsidRPr="00452E55">
              <w:t>LQ Segment, LQ01 Data Element ID 1270 Qualifier “DSI – Disposition Services Indicator”</w:t>
            </w:r>
          </w:p>
        </w:tc>
      </w:tr>
      <w:tr w:rsidR="003C3B1F" w:rsidRPr="00A11762" w14:paraId="7E095399" w14:textId="77777777" w:rsidTr="00CB08F0">
        <w:trPr>
          <w:cantSplit/>
          <w:trHeight w:val="403"/>
          <w:jc w:val="center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FE371" w14:textId="77777777" w:rsidR="003C3B1F" w:rsidRPr="00452E55" w:rsidRDefault="003C3B1F" w:rsidP="00CB08F0">
            <w:pPr>
              <w:spacing w:before="60" w:after="60"/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51D546C8" w14:textId="77777777" w:rsidR="003C3B1F" w:rsidRPr="00452E55" w:rsidRDefault="003C3B1F" w:rsidP="00CB08F0">
            <w:pPr>
              <w:spacing w:before="60" w:after="60"/>
            </w:pPr>
          </w:p>
        </w:tc>
      </w:tr>
      <w:tr w:rsidR="003C3B1F" w:rsidRPr="00A11762" w14:paraId="6C7279A8" w14:textId="77777777" w:rsidTr="00CB08F0">
        <w:trPr>
          <w:cantSplit/>
          <w:trHeight w:val="403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6D918D5" w14:textId="77777777" w:rsidR="003C3B1F" w:rsidRPr="00452E55" w:rsidRDefault="003C3B1F" w:rsidP="00CB08F0">
            <w:pPr>
              <w:keepNext/>
              <w:keepLines/>
              <w:spacing w:before="60" w:after="60"/>
              <w:rPr>
                <w:rFonts w:cs="Arial"/>
              </w:rPr>
            </w:pPr>
            <w:r w:rsidRPr="00452E55">
              <w:rPr>
                <w:bCs/>
                <w:u w:val="single"/>
              </w:rPr>
              <w:t>CODE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A6DC9" w14:textId="77777777" w:rsidR="003C3B1F" w:rsidRPr="00452E55" w:rsidRDefault="003C3B1F" w:rsidP="00CB08F0">
            <w:pPr>
              <w:keepNext/>
              <w:keepLines/>
              <w:spacing w:before="60" w:after="60"/>
              <w:rPr>
                <w:rFonts w:cs="Arial"/>
              </w:rPr>
            </w:pPr>
            <w:r w:rsidRPr="00452E55">
              <w:rPr>
                <w:bCs/>
                <w:u w:val="single"/>
              </w:rPr>
              <w:t>EXPLANATION</w:t>
            </w:r>
          </w:p>
        </w:tc>
      </w:tr>
      <w:tr w:rsidR="003C3B1F" w:rsidRPr="00A11762" w14:paraId="556BA359" w14:textId="77777777" w:rsidTr="00CB08F0">
        <w:trPr>
          <w:cantSplit/>
          <w:trHeight w:val="403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EB2005D" w14:textId="77777777" w:rsidR="003C3B1F" w:rsidRPr="00452E55" w:rsidRDefault="003C3B1F" w:rsidP="00CB08F0">
            <w:pPr>
              <w:keepNext/>
              <w:keepLines/>
              <w:spacing w:before="60" w:after="60"/>
              <w:rPr>
                <w:rFonts w:cs="Arial"/>
              </w:rPr>
            </w:pPr>
            <w:r w:rsidRPr="00452E55">
              <w:rPr>
                <w:rFonts w:cs="Arial"/>
              </w:rPr>
              <w:t>HM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C4E401" w14:textId="77777777" w:rsidR="003C3B1F" w:rsidRPr="00452E55" w:rsidRDefault="003C3B1F" w:rsidP="00CB08F0">
            <w:pPr>
              <w:keepNext/>
              <w:keepLines/>
              <w:spacing w:before="60" w:after="60"/>
              <w:rPr>
                <w:rFonts w:cs="Arial"/>
              </w:rPr>
            </w:pPr>
            <w:r w:rsidRPr="00452E55">
              <w:rPr>
                <w:rFonts w:cs="Arial"/>
              </w:rPr>
              <w:t xml:space="preserve">Hazardous Material.  </w:t>
            </w:r>
            <w:proofErr w:type="spellStart"/>
            <w:r w:rsidRPr="00452E55">
              <w:rPr>
                <w:rFonts w:cs="Arial"/>
              </w:rPr>
              <w:t>GenComm</w:t>
            </w:r>
            <w:proofErr w:type="spellEnd"/>
            <w:r w:rsidRPr="00452E55">
              <w:rPr>
                <w:rFonts w:cs="Arial"/>
              </w:rPr>
              <w:t xml:space="preserve"> legacy equivalent code is M.</w:t>
            </w:r>
          </w:p>
        </w:tc>
      </w:tr>
      <w:tr w:rsidR="003C3B1F" w:rsidRPr="00A11762" w14:paraId="2F90BC6A" w14:textId="77777777" w:rsidTr="00CB08F0">
        <w:trPr>
          <w:cantSplit/>
          <w:trHeight w:val="403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674E3" w14:textId="77777777" w:rsidR="003C3B1F" w:rsidRPr="00452E55" w:rsidRDefault="003C3B1F" w:rsidP="00CB08F0">
            <w:pPr>
              <w:keepNext/>
              <w:keepLines/>
              <w:spacing w:before="60" w:after="60"/>
              <w:rPr>
                <w:rFonts w:cs="Arial"/>
              </w:rPr>
            </w:pPr>
            <w:r w:rsidRPr="00452E55">
              <w:rPr>
                <w:rFonts w:cs="Arial"/>
              </w:rPr>
              <w:t>HW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EDCFC" w14:textId="77777777" w:rsidR="003C3B1F" w:rsidRPr="00452E55" w:rsidRDefault="003C3B1F" w:rsidP="00CB08F0">
            <w:pPr>
              <w:keepNext/>
              <w:keepLines/>
              <w:spacing w:before="60" w:after="60"/>
              <w:rPr>
                <w:rFonts w:cs="Arial"/>
              </w:rPr>
            </w:pPr>
            <w:r w:rsidRPr="00452E55">
              <w:rPr>
                <w:rFonts w:cs="Arial"/>
              </w:rPr>
              <w:t xml:space="preserve">Hazardous and Non-Regulated Waste.  </w:t>
            </w:r>
            <w:proofErr w:type="spellStart"/>
            <w:r w:rsidRPr="00452E55">
              <w:rPr>
                <w:rFonts w:cs="Arial"/>
              </w:rPr>
              <w:t>GenComm</w:t>
            </w:r>
            <w:proofErr w:type="spellEnd"/>
            <w:r w:rsidRPr="00452E55">
              <w:rPr>
                <w:rFonts w:cs="Arial"/>
              </w:rPr>
              <w:t xml:space="preserve"> legacy equivalent code is W.</w:t>
            </w:r>
          </w:p>
        </w:tc>
      </w:tr>
      <w:tr w:rsidR="003C3B1F" w:rsidRPr="00AC2F78" w14:paraId="55EF9C9E" w14:textId="77777777" w:rsidTr="00AC2F78">
        <w:trPr>
          <w:cantSplit/>
          <w:trHeight w:val="403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8F490" w14:textId="77777777" w:rsidR="003C3B1F" w:rsidRPr="00AC2F78" w:rsidRDefault="003C3B1F" w:rsidP="00CB08F0">
            <w:pPr>
              <w:keepNext/>
              <w:keepLines/>
              <w:spacing w:before="60" w:after="60"/>
              <w:rPr>
                <w:rFonts w:cs="Arial"/>
              </w:rPr>
            </w:pPr>
            <w:r w:rsidRPr="00AC2F78">
              <w:rPr>
                <w:rFonts w:cs="Arial"/>
              </w:rPr>
              <w:t>SC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B3226" w14:textId="77777777" w:rsidR="003C3B1F" w:rsidRPr="00AC2F78" w:rsidRDefault="003C3B1F" w:rsidP="00CB08F0">
            <w:pPr>
              <w:keepNext/>
              <w:keepLines/>
              <w:spacing w:before="60" w:after="60"/>
              <w:rPr>
                <w:rFonts w:cs="Arial"/>
              </w:rPr>
            </w:pPr>
            <w:r w:rsidRPr="00AC2F78">
              <w:rPr>
                <w:rFonts w:cs="Arial"/>
              </w:rPr>
              <w:t xml:space="preserve">Scrap Property.  </w:t>
            </w:r>
            <w:proofErr w:type="spellStart"/>
            <w:r w:rsidRPr="00AC2F78">
              <w:rPr>
                <w:rFonts w:cs="Arial"/>
              </w:rPr>
              <w:t>GenComm</w:t>
            </w:r>
            <w:proofErr w:type="spellEnd"/>
            <w:r w:rsidRPr="00AC2F78">
              <w:rPr>
                <w:rFonts w:cs="Arial"/>
              </w:rPr>
              <w:t xml:space="preserve"> legacy equivalent code is S.</w:t>
            </w:r>
          </w:p>
        </w:tc>
      </w:tr>
      <w:tr w:rsidR="003C3B1F" w:rsidRPr="00A11762" w14:paraId="6F330C19" w14:textId="77777777" w:rsidTr="00AC2F78">
        <w:trPr>
          <w:cantSplit/>
          <w:trHeight w:val="403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837CE" w14:textId="77777777" w:rsidR="003C3B1F" w:rsidRPr="00AC2F78" w:rsidRDefault="003C3B1F" w:rsidP="00CB08F0">
            <w:pPr>
              <w:keepNext/>
              <w:keepLines/>
              <w:spacing w:before="60" w:after="60"/>
              <w:rPr>
                <w:rFonts w:cs="Arial"/>
              </w:rPr>
            </w:pPr>
            <w:r w:rsidRPr="00AC2F78">
              <w:rPr>
                <w:rFonts w:cs="Arial"/>
              </w:rPr>
              <w:t>SS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1D4F2" w14:textId="77777777" w:rsidR="003C3B1F" w:rsidRPr="00452E55" w:rsidRDefault="003C3B1F" w:rsidP="00CB08F0">
            <w:pPr>
              <w:keepNext/>
              <w:keepLines/>
              <w:spacing w:before="60" w:after="60"/>
              <w:rPr>
                <w:rFonts w:cs="Arial"/>
              </w:rPr>
            </w:pPr>
            <w:r w:rsidRPr="00AC2F78">
              <w:rPr>
                <w:rFonts w:cs="Arial"/>
              </w:rPr>
              <w:t xml:space="preserve">Special Services Request.  </w:t>
            </w:r>
            <w:proofErr w:type="spellStart"/>
            <w:r w:rsidRPr="00AC2F78">
              <w:rPr>
                <w:rFonts w:cs="Arial"/>
              </w:rPr>
              <w:t>GenComm</w:t>
            </w:r>
            <w:proofErr w:type="spellEnd"/>
            <w:r w:rsidRPr="00AC2F78">
              <w:rPr>
                <w:rFonts w:cs="Arial"/>
              </w:rPr>
              <w:t xml:space="preserve"> legacy equivalent code is P.</w:t>
            </w:r>
          </w:p>
        </w:tc>
      </w:tr>
      <w:tr w:rsidR="003C3B1F" w:rsidRPr="00A11762" w14:paraId="1EFACC84" w14:textId="77777777" w:rsidTr="00CB08F0">
        <w:trPr>
          <w:cantSplit/>
          <w:trHeight w:val="403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464002A" w14:textId="77777777" w:rsidR="003C3B1F" w:rsidRPr="00452E55" w:rsidRDefault="003C3B1F" w:rsidP="00CB08F0">
            <w:pPr>
              <w:keepNext/>
              <w:keepLines/>
              <w:spacing w:before="60" w:after="60"/>
              <w:rPr>
                <w:rFonts w:cs="Arial"/>
              </w:rPr>
            </w:pPr>
            <w:r w:rsidRPr="00452E55">
              <w:rPr>
                <w:rFonts w:cs="Arial"/>
              </w:rPr>
              <w:t>US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70015" w14:textId="77777777" w:rsidR="003C3B1F" w:rsidRPr="00452E55" w:rsidRDefault="003C3B1F" w:rsidP="00CB08F0">
            <w:pPr>
              <w:keepNext/>
              <w:keepLines/>
              <w:spacing w:before="60" w:after="60"/>
              <w:rPr>
                <w:rFonts w:cs="Arial"/>
              </w:rPr>
            </w:pPr>
            <w:r w:rsidRPr="00452E55">
              <w:rPr>
                <w:rFonts w:cs="Arial"/>
              </w:rPr>
              <w:t xml:space="preserve">Useable Property.  </w:t>
            </w:r>
            <w:proofErr w:type="spellStart"/>
            <w:r w:rsidRPr="00452E55">
              <w:rPr>
                <w:rFonts w:cs="Arial"/>
              </w:rPr>
              <w:t>GenComm</w:t>
            </w:r>
            <w:proofErr w:type="spellEnd"/>
            <w:r w:rsidRPr="00452E55">
              <w:rPr>
                <w:rFonts w:cs="Arial"/>
              </w:rPr>
              <w:t xml:space="preserve"> legacy equivalent code is N.</w:t>
            </w:r>
          </w:p>
          <w:p w14:paraId="197B01A5" w14:textId="77777777" w:rsidR="003C3B1F" w:rsidRPr="00452E55" w:rsidRDefault="003C3B1F" w:rsidP="00CB08F0">
            <w:pPr>
              <w:keepNext/>
              <w:keepLines/>
              <w:tabs>
                <w:tab w:val="left" w:pos="540"/>
                <w:tab w:val="left" w:pos="900"/>
              </w:tabs>
              <w:spacing w:before="240"/>
              <w:rPr>
                <w:rFonts w:cs="Arial"/>
              </w:rPr>
            </w:pPr>
          </w:p>
        </w:tc>
      </w:tr>
    </w:tbl>
    <w:p w14:paraId="0CF5F8C9" w14:textId="1443F3B4" w:rsidR="00C055F5" w:rsidRDefault="00C055F5" w:rsidP="00C42364">
      <w:pPr>
        <w:tabs>
          <w:tab w:val="left" w:pos="540"/>
          <w:tab w:val="left" w:pos="1080"/>
        </w:tabs>
        <w:spacing w:after="240"/>
      </w:pPr>
      <w:bookmarkStart w:id="0" w:name="_GoBack"/>
      <w:bookmarkEnd w:id="0"/>
    </w:p>
    <w:sectPr w:rsidR="00C055F5" w:rsidSect="003C3B1F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5F95E" w14:textId="77777777" w:rsidR="00930C53" w:rsidRDefault="00930C53">
      <w:r>
        <w:separator/>
      </w:r>
    </w:p>
  </w:endnote>
  <w:endnote w:type="continuationSeparator" w:id="0">
    <w:p w14:paraId="0CF5F95F" w14:textId="77777777" w:rsidR="00930C53" w:rsidRDefault="0093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2D20D" w14:textId="5A9AF049" w:rsidR="00AC2F78" w:rsidRDefault="00AC2F78" w:rsidP="00AC2F78">
    <w:pPr>
      <w:pStyle w:val="Footer"/>
      <w:jc w:val="center"/>
    </w:pPr>
    <w:r>
      <w:rPr>
        <w:noProof/>
      </w:rPr>
      <w:tab/>
    </w:r>
    <w:sdt>
      <w:sdtPr>
        <w:id w:val="-21170467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>AP7.30-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144"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rPr>
        <w:noProof/>
      </w:rPr>
      <w:tab/>
    </w:r>
    <w:r>
      <w:t>APPENDIX 7.30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5F95C" w14:textId="77777777" w:rsidR="00930C53" w:rsidRDefault="00930C53">
      <w:r>
        <w:separator/>
      </w:r>
    </w:p>
  </w:footnote>
  <w:footnote w:type="continuationSeparator" w:id="0">
    <w:p w14:paraId="0CF5F95D" w14:textId="77777777" w:rsidR="00930C53" w:rsidRDefault="00930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F963" w14:textId="0B6FC0A0" w:rsidR="00301E6F" w:rsidRPr="00A1742E" w:rsidRDefault="003B790A" w:rsidP="009E0BC7">
    <w:pPr>
      <w:pStyle w:val="Header"/>
      <w:tabs>
        <w:tab w:val="clear" w:pos="8640"/>
      </w:tabs>
      <w:jc w:val="right"/>
      <w:rPr>
        <w:i/>
        <w:u w:val="none"/>
      </w:rPr>
    </w:pPr>
    <w:r w:rsidRPr="00A1742E">
      <w:rPr>
        <w:i/>
        <w:u w:val="none"/>
      </w:rPr>
      <w:t>DLM 4000.25</w:t>
    </w:r>
    <w:r w:rsidR="003C3B1F" w:rsidRPr="00A1742E">
      <w:rPr>
        <w:i/>
        <w:u w:val="none"/>
      </w:rPr>
      <w:t>, Volume 2</w:t>
    </w:r>
    <w:r w:rsidRPr="00A1742E">
      <w:rPr>
        <w:i/>
        <w:u w:val="none"/>
      </w:rPr>
      <w:t xml:space="preserve">, </w:t>
    </w:r>
    <w:r w:rsidR="00A87E27" w:rsidRPr="00A87E27">
      <w:rPr>
        <w:i/>
        <w:u w:val="none"/>
      </w:rPr>
      <w:t>April 29</w:t>
    </w:r>
    <w:r w:rsidR="003C3B1F" w:rsidRPr="00A1742E">
      <w:rPr>
        <w:i/>
        <w:u w:val="none"/>
      </w:rPr>
      <w:t>, 2016</w:t>
    </w:r>
  </w:p>
  <w:p w14:paraId="0CF5F964" w14:textId="2F70D2F8" w:rsidR="00301E6F" w:rsidRPr="00A1742E" w:rsidRDefault="003C3B1F" w:rsidP="009E0BC7">
    <w:pPr>
      <w:pStyle w:val="Header"/>
      <w:tabs>
        <w:tab w:val="clear" w:pos="8640"/>
      </w:tabs>
      <w:jc w:val="right"/>
      <w:rPr>
        <w:i/>
        <w:u w:val="none"/>
      </w:rPr>
    </w:pPr>
    <w:r w:rsidRPr="00A1742E">
      <w:rPr>
        <w:i/>
        <w:u w:val="none"/>
      </w:rPr>
      <w:t>Change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59E2B7F0"/>
    <w:lvl w:ilvl="0">
      <w:start w:val="34"/>
      <w:numFmt w:val="none"/>
      <w:pStyle w:val="Heading1"/>
      <w:suff w:val="nothing"/>
      <w:lvlText w:val="AP2.7 APPENDIX 2.7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2.7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%1.7.%3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%1.7.%3.%4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%1.7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%1.7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%1.7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%1.7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%1.7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0A3121E2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9" w15:restartNumberingAfterBreak="0">
    <w:nsid w:val="0C4B49FB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4" w15:restartNumberingAfterBreak="0">
    <w:nsid w:val="4F133F9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5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6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11"/>
  </w:num>
  <w:num w:numId="10">
    <w:abstractNumId w:val="12"/>
  </w:num>
  <w:num w:numId="11">
    <w:abstractNumId w:val="13"/>
  </w:num>
  <w:num w:numId="12">
    <w:abstractNumId w:val="16"/>
  </w:num>
  <w:num w:numId="13">
    <w:abstractNumId w:val="15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E8"/>
    <w:rsid w:val="000124C5"/>
    <w:rsid w:val="000220EB"/>
    <w:rsid w:val="000229C7"/>
    <w:rsid w:val="000471F8"/>
    <w:rsid w:val="00077F2A"/>
    <w:rsid w:val="000B6C51"/>
    <w:rsid w:val="000E7E31"/>
    <w:rsid w:val="0010746E"/>
    <w:rsid w:val="001107DF"/>
    <w:rsid w:val="00111C4E"/>
    <w:rsid w:val="00115513"/>
    <w:rsid w:val="00172D9B"/>
    <w:rsid w:val="001768EF"/>
    <w:rsid w:val="001B6DA0"/>
    <w:rsid w:val="0026547D"/>
    <w:rsid w:val="002716E0"/>
    <w:rsid w:val="002A3313"/>
    <w:rsid w:val="002A5939"/>
    <w:rsid w:val="002A7301"/>
    <w:rsid w:val="00301E6F"/>
    <w:rsid w:val="003050A7"/>
    <w:rsid w:val="00316B6B"/>
    <w:rsid w:val="00330AD7"/>
    <w:rsid w:val="003723C0"/>
    <w:rsid w:val="003B790A"/>
    <w:rsid w:val="003C3B1F"/>
    <w:rsid w:val="003D26C5"/>
    <w:rsid w:val="00401E67"/>
    <w:rsid w:val="00413020"/>
    <w:rsid w:val="00425EA9"/>
    <w:rsid w:val="00427EA5"/>
    <w:rsid w:val="00430876"/>
    <w:rsid w:val="004415E8"/>
    <w:rsid w:val="00481AEB"/>
    <w:rsid w:val="00494630"/>
    <w:rsid w:val="00497835"/>
    <w:rsid w:val="004A46F4"/>
    <w:rsid w:val="005212E2"/>
    <w:rsid w:val="00524586"/>
    <w:rsid w:val="005268A8"/>
    <w:rsid w:val="00526D29"/>
    <w:rsid w:val="00554ACD"/>
    <w:rsid w:val="00573B8D"/>
    <w:rsid w:val="00590F5A"/>
    <w:rsid w:val="005D2218"/>
    <w:rsid w:val="00602897"/>
    <w:rsid w:val="00673BC3"/>
    <w:rsid w:val="006A2D58"/>
    <w:rsid w:val="006C071F"/>
    <w:rsid w:val="006C67C2"/>
    <w:rsid w:val="006E3C9D"/>
    <w:rsid w:val="0073487E"/>
    <w:rsid w:val="00742BF2"/>
    <w:rsid w:val="00756923"/>
    <w:rsid w:val="00787FF9"/>
    <w:rsid w:val="007A29B1"/>
    <w:rsid w:val="007D2492"/>
    <w:rsid w:val="00836987"/>
    <w:rsid w:val="00883F57"/>
    <w:rsid w:val="0088742A"/>
    <w:rsid w:val="008A754E"/>
    <w:rsid w:val="008C215C"/>
    <w:rsid w:val="00901456"/>
    <w:rsid w:val="00930C53"/>
    <w:rsid w:val="00944E89"/>
    <w:rsid w:val="00973A19"/>
    <w:rsid w:val="00992144"/>
    <w:rsid w:val="009A1850"/>
    <w:rsid w:val="009C1DE4"/>
    <w:rsid w:val="009E0BC7"/>
    <w:rsid w:val="00A1742E"/>
    <w:rsid w:val="00A51AA0"/>
    <w:rsid w:val="00A51CCC"/>
    <w:rsid w:val="00A73E5D"/>
    <w:rsid w:val="00A87E27"/>
    <w:rsid w:val="00AA449D"/>
    <w:rsid w:val="00AC2F78"/>
    <w:rsid w:val="00AF17FB"/>
    <w:rsid w:val="00B14973"/>
    <w:rsid w:val="00B15B1D"/>
    <w:rsid w:val="00B4101E"/>
    <w:rsid w:val="00B53086"/>
    <w:rsid w:val="00B55C6F"/>
    <w:rsid w:val="00BC2BAF"/>
    <w:rsid w:val="00BF7BAD"/>
    <w:rsid w:val="00C055F5"/>
    <w:rsid w:val="00C353E2"/>
    <w:rsid w:val="00C42364"/>
    <w:rsid w:val="00C527BB"/>
    <w:rsid w:val="00C66A8A"/>
    <w:rsid w:val="00C86953"/>
    <w:rsid w:val="00C94803"/>
    <w:rsid w:val="00CC49C6"/>
    <w:rsid w:val="00CD7F33"/>
    <w:rsid w:val="00CE631E"/>
    <w:rsid w:val="00CF5FEA"/>
    <w:rsid w:val="00CF759C"/>
    <w:rsid w:val="00D1498E"/>
    <w:rsid w:val="00D34E5A"/>
    <w:rsid w:val="00D4234C"/>
    <w:rsid w:val="00D435F5"/>
    <w:rsid w:val="00D544E6"/>
    <w:rsid w:val="00D70880"/>
    <w:rsid w:val="00D801B2"/>
    <w:rsid w:val="00D92F23"/>
    <w:rsid w:val="00DB0347"/>
    <w:rsid w:val="00DC5912"/>
    <w:rsid w:val="00E5779D"/>
    <w:rsid w:val="00E747C8"/>
    <w:rsid w:val="00EC5793"/>
    <w:rsid w:val="00ED3B0B"/>
    <w:rsid w:val="00F40F7C"/>
    <w:rsid w:val="00F560E9"/>
    <w:rsid w:val="00FB3A94"/>
    <w:rsid w:val="00FC0151"/>
    <w:rsid w:val="00FD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5F8C7"/>
  <w15:docId w15:val="{7EAFDF00-713A-4DBA-B610-46A55143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FF9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787FF9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787FF9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787FF9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787FF9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787FF9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787FF9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787FF9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787FF9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787FF9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787FF9"/>
    <w:rPr>
      <w:vertAlign w:val="superscript"/>
    </w:rPr>
  </w:style>
  <w:style w:type="character" w:styleId="FootnoteReference">
    <w:name w:val="footnote reference"/>
    <w:basedOn w:val="DefaultParagraphFont"/>
    <w:semiHidden/>
    <w:rsid w:val="00787FF9"/>
    <w:rPr>
      <w:vertAlign w:val="superscript"/>
    </w:rPr>
  </w:style>
  <w:style w:type="character" w:styleId="PageNumber">
    <w:name w:val="page number"/>
    <w:basedOn w:val="DefaultParagraphFont"/>
    <w:rsid w:val="00787FF9"/>
    <w:rPr>
      <w:rFonts w:ascii="Arial" w:hAnsi="Arial"/>
      <w:b/>
      <w:sz w:val="24"/>
    </w:rPr>
  </w:style>
  <w:style w:type="paragraph" w:styleId="Footer">
    <w:name w:val="footer"/>
    <w:basedOn w:val="Normal"/>
    <w:link w:val="FooterChar"/>
    <w:uiPriority w:val="99"/>
    <w:rsid w:val="00787FF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87FF9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787FF9"/>
    <w:rPr>
      <w:sz w:val="20"/>
    </w:rPr>
  </w:style>
  <w:style w:type="paragraph" w:customStyle="1" w:styleId="SubTitle">
    <w:name w:val="Sub Title"/>
    <w:basedOn w:val="Title"/>
    <w:rsid w:val="00787FF9"/>
    <w:rPr>
      <w:u w:val="single"/>
    </w:rPr>
  </w:style>
  <w:style w:type="paragraph" w:styleId="Title">
    <w:name w:val="Title"/>
    <w:basedOn w:val="Normal"/>
    <w:next w:val="Header"/>
    <w:qFormat/>
    <w:rsid w:val="00787FF9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787FF9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787FF9"/>
    <w:pPr>
      <w:spacing w:after="160"/>
      <w:ind w:left="1440"/>
    </w:pPr>
  </w:style>
  <w:style w:type="paragraph" w:styleId="BodyText">
    <w:name w:val="Body Text"/>
    <w:basedOn w:val="Normal"/>
    <w:rsid w:val="00787FF9"/>
    <w:pPr>
      <w:spacing w:after="120"/>
    </w:pPr>
  </w:style>
  <w:style w:type="paragraph" w:styleId="ListBullet">
    <w:name w:val="List Bullet"/>
    <w:basedOn w:val="Normal"/>
    <w:rsid w:val="00787FF9"/>
    <w:pPr>
      <w:spacing w:after="120"/>
      <w:ind w:left="360" w:hanging="360"/>
    </w:pPr>
  </w:style>
  <w:style w:type="paragraph" w:styleId="ListBullet2">
    <w:name w:val="List Bullet 2"/>
    <w:basedOn w:val="Normal"/>
    <w:rsid w:val="00787FF9"/>
    <w:pPr>
      <w:ind w:left="720" w:hanging="360"/>
    </w:pPr>
  </w:style>
  <w:style w:type="paragraph" w:styleId="ListBullet3">
    <w:name w:val="List Bullet 3"/>
    <w:basedOn w:val="Normal"/>
    <w:rsid w:val="00787FF9"/>
    <w:pPr>
      <w:ind w:left="1080" w:hanging="360"/>
    </w:pPr>
  </w:style>
  <w:style w:type="paragraph" w:styleId="ListNumber">
    <w:name w:val="List Number"/>
    <w:basedOn w:val="Normal"/>
    <w:rsid w:val="00787FF9"/>
    <w:pPr>
      <w:ind w:left="360" w:hanging="360"/>
    </w:pPr>
  </w:style>
  <w:style w:type="paragraph" w:styleId="ListNumber2">
    <w:name w:val="List Number 2"/>
    <w:basedOn w:val="Normal"/>
    <w:rsid w:val="00787FF9"/>
    <w:pPr>
      <w:ind w:left="720" w:hanging="360"/>
    </w:pPr>
  </w:style>
  <w:style w:type="paragraph" w:styleId="ListNumber3">
    <w:name w:val="List Number 3"/>
    <w:basedOn w:val="Normal"/>
    <w:rsid w:val="00787FF9"/>
    <w:pPr>
      <w:ind w:left="1080" w:hanging="360"/>
    </w:pPr>
  </w:style>
  <w:style w:type="paragraph" w:styleId="DocumentMap">
    <w:name w:val="Document Map"/>
    <w:basedOn w:val="Normal"/>
    <w:semiHidden/>
    <w:rsid w:val="00787FF9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787FF9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787FF9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787FF9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787F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87FF9"/>
    <w:rPr>
      <w:sz w:val="20"/>
    </w:rPr>
  </w:style>
  <w:style w:type="paragraph" w:styleId="BalloonText">
    <w:name w:val="Balloon Text"/>
    <w:basedOn w:val="Normal"/>
    <w:semiHidden/>
    <w:rsid w:val="00C527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149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1498E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883F5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83F57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883F57"/>
    <w:rPr>
      <w:rFonts w:ascii="Arial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C2F7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4E525-595D-46C6-BA50-D3E85705EC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8150A-AEAA-43F5-B93E-E5F6F0B13437}">
  <ds:schemaRefs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019005c-580f-42ae-adec-ba9490377f66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C6734B8C-0D94-450C-8CDC-A0C8100E8511}"/>
</file>

<file path=customXml/itemProps4.xml><?xml version="1.0" encoding="utf-8"?>
<ds:datastoreItem xmlns:ds="http://schemas.openxmlformats.org/officeDocument/2006/customXml" ds:itemID="{4AF4FAA3-6713-4064-88B0-1DE5E691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103</TotalTime>
  <Pages>1</Pages>
  <Words>150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7.30 - HAZARDOUS WASTE/MATERIAL CODE</vt:lpstr>
    </vt:vector>
  </TitlesOfParts>
  <Company>DLA Logistics Management Standards Office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7.30 - HAZARDOUS WASTE/MATERIAL CODE</dc:title>
  <dc:creator>Heidi Daverede</dc:creator>
  <cp:lastModifiedBy>Nguyen, Bao X CTR DLA INFO OPERATIONS (US)</cp:lastModifiedBy>
  <cp:revision>10</cp:revision>
  <cp:lastPrinted>2007-10-26T13:03:00Z</cp:lastPrinted>
  <dcterms:created xsi:type="dcterms:W3CDTF">2015-12-22T14:03:00Z</dcterms:created>
  <dcterms:modified xsi:type="dcterms:W3CDTF">2017-11-01T20:13:00Z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2294000</vt:r8>
  </property>
</Properties>
</file>