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CE55" w14:textId="4C6408D0" w:rsidR="001948EE" w:rsidRPr="005A5EB0" w:rsidRDefault="00C04971" w:rsidP="001B73B2">
      <w:pPr>
        <w:spacing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AP8</w:t>
      </w:r>
      <w:r w:rsidR="00467484" w:rsidRPr="005A5EB0">
        <w:rPr>
          <w:rFonts w:cs="Arial"/>
          <w:b/>
          <w:sz w:val="44"/>
          <w:szCs w:val="44"/>
          <w:u w:val="single"/>
        </w:rPr>
        <w:t>.13</w:t>
      </w:r>
      <w:r w:rsidR="009109A0" w:rsidRPr="005A5EB0">
        <w:rPr>
          <w:rFonts w:cs="Arial"/>
          <w:b/>
          <w:sz w:val="44"/>
          <w:szCs w:val="44"/>
          <w:u w:val="single"/>
        </w:rPr>
        <w:t>.</w:t>
      </w:r>
      <w:r w:rsidR="00467484" w:rsidRPr="005A5EB0">
        <w:rPr>
          <w:rFonts w:cs="Arial"/>
          <w:b/>
          <w:sz w:val="44"/>
          <w:szCs w:val="44"/>
          <w:u w:val="single"/>
        </w:rPr>
        <w:t xml:space="preserve"> APPENDIX </w:t>
      </w:r>
      <w:r w:rsidR="00207146">
        <w:rPr>
          <w:rFonts w:cs="Arial"/>
          <w:b/>
          <w:sz w:val="44"/>
          <w:szCs w:val="44"/>
          <w:u w:val="single"/>
        </w:rPr>
        <w:t>8</w:t>
      </w:r>
      <w:r w:rsidR="00467484" w:rsidRPr="005A5EB0">
        <w:rPr>
          <w:rFonts w:cs="Arial"/>
          <w:b/>
          <w:sz w:val="44"/>
          <w:szCs w:val="44"/>
          <w:u w:val="single"/>
        </w:rPr>
        <w:t>.13</w:t>
      </w:r>
      <w:bookmarkStart w:id="0" w:name="A2"/>
    </w:p>
    <w:p w14:paraId="05C2CE56" w14:textId="77777777" w:rsidR="001948EE" w:rsidRPr="005A5EB0" w:rsidRDefault="00FB55E9" w:rsidP="001B73B2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5A5EB0">
        <w:rPr>
          <w:rFonts w:cs="Arial"/>
          <w:b/>
          <w:sz w:val="36"/>
          <w:szCs w:val="36"/>
          <w:u w:val="single"/>
        </w:rPr>
        <w:t>DISPOSAL RELEASE ORDER, FOLLOW</w:t>
      </w:r>
      <w:r w:rsidR="00AA0AB3" w:rsidRPr="005A5EB0">
        <w:rPr>
          <w:rFonts w:cs="Arial"/>
          <w:b/>
          <w:sz w:val="36"/>
          <w:szCs w:val="36"/>
          <w:u w:val="single"/>
        </w:rPr>
        <w:t>-</w:t>
      </w:r>
      <w:r w:rsidRPr="005A5EB0">
        <w:rPr>
          <w:rFonts w:cs="Arial"/>
          <w:b/>
          <w:sz w:val="36"/>
          <w:szCs w:val="36"/>
          <w:u w:val="single"/>
        </w:rPr>
        <w:t>UP, OR CANCELLATION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1800"/>
        <w:gridCol w:w="4590"/>
      </w:tblGrid>
      <w:tr w:rsidR="00FB55E9" w:rsidRPr="001B73B2" w14:paraId="05C2CE5B" w14:textId="77777777">
        <w:trPr>
          <w:cantSplit/>
          <w:trHeight w:val="403"/>
          <w:tblHeader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2CE57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58" w14:textId="77777777" w:rsidR="00FB55E9" w:rsidRPr="001B73B2" w:rsidRDefault="00FB55E9">
            <w:pPr>
              <w:spacing w:before="60"/>
              <w:jc w:val="center"/>
              <w:rPr>
                <w:rFonts w:cs="Arial"/>
                <w:u w:val="single"/>
              </w:rPr>
            </w:pPr>
            <w:r w:rsidRPr="001B73B2">
              <w:rPr>
                <w:rFonts w:cs="Arial"/>
                <w:u w:val="single"/>
              </w:rPr>
              <w:t>RECORD</w:t>
            </w:r>
          </w:p>
          <w:p w14:paraId="05C2CE59" w14:textId="77777777" w:rsidR="00FB55E9" w:rsidRPr="001B73B2" w:rsidRDefault="00FB55E9">
            <w:pPr>
              <w:spacing w:after="60"/>
              <w:jc w:val="center"/>
              <w:rPr>
                <w:rFonts w:cs="Arial"/>
              </w:rPr>
            </w:pPr>
            <w:r w:rsidRPr="001B73B2">
              <w:rPr>
                <w:rFonts w:cs="Arial"/>
                <w:u w:val="single"/>
              </w:rPr>
              <w:t>POSITION(S)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2CE5A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  <w:u w:val="single"/>
              </w:rPr>
              <w:t>ENTRY AND INSTRUCTIONS</w:t>
            </w:r>
          </w:p>
        </w:tc>
      </w:tr>
      <w:tr w:rsidR="00FB55E9" w:rsidRPr="001B73B2" w14:paraId="05C2CE5F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5C" w14:textId="5A0BD471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Document Identifier</w:t>
            </w:r>
            <w:r w:rsidR="009C487F">
              <w:rPr>
                <w:rFonts w:cs="Arial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5D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1-3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5E" w14:textId="07A042F1" w:rsidR="00FB55E9" w:rsidRPr="001B73B2" w:rsidRDefault="00FB55E9" w:rsidP="009C487F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A5J for </w:t>
            </w:r>
            <w:r w:rsidR="009C487F">
              <w:rPr>
                <w:rFonts w:cs="Arial"/>
              </w:rPr>
              <w:t>d</w:t>
            </w:r>
            <w:r w:rsidR="00C7338B">
              <w:rPr>
                <w:szCs w:val="24"/>
              </w:rPr>
              <w:t xml:space="preserve">isposal </w:t>
            </w:r>
            <w:r w:rsidR="009C487F">
              <w:rPr>
                <w:szCs w:val="24"/>
              </w:rPr>
              <w:t>r</w:t>
            </w:r>
            <w:r w:rsidR="00C7338B">
              <w:rPr>
                <w:szCs w:val="24"/>
              </w:rPr>
              <w:t xml:space="preserve">elease </w:t>
            </w:r>
            <w:r w:rsidR="009C487F">
              <w:rPr>
                <w:szCs w:val="24"/>
              </w:rPr>
              <w:t>o</w:t>
            </w:r>
            <w:r w:rsidR="00C7338B">
              <w:rPr>
                <w:szCs w:val="24"/>
              </w:rPr>
              <w:t>rder</w:t>
            </w:r>
            <w:r w:rsidR="00C7338B" w:rsidRPr="001B73B2">
              <w:rPr>
                <w:rFonts w:cs="Arial"/>
              </w:rPr>
              <w:t xml:space="preserve"> </w:t>
            </w:r>
            <w:r w:rsidR="00C7338B">
              <w:rPr>
                <w:rFonts w:cs="Arial"/>
              </w:rPr>
              <w:t>(</w:t>
            </w:r>
            <w:r w:rsidRPr="001B73B2">
              <w:rPr>
                <w:rFonts w:cs="Arial"/>
              </w:rPr>
              <w:t>DRO</w:t>
            </w:r>
            <w:r w:rsidR="00C7338B">
              <w:rPr>
                <w:rFonts w:cs="Arial"/>
              </w:rPr>
              <w:t>)</w:t>
            </w:r>
            <w:r w:rsidRPr="001B73B2">
              <w:rPr>
                <w:rFonts w:cs="Arial"/>
              </w:rPr>
              <w:t xml:space="preserve">,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AFJ for ICP </w:t>
            </w:r>
            <w:r w:rsidR="005968B0" w:rsidRPr="001B73B2">
              <w:rPr>
                <w:rFonts w:cs="Arial"/>
              </w:rPr>
              <w:t>follow-up</w:t>
            </w:r>
            <w:r w:rsidRPr="001B73B2">
              <w:rPr>
                <w:rFonts w:cs="Arial"/>
              </w:rPr>
              <w:t xml:space="preserve"> on a DRO,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ACJ for </w:t>
            </w:r>
            <w:r w:rsidR="009C487F">
              <w:rPr>
                <w:rFonts w:cs="Arial"/>
              </w:rPr>
              <w:t>i</w:t>
            </w:r>
            <w:r w:rsidR="00C7338B">
              <w:rPr>
                <w:rFonts w:cs="Arial"/>
              </w:rPr>
              <w:t xml:space="preserve">nventory </w:t>
            </w:r>
            <w:r w:rsidR="009C487F">
              <w:rPr>
                <w:rFonts w:cs="Arial"/>
              </w:rPr>
              <w:t>c</w:t>
            </w:r>
            <w:r w:rsidR="00C7338B">
              <w:rPr>
                <w:rFonts w:cs="Arial"/>
              </w:rPr>
              <w:t xml:space="preserve">ontrol </w:t>
            </w:r>
            <w:r w:rsidR="009C487F">
              <w:rPr>
                <w:rFonts w:cs="Arial"/>
              </w:rPr>
              <w:t>p</w:t>
            </w:r>
            <w:r w:rsidR="00C7338B">
              <w:rPr>
                <w:rFonts w:cs="Arial"/>
              </w:rPr>
              <w:t>oint (</w:t>
            </w:r>
            <w:r w:rsidRPr="001B73B2">
              <w:rPr>
                <w:rFonts w:cs="Arial"/>
              </w:rPr>
              <w:t>ICP</w:t>
            </w:r>
            <w:r w:rsidR="00C7338B">
              <w:rPr>
                <w:rFonts w:cs="Arial"/>
              </w:rPr>
              <w:t>)</w:t>
            </w:r>
            <w:r w:rsidRPr="001B73B2">
              <w:rPr>
                <w:rFonts w:cs="Arial"/>
              </w:rPr>
              <w:t xml:space="preserve"> can</w:t>
            </w:r>
            <w:bookmarkStart w:id="1" w:name="_GoBack"/>
            <w:bookmarkEnd w:id="1"/>
            <w:r w:rsidRPr="001B73B2">
              <w:rPr>
                <w:rFonts w:cs="Arial"/>
              </w:rPr>
              <w:t xml:space="preserve">cellation of a DRO,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AKJ for ICP </w:t>
            </w:r>
            <w:r w:rsidR="005968B0" w:rsidRPr="001B73B2">
              <w:rPr>
                <w:rFonts w:cs="Arial"/>
              </w:rPr>
              <w:t>follow-up</w:t>
            </w:r>
            <w:r w:rsidRPr="001B73B2">
              <w:rPr>
                <w:rFonts w:cs="Arial"/>
              </w:rPr>
              <w:t xml:space="preserve"> on DRO cancellation, or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AGJ for reply to DRO cancellation.</w:t>
            </w:r>
          </w:p>
        </w:tc>
      </w:tr>
      <w:tr w:rsidR="00FB55E9" w:rsidRPr="001B73B2" w14:paraId="05C2CE63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60" w14:textId="12E1EB50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Routing Identifier</w:t>
            </w:r>
            <w:r w:rsidR="009C487F">
              <w:rPr>
                <w:rFonts w:cs="Arial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61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4-6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62" w14:textId="2A34BE4A" w:rsidR="00FB55E9" w:rsidRPr="001B73B2" w:rsidRDefault="00FB55E9" w:rsidP="009C487F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the appropriate code applicable to the facility to which the DRO is directed.  (If used as a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AGJ transaction, will contain </w:t>
            </w:r>
            <w:r w:rsidR="00C7338B">
              <w:rPr>
                <w:rFonts w:cs="Arial"/>
              </w:rPr>
              <w:t>RIC</w:t>
            </w:r>
            <w:r w:rsidRPr="001B73B2">
              <w:rPr>
                <w:rFonts w:cs="Arial"/>
              </w:rPr>
              <w:t xml:space="preserve"> of the </w:t>
            </w:r>
            <w:r w:rsidR="009C487F">
              <w:rPr>
                <w:rFonts w:cs="Arial"/>
              </w:rPr>
              <w:t xml:space="preserve">source of supply </w:t>
            </w:r>
            <w:r w:rsidRPr="001B73B2">
              <w:rPr>
                <w:rFonts w:cs="Arial"/>
              </w:rPr>
              <w:t xml:space="preserve">to which the document </w:t>
            </w:r>
            <w:r w:rsidR="00C7338B">
              <w:rPr>
                <w:rFonts w:cs="Arial"/>
              </w:rPr>
              <w:t>shall</w:t>
            </w:r>
            <w:r w:rsidRPr="001B73B2">
              <w:rPr>
                <w:rFonts w:cs="Arial"/>
              </w:rPr>
              <w:t xml:space="preserve"> be transmitted).</w:t>
            </w:r>
          </w:p>
        </w:tc>
      </w:tr>
      <w:tr w:rsidR="00FB55E9" w:rsidRPr="001B73B2" w14:paraId="05C2CE67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64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65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66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0 or leave blank.</w:t>
            </w:r>
          </w:p>
        </w:tc>
      </w:tr>
      <w:tr w:rsidR="00FB55E9" w:rsidRPr="001B73B2" w14:paraId="05C2CE6B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68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Stock or Part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69" w14:textId="682F92D0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8-22</w:t>
            </w:r>
            <w:r w:rsidRPr="001B73B2">
              <w:rPr>
                <w:rStyle w:val="FootnoteReference"/>
                <w:rFonts w:cs="Arial"/>
              </w:rPr>
              <w:footnoteReference w:id="1"/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6A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the NSN or part number of the item ordered for disposal.  For subsistence items, enter the type of pack in rp 21.</w:t>
            </w:r>
          </w:p>
        </w:tc>
      </w:tr>
      <w:tr w:rsidR="00FB55E9" w:rsidRPr="001B73B2" w14:paraId="05C2CE6F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6C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6D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23-24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6E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the unit of issue applicable to the stock or part number.</w:t>
            </w:r>
          </w:p>
        </w:tc>
      </w:tr>
      <w:tr w:rsidR="00FB55E9" w:rsidRPr="001B73B2" w14:paraId="05C2CE73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70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71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25-29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72" w14:textId="7B0C0546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the quantity to be transferred, based on the inventory control record balance.  Quantity actually transferred </w:t>
            </w:r>
            <w:r w:rsidR="00C7338B">
              <w:rPr>
                <w:rFonts w:cs="Arial"/>
              </w:rPr>
              <w:t>shall</w:t>
            </w:r>
            <w:r w:rsidRPr="001B73B2">
              <w:rPr>
                <w:rFonts w:cs="Arial"/>
              </w:rPr>
              <w:t xml:space="preserve"> be dependent on the entry in rp 55-61 if applicable.  (For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ACJ/AKJ, enter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A5J quantity to be canceled.  For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Code AGJ, enter quantity canceled.)</w:t>
            </w:r>
          </w:p>
        </w:tc>
      </w:tr>
      <w:tr w:rsidR="00FB55E9" w:rsidRPr="001B73B2" w14:paraId="05C2CE77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74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75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30-43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76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document number as assigned by the preparing activity.</w:t>
            </w:r>
          </w:p>
        </w:tc>
      </w:tr>
      <w:tr w:rsidR="00FB55E9" w:rsidRPr="001B73B2" w14:paraId="05C2CE7B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78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79" w14:textId="77777777" w:rsidR="00FB55E9" w:rsidRPr="001B73B2" w:rsidRDefault="00FB55E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7A" w14:textId="77777777" w:rsidR="00FB55E9" w:rsidRPr="001B73B2" w:rsidRDefault="00FB55E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Leave blank.</w:t>
            </w:r>
          </w:p>
        </w:tc>
      </w:tr>
      <w:bookmarkEnd w:id="0"/>
      <w:tr w:rsidR="000634A7" w:rsidRPr="001B73B2" w14:paraId="05C2CE7F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7C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lastRenderedPageBreak/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7D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45-50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7E" w14:textId="51A77D6A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Leave blank in DRO.  The shipping activity </w:t>
            </w:r>
            <w:r w:rsidR="00C7338B">
              <w:rPr>
                <w:rFonts w:cs="Arial"/>
              </w:rPr>
              <w:t>shall</w:t>
            </w:r>
            <w:r w:rsidRPr="001B73B2">
              <w:rPr>
                <w:rFonts w:cs="Arial"/>
              </w:rPr>
              <w:t xml:space="preserve"> enter the </w:t>
            </w:r>
            <w:r w:rsidR="009C487F">
              <w:rPr>
                <w:rFonts w:cs="Arial"/>
              </w:rPr>
              <w:t>Department of Defense activity address code (</w:t>
            </w:r>
            <w:r w:rsidRPr="001B73B2">
              <w:rPr>
                <w:rFonts w:cs="Arial"/>
              </w:rPr>
              <w:t>DoDAAC</w:t>
            </w:r>
            <w:r w:rsidR="009C487F">
              <w:rPr>
                <w:rFonts w:cs="Arial"/>
              </w:rPr>
              <w:t>)</w:t>
            </w:r>
            <w:r w:rsidRPr="001B73B2">
              <w:rPr>
                <w:rFonts w:cs="Arial"/>
              </w:rPr>
              <w:t xml:space="preserve"> of predesignated </w:t>
            </w:r>
            <w:r w:rsidR="00C7338B">
              <w:rPr>
                <w:rFonts w:cs="Arial"/>
              </w:rPr>
              <w:t>DLA Disposition Services Field Office</w:t>
            </w:r>
            <w:r w:rsidRPr="001B73B2">
              <w:rPr>
                <w:rFonts w:cs="Arial"/>
              </w:rPr>
              <w:t>.</w:t>
            </w:r>
          </w:p>
        </w:tc>
      </w:tr>
      <w:tr w:rsidR="000634A7" w:rsidRPr="001B73B2" w14:paraId="05C2CE83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80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81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82" w14:textId="6853844C" w:rsidR="000634A7" w:rsidRPr="001B73B2" w:rsidRDefault="000634A7" w:rsidP="00824318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applicable </w:t>
            </w:r>
            <w:r w:rsidR="00F24759">
              <w:rPr>
                <w:rFonts w:cs="Arial"/>
              </w:rPr>
              <w:t xml:space="preserve">signal </w:t>
            </w:r>
            <w:r w:rsidRPr="001B73B2">
              <w:rPr>
                <w:rFonts w:cs="Arial"/>
              </w:rPr>
              <w:t xml:space="preserve">code if required; otherwise, leave blank.  For hazardous materiel or waste, use Signal Code A, B, C, or L.  For Signal Code B, identify the bill-to activity to be included on the </w:t>
            </w:r>
            <w:r w:rsidR="00824318">
              <w:rPr>
                <w:rFonts w:cs="Arial"/>
              </w:rPr>
              <w:t>disposal turn-in document (</w:t>
            </w:r>
            <w:r w:rsidRPr="001B73B2">
              <w:rPr>
                <w:rFonts w:cs="Arial"/>
              </w:rPr>
              <w:t>DTID</w:t>
            </w:r>
            <w:r w:rsidR="00824318">
              <w:rPr>
                <w:rFonts w:cs="Arial"/>
              </w:rPr>
              <w:t>)</w:t>
            </w:r>
            <w:r w:rsidRPr="001B73B2">
              <w:rPr>
                <w:rFonts w:cs="Arial"/>
              </w:rPr>
              <w:t>, Block 27, using an off-line communication with the activity to which the DRO is directed.</w:t>
            </w:r>
          </w:p>
        </w:tc>
      </w:tr>
      <w:tr w:rsidR="000634A7" w:rsidRPr="001B73B2" w14:paraId="05C2CE87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84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85" w14:textId="1C91FDC4" w:rsidR="000634A7" w:rsidRPr="001B73B2" w:rsidRDefault="000634A7" w:rsidP="009955B9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52-53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86" w14:textId="670743BB" w:rsidR="000634A7" w:rsidRPr="001B73B2" w:rsidRDefault="000634A7" w:rsidP="00E166BD">
            <w:pPr>
              <w:spacing w:before="60" w:after="60"/>
              <w:rPr>
                <w:rFonts w:cs="Arial"/>
                <w:u w:val="single"/>
              </w:rPr>
            </w:pPr>
            <w:r w:rsidRPr="001B73B2">
              <w:rPr>
                <w:rFonts w:cs="Arial"/>
              </w:rPr>
              <w:t xml:space="preserve">Enter </w:t>
            </w:r>
            <w:r w:rsidR="00F24759">
              <w:rPr>
                <w:rFonts w:cs="Arial"/>
              </w:rPr>
              <w:t xml:space="preserve">the </w:t>
            </w:r>
            <w:r w:rsidRPr="001B73B2">
              <w:rPr>
                <w:rFonts w:cs="Arial"/>
              </w:rPr>
              <w:t xml:space="preserve">fund code to be credited with proceeds from </w:t>
            </w:r>
            <w:r w:rsidR="00824318">
              <w:rPr>
                <w:rFonts w:cs="Arial"/>
              </w:rPr>
              <w:t xml:space="preserve">the </w:t>
            </w:r>
            <w:r w:rsidRPr="001B73B2">
              <w:rPr>
                <w:rFonts w:cs="Arial"/>
              </w:rPr>
              <w:t xml:space="preserve">sale by </w:t>
            </w:r>
            <w:r w:rsidR="00C7338B">
              <w:rPr>
                <w:rFonts w:cs="Arial"/>
              </w:rPr>
              <w:t>DLA Disposition Services Field Office</w:t>
            </w:r>
            <w:r w:rsidRPr="001B73B2">
              <w:rPr>
                <w:rFonts w:cs="Arial"/>
              </w:rPr>
              <w:t xml:space="preserve">.  If no credit is desired, leave blank.  For hazardous materiel or waste, this </w:t>
            </w:r>
            <w:r w:rsidR="00C7338B">
              <w:rPr>
                <w:rFonts w:cs="Arial"/>
              </w:rPr>
              <w:t>shall</w:t>
            </w:r>
            <w:r w:rsidRPr="001B73B2">
              <w:rPr>
                <w:rFonts w:cs="Arial"/>
              </w:rPr>
              <w:t xml:space="preserve"> be the bill-to fund code for reimbursable actions associated with disposal.</w:t>
            </w:r>
          </w:p>
        </w:tc>
      </w:tr>
      <w:tr w:rsidR="000634A7" w:rsidRPr="001B73B2" w14:paraId="05C2CE8B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88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Distribution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89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8A" w14:textId="1CBE3AE5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</w:t>
            </w:r>
            <w:r w:rsidR="00F24759">
              <w:rPr>
                <w:rFonts w:cs="Arial"/>
              </w:rPr>
              <w:t xml:space="preserve">Distribution </w:t>
            </w:r>
            <w:r w:rsidRPr="001B73B2">
              <w:rPr>
                <w:rFonts w:cs="Arial"/>
              </w:rPr>
              <w:t>Code 9.</w:t>
            </w:r>
          </w:p>
        </w:tc>
      </w:tr>
      <w:tr w:rsidR="000634A7" w:rsidRPr="001B73B2" w14:paraId="05C2CE8F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8C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Retention 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8D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55-61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8E" w14:textId="0AB7CC66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quantity to be retained in stock by activity in rp 4-6.  When the quantity to be retained exceeds the retention quantity field, the transaction </w:t>
            </w:r>
            <w:r w:rsidR="00C7338B">
              <w:rPr>
                <w:rFonts w:cs="Arial"/>
              </w:rPr>
              <w:t>shall</w:t>
            </w:r>
            <w:r w:rsidRPr="001B73B2">
              <w:rPr>
                <w:rFonts w:cs="Arial"/>
              </w:rPr>
              <w:t xml:space="preserve"> be processed offline.</w:t>
            </w:r>
          </w:p>
        </w:tc>
      </w:tr>
      <w:tr w:rsidR="000634A7" w:rsidRPr="001B73B2" w14:paraId="05C2CE93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90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Precious Metals Indicator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91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92" w14:textId="32F10665" w:rsidR="000634A7" w:rsidRPr="001B73B2" w:rsidRDefault="000634A7" w:rsidP="00207146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applicable code from AP</w:t>
            </w:r>
            <w:r w:rsidR="00207146">
              <w:rPr>
                <w:rFonts w:cs="Arial"/>
              </w:rPr>
              <w:t>7</w:t>
            </w:r>
            <w:r w:rsidRPr="001B73B2">
              <w:rPr>
                <w:rFonts w:cs="Arial"/>
              </w:rPr>
              <w:t>.23.</w:t>
            </w:r>
          </w:p>
        </w:tc>
      </w:tr>
      <w:tr w:rsidR="000634A7" w:rsidRPr="001B73B2" w14:paraId="05C2CE97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94" w14:textId="515ADCFD" w:rsidR="000634A7" w:rsidRPr="001B73B2" w:rsidRDefault="000634A7" w:rsidP="00824318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A</w:t>
            </w:r>
            <w:r w:rsidR="00824318">
              <w:rPr>
                <w:rFonts w:cs="Arial"/>
              </w:rPr>
              <w:t xml:space="preserve">utomated Data Processing Equipment </w:t>
            </w:r>
            <w:r w:rsidRPr="001B73B2">
              <w:rPr>
                <w:rFonts w:cs="Arial"/>
              </w:rPr>
              <w:t>Identification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95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96" w14:textId="638F2522" w:rsidR="000634A7" w:rsidRPr="001B73B2" w:rsidRDefault="000634A7" w:rsidP="00207146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applicable </w:t>
            </w:r>
            <w:r w:rsidR="00824318">
              <w:rPr>
                <w:rFonts w:cs="Arial"/>
              </w:rPr>
              <w:t xml:space="preserve">ADPE </w:t>
            </w:r>
            <w:r w:rsidRPr="001B73B2">
              <w:rPr>
                <w:rFonts w:cs="Arial"/>
              </w:rPr>
              <w:t xml:space="preserve">code from </w:t>
            </w:r>
            <w:r w:rsidR="00207146" w:rsidRPr="001B73B2">
              <w:rPr>
                <w:rFonts w:cs="Arial"/>
              </w:rPr>
              <w:t>AP</w:t>
            </w:r>
            <w:r w:rsidR="00207146">
              <w:rPr>
                <w:rFonts w:cs="Arial"/>
              </w:rPr>
              <w:t>7</w:t>
            </w:r>
            <w:r w:rsidRPr="001B73B2">
              <w:rPr>
                <w:rFonts w:cs="Arial"/>
              </w:rPr>
              <w:t>.24.</w:t>
            </w:r>
          </w:p>
        </w:tc>
      </w:tr>
      <w:tr w:rsidR="000634A7" w:rsidRPr="001B73B2" w14:paraId="05C2CE9B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98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Disposal Authority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99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9A" w14:textId="05907E65" w:rsidR="000634A7" w:rsidRPr="001B73B2" w:rsidRDefault="000634A7" w:rsidP="00207146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applicable code from </w:t>
            </w:r>
            <w:r w:rsidR="00207146" w:rsidRPr="001B73B2">
              <w:rPr>
                <w:rFonts w:cs="Arial"/>
              </w:rPr>
              <w:t>AP</w:t>
            </w:r>
            <w:r w:rsidR="00207146">
              <w:rPr>
                <w:rFonts w:cs="Arial"/>
              </w:rPr>
              <w:t>7</w:t>
            </w:r>
            <w:r w:rsidRPr="001B73B2">
              <w:rPr>
                <w:rFonts w:cs="Arial"/>
              </w:rPr>
              <w:t>.21.</w:t>
            </w:r>
          </w:p>
        </w:tc>
      </w:tr>
      <w:tr w:rsidR="000634A7" w:rsidRPr="001B73B2" w14:paraId="05C2CE9F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9C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Demilitarization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9D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9E" w14:textId="3FCF63A6" w:rsidR="000634A7" w:rsidRPr="001B73B2" w:rsidRDefault="000634A7" w:rsidP="00207146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</w:t>
            </w:r>
            <w:r w:rsidR="00F24759">
              <w:rPr>
                <w:rFonts w:cs="Arial"/>
              </w:rPr>
              <w:t xml:space="preserve">the demilitarization </w:t>
            </w:r>
            <w:r w:rsidRPr="001B73B2">
              <w:rPr>
                <w:rFonts w:cs="Arial"/>
              </w:rPr>
              <w:t xml:space="preserve">code assigned by the ICP/IMM as required by </w:t>
            </w:r>
            <w:r w:rsidR="00207146" w:rsidRPr="00207146">
              <w:rPr>
                <w:rFonts w:cs="Arial"/>
              </w:rPr>
              <w:t>DoD</w:t>
            </w:r>
            <w:r w:rsidR="00207146">
              <w:rPr>
                <w:rFonts w:cs="Arial"/>
              </w:rPr>
              <w:t xml:space="preserve"> Manual</w:t>
            </w:r>
            <w:r w:rsidR="00207146" w:rsidRPr="00207146">
              <w:rPr>
                <w:rFonts w:cs="Arial"/>
              </w:rPr>
              <w:t xml:space="preserve"> 4160.21</w:t>
            </w:r>
            <w:r w:rsidR="00207146">
              <w:rPr>
                <w:rFonts w:cs="Arial"/>
              </w:rPr>
              <w:t xml:space="preserve">, </w:t>
            </w:r>
            <w:r w:rsidR="00824318">
              <w:rPr>
                <w:rFonts w:cs="Arial"/>
              </w:rPr>
              <w:t>“</w:t>
            </w:r>
            <w:r w:rsidRPr="001B73B2">
              <w:rPr>
                <w:rFonts w:cs="Arial"/>
              </w:rPr>
              <w:t xml:space="preserve">Defense </w:t>
            </w:r>
            <w:r w:rsidR="00207146">
              <w:rPr>
                <w:rFonts w:cs="Arial"/>
              </w:rPr>
              <w:t>Materiel Disposition</w:t>
            </w:r>
            <w:r w:rsidR="00824318">
              <w:rPr>
                <w:rFonts w:cs="Arial"/>
              </w:rPr>
              <w:t>”</w:t>
            </w:r>
          </w:p>
        </w:tc>
      </w:tr>
      <w:tr w:rsidR="000634A7" w:rsidRPr="001B73B2" w14:paraId="05C2CEA3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A0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Reclamation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A1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A2" w14:textId="0050F643" w:rsidR="000634A7" w:rsidRPr="001B73B2" w:rsidRDefault="000634A7" w:rsidP="00F2475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Y if reclamation is required prior to release to </w:t>
            </w:r>
            <w:r w:rsidR="00C7338B">
              <w:rPr>
                <w:rFonts w:cs="Arial"/>
              </w:rPr>
              <w:t>DLA Disposition Services Field Office</w:t>
            </w:r>
            <w:r w:rsidRPr="001B73B2">
              <w:rPr>
                <w:rFonts w:cs="Arial"/>
              </w:rPr>
              <w:t>.  Enter N if reclamation is not required.</w:t>
            </w:r>
          </w:p>
        </w:tc>
      </w:tr>
      <w:tr w:rsidR="000634A7" w:rsidRPr="001B73B2" w14:paraId="05C2CEA7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A4" w14:textId="000D23FF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lastRenderedPageBreak/>
              <w:t>Routing Identifier</w:t>
            </w:r>
            <w:r w:rsidR="009C487F">
              <w:rPr>
                <w:rFonts w:cs="Arial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A5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67-69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A6" w14:textId="3CE669EC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</w:t>
            </w:r>
            <w:r w:rsidR="00C7338B">
              <w:rPr>
                <w:rFonts w:cs="Arial"/>
              </w:rPr>
              <w:t>RIC</w:t>
            </w:r>
            <w:r w:rsidRPr="001B73B2">
              <w:rPr>
                <w:rFonts w:cs="Arial"/>
              </w:rPr>
              <w:t xml:space="preserve"> of ICP/IMM originating the DRO.  (For </w:t>
            </w:r>
            <w:r w:rsidR="00C7338B">
              <w:rPr>
                <w:rFonts w:cs="Arial"/>
              </w:rPr>
              <w:t>DIC</w:t>
            </w:r>
            <w:r w:rsidRPr="001B73B2">
              <w:rPr>
                <w:rFonts w:cs="Arial"/>
              </w:rPr>
              <w:t xml:space="preserve"> AGJ transaction, enter </w:t>
            </w:r>
            <w:r w:rsidR="00C7338B">
              <w:rPr>
                <w:rFonts w:cs="Arial"/>
              </w:rPr>
              <w:t>RIC</w:t>
            </w:r>
            <w:r w:rsidRPr="001B73B2">
              <w:rPr>
                <w:rFonts w:cs="Arial"/>
              </w:rPr>
              <w:t xml:space="preserve"> of the activity preparing the transaction.)</w:t>
            </w:r>
          </w:p>
        </w:tc>
      </w:tr>
      <w:tr w:rsidR="000634A7" w:rsidRPr="001B73B2" w14:paraId="05C2CEAB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A8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Ownership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A9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AA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ownership code, if applicable, otherwise, leave blank.</w:t>
            </w:r>
          </w:p>
        </w:tc>
      </w:tr>
      <w:tr w:rsidR="000634A7" w:rsidRPr="001B73B2" w14:paraId="05C2CEAF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AC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Supply Condition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AD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AE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the condition code of the materiel to be transferred.</w:t>
            </w:r>
          </w:p>
        </w:tc>
      </w:tr>
      <w:tr w:rsidR="000634A7" w:rsidRPr="001B73B2" w14:paraId="05C2CEB3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B0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Management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B1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B2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management code, if applicable; otherwise, leave blank.</w:t>
            </w:r>
          </w:p>
        </w:tc>
      </w:tr>
    </w:tbl>
    <w:p w14:paraId="1F48E9E0" w14:textId="77777777" w:rsidR="009955B9" w:rsidRDefault="009955B9" w:rsidP="00E166BD">
      <w:pPr>
        <w:spacing w:before="60" w:after="60"/>
        <w:rPr>
          <w:rFonts w:cs="Arial"/>
        </w:rPr>
        <w:sectPr w:rsidR="009955B9" w:rsidSect="00FD40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1800"/>
        <w:gridCol w:w="4590"/>
      </w:tblGrid>
      <w:tr w:rsidR="000634A7" w:rsidRPr="001B73B2" w14:paraId="05C2CEB7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B4" w14:textId="309123E9" w:rsidR="000634A7" w:rsidRPr="001B73B2" w:rsidRDefault="000634A7" w:rsidP="009955B9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Flight Safety Critical Aircraft Parts</w:t>
            </w:r>
            <w:r w:rsidRPr="001B73B2"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B5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B6" w14:textId="5E8436F0" w:rsidR="000634A7" w:rsidRPr="001B73B2" w:rsidRDefault="000634A7" w:rsidP="008316F1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 xml:space="preserve">Enter Criticality Code E to indicate </w:t>
            </w:r>
            <w:r w:rsidR="008316F1">
              <w:rPr>
                <w:rFonts w:cs="Arial"/>
              </w:rPr>
              <w:t xml:space="preserve">Nuclear Hardened </w:t>
            </w:r>
            <w:r w:rsidRPr="001B73B2">
              <w:rPr>
                <w:rFonts w:cs="Arial"/>
              </w:rPr>
              <w:t>Flight Safety Critical Aircraft Part</w:t>
            </w:r>
            <w:r w:rsidR="008316F1">
              <w:rPr>
                <w:rFonts w:cs="Arial"/>
              </w:rPr>
              <w:t xml:space="preserve">s (FSCAP) or </w:t>
            </w:r>
            <w:r w:rsidRPr="001B73B2">
              <w:rPr>
                <w:rFonts w:cs="Arial"/>
              </w:rPr>
              <w:t xml:space="preserve">Criticality Code F to indicate </w:t>
            </w:r>
            <w:r w:rsidR="008316F1">
              <w:rPr>
                <w:rFonts w:cs="Arial"/>
              </w:rPr>
              <w:t>a standard FSCAP</w:t>
            </w:r>
            <w:r w:rsidRPr="001B73B2">
              <w:rPr>
                <w:rFonts w:cs="Arial"/>
              </w:rPr>
              <w:t>.</w:t>
            </w:r>
          </w:p>
        </w:tc>
      </w:tr>
      <w:tr w:rsidR="000634A7" w:rsidRPr="001B73B2" w14:paraId="05C2CEBB" w14:textId="77777777">
        <w:trPr>
          <w:cantSplit/>
          <w:trHeight w:val="403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C2CEB8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Unit Price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2CEB9" w14:textId="77777777" w:rsidR="000634A7" w:rsidRPr="001B73B2" w:rsidRDefault="000634A7" w:rsidP="00E166BD">
            <w:pPr>
              <w:spacing w:before="60" w:after="60"/>
              <w:jc w:val="center"/>
              <w:rPr>
                <w:rFonts w:cs="Arial"/>
              </w:rPr>
            </w:pPr>
            <w:r w:rsidRPr="001B73B2">
              <w:rPr>
                <w:rFonts w:cs="Arial"/>
              </w:rPr>
              <w:t>74-80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2CEBA" w14:textId="77777777" w:rsidR="000634A7" w:rsidRPr="001B73B2" w:rsidRDefault="000634A7" w:rsidP="00E166BD">
            <w:pPr>
              <w:spacing w:before="60" w:after="60"/>
              <w:rPr>
                <w:rFonts w:cs="Arial"/>
              </w:rPr>
            </w:pPr>
            <w:r w:rsidRPr="001B73B2">
              <w:rPr>
                <w:rFonts w:cs="Arial"/>
              </w:rPr>
              <w:t>Enter the unit price for the NSN or part number shown in rp 8-22.</w:t>
            </w:r>
          </w:p>
        </w:tc>
      </w:tr>
    </w:tbl>
    <w:p w14:paraId="05C2CEBC" w14:textId="77777777" w:rsidR="008F45DD" w:rsidRPr="001B73B2" w:rsidRDefault="008F45DD" w:rsidP="00C76FAC">
      <w:pPr>
        <w:spacing w:before="60" w:after="60"/>
        <w:jc w:val="center"/>
        <w:rPr>
          <w:rFonts w:cs="Arial"/>
        </w:rPr>
      </w:pPr>
    </w:p>
    <w:sectPr w:rsidR="008F45DD" w:rsidRPr="001B73B2" w:rsidSect="00FD40DF"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CEBF" w14:textId="77777777" w:rsidR="009C487F" w:rsidRDefault="009C487F">
      <w:r>
        <w:separator/>
      </w:r>
    </w:p>
  </w:endnote>
  <w:endnote w:type="continuationSeparator" w:id="0">
    <w:p w14:paraId="05C2CEC0" w14:textId="77777777" w:rsidR="009C487F" w:rsidRDefault="009C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EC4" w14:textId="77777777" w:rsidR="009C487F" w:rsidRPr="00D310A0" w:rsidRDefault="009C487F" w:rsidP="00FB55E9">
    <w:pPr>
      <w:pStyle w:val="Footer"/>
      <w:framePr w:wrap="around" w:vAnchor="text" w:hAnchor="margin" w:xAlign="center" w:y="1"/>
      <w:rPr>
        <w:rStyle w:val="PageNumber"/>
        <w:b w:val="0"/>
      </w:rPr>
    </w:pPr>
    <w:r w:rsidRPr="00D310A0">
      <w:rPr>
        <w:rStyle w:val="PageNumber"/>
        <w:b w:val="0"/>
      </w:rPr>
      <w:fldChar w:fldCharType="begin"/>
    </w:r>
    <w:r w:rsidRPr="00D310A0">
      <w:rPr>
        <w:rStyle w:val="PageNumber"/>
        <w:b w:val="0"/>
      </w:rPr>
      <w:instrText xml:space="preserve">PAGE  </w:instrText>
    </w:r>
    <w:r w:rsidRPr="00D310A0">
      <w:rPr>
        <w:rStyle w:val="PageNumber"/>
        <w:b w:val="0"/>
      </w:rPr>
      <w:fldChar w:fldCharType="separate"/>
    </w:r>
    <w:r w:rsidRPr="00D310A0">
      <w:rPr>
        <w:rStyle w:val="PageNumber"/>
        <w:b w:val="0"/>
        <w:noProof/>
      </w:rPr>
      <w:t>3</w:t>
    </w:r>
    <w:r w:rsidRPr="00D310A0">
      <w:rPr>
        <w:rStyle w:val="PageNumber"/>
        <w:b w:val="0"/>
      </w:rPr>
      <w:fldChar w:fldCharType="end"/>
    </w:r>
  </w:p>
  <w:p w14:paraId="05C2CEC5" w14:textId="77777777" w:rsidR="009C487F" w:rsidRPr="00467484" w:rsidRDefault="009C487F" w:rsidP="00467484">
    <w:pPr>
      <w:pStyle w:val="Footer"/>
      <w:jc w:val="right"/>
      <w:rPr>
        <w:rStyle w:val="PageNumber"/>
        <w:b w:val="0"/>
      </w:rPr>
    </w:pPr>
    <w:r w:rsidRPr="00467484">
      <w:rPr>
        <w:rStyle w:val="PageNumber"/>
        <w:b w:val="0"/>
      </w:rPr>
      <w:t>APPENDIX 3</w:t>
    </w:r>
    <w:r>
      <w:rPr>
        <w:rStyle w:val="PageNumber"/>
        <w:b w:val="0"/>
      </w:rPr>
      <w:t>.13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EC6" w14:textId="78C59265" w:rsidR="009C487F" w:rsidRPr="00FD40DF" w:rsidRDefault="00C04971" w:rsidP="00FB55E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9C487F">
      <w:rPr>
        <w:rStyle w:val="PageNumber"/>
        <w:b w:val="0"/>
      </w:rPr>
      <w:t>.13-</w:t>
    </w:r>
    <w:r w:rsidR="009C487F" w:rsidRPr="00FD40DF">
      <w:rPr>
        <w:rStyle w:val="PageNumber"/>
        <w:b w:val="0"/>
      </w:rPr>
      <w:fldChar w:fldCharType="begin"/>
    </w:r>
    <w:r w:rsidR="009C487F" w:rsidRPr="00FD40DF">
      <w:rPr>
        <w:rStyle w:val="PageNumber"/>
        <w:b w:val="0"/>
      </w:rPr>
      <w:instrText xml:space="preserve">PAGE  </w:instrText>
    </w:r>
    <w:r w:rsidR="009C487F" w:rsidRPr="00FD40DF">
      <w:rPr>
        <w:rStyle w:val="PageNumber"/>
        <w:b w:val="0"/>
      </w:rPr>
      <w:fldChar w:fldCharType="separate"/>
    </w:r>
    <w:r w:rsidR="00A117F3">
      <w:rPr>
        <w:rStyle w:val="PageNumber"/>
        <w:b w:val="0"/>
        <w:noProof/>
      </w:rPr>
      <w:t>1</w:t>
    </w:r>
    <w:r w:rsidR="009C487F" w:rsidRPr="00FD40DF">
      <w:rPr>
        <w:rStyle w:val="PageNumber"/>
        <w:b w:val="0"/>
      </w:rPr>
      <w:fldChar w:fldCharType="end"/>
    </w:r>
  </w:p>
  <w:p w14:paraId="05C2CEC7" w14:textId="226BBFD8" w:rsidR="009C487F" w:rsidRPr="00467484" w:rsidRDefault="009C487F" w:rsidP="000A6102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467484">
      <w:rPr>
        <w:rStyle w:val="PageNumber"/>
        <w:b w:val="0"/>
      </w:rPr>
      <w:t xml:space="preserve">APPENDIX </w:t>
    </w:r>
    <w:r w:rsidR="00C04971">
      <w:rPr>
        <w:rStyle w:val="PageNumber"/>
        <w:b w:val="0"/>
      </w:rPr>
      <w:t>8</w:t>
    </w:r>
    <w:r>
      <w:rPr>
        <w:rStyle w:val="PageNumber"/>
        <w:b w:val="0"/>
      </w:rPr>
      <w:t>.13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ECB" w14:textId="77777777" w:rsidR="009C487F" w:rsidRDefault="009C487F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2CEBD" w14:textId="77777777" w:rsidR="009C487F" w:rsidRDefault="009C487F">
      <w:r>
        <w:separator/>
      </w:r>
    </w:p>
  </w:footnote>
  <w:footnote w:type="continuationSeparator" w:id="0">
    <w:p w14:paraId="05C2CEBE" w14:textId="77777777" w:rsidR="009C487F" w:rsidRDefault="009C487F">
      <w:r>
        <w:continuationSeparator/>
      </w:r>
    </w:p>
  </w:footnote>
  <w:footnote w:id="1">
    <w:p w14:paraId="05C2CECC" w14:textId="23F64A0D" w:rsidR="009C487F" w:rsidRPr="005E1E8E" w:rsidRDefault="009C487F">
      <w:pPr>
        <w:spacing w:after="115"/>
        <w:rPr>
          <w:sz w:val="20"/>
        </w:rPr>
      </w:pPr>
      <w:r w:rsidRPr="005E1E8E"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 w:rsidRPr="005E1E8E">
        <w:rPr>
          <w:sz w:val="20"/>
        </w:rPr>
        <w:t xml:space="preserve">For subsistence transactions, rp 22 and 52-53 </w:t>
      </w:r>
      <w:r>
        <w:rPr>
          <w:sz w:val="20"/>
        </w:rPr>
        <w:t>shall</w:t>
      </w:r>
      <w:r w:rsidRPr="005E1E8E">
        <w:rPr>
          <w:sz w:val="20"/>
        </w:rPr>
        <w:t xml:space="preserve"> contain the date packed indicator code</w:t>
      </w:r>
      <w:r>
        <w:rPr>
          <w:sz w:val="20"/>
        </w:rPr>
        <w:t>.</w:t>
      </w:r>
    </w:p>
  </w:footnote>
  <w:footnote w:id="2">
    <w:p w14:paraId="05C2CECE" w14:textId="005E0758" w:rsidR="009C487F" w:rsidRPr="00D310A0" w:rsidRDefault="009C487F" w:rsidP="006C7D24">
      <w:pPr>
        <w:rPr>
          <w:sz w:val="20"/>
        </w:rPr>
      </w:pPr>
      <w:r w:rsidRPr="00A362A0">
        <w:rPr>
          <w:rStyle w:val="FootnoteReference"/>
          <w:sz w:val="20"/>
        </w:rPr>
        <w:footnoteRef/>
      </w:r>
      <w:r w:rsidR="00F24759">
        <w:rPr>
          <w:sz w:val="20"/>
        </w:rPr>
        <w:t xml:space="preserve"> </w:t>
      </w:r>
      <w:r w:rsidRPr="006C7D24">
        <w:rPr>
          <w:sz w:val="20"/>
        </w:rPr>
        <w:t>Identification of FSCAP codes on the DTID and disposal release transactions last reported as not implemented by USA and USN.  Refer to Approved DLSS/DLMS Change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EC1" w14:textId="77777777" w:rsidR="009C487F" w:rsidRDefault="009C487F" w:rsidP="004E4281">
    <w:pPr>
      <w:pStyle w:val="Header"/>
      <w:jc w:val="right"/>
      <w:rPr>
        <w:i/>
        <w:u w:val="none"/>
      </w:rPr>
    </w:pPr>
    <w:r w:rsidRPr="007761EF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05C2CEC2" w14:textId="77777777" w:rsidR="009C487F" w:rsidRPr="007761EF" w:rsidRDefault="009C487F" w:rsidP="004E4281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AF86C" w14:textId="06480AA5" w:rsidR="00C04971" w:rsidRDefault="00C04971" w:rsidP="00C04971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A117F3">
      <w:rPr>
        <w:i/>
      </w:rPr>
      <w:t>November 26</w:t>
    </w:r>
    <w:r>
      <w:rPr>
        <w:rFonts w:cs="Arial"/>
        <w:i/>
        <w:szCs w:val="24"/>
      </w:rPr>
      <w:t>, 2019</w:t>
    </w:r>
  </w:p>
  <w:p w14:paraId="05C2CEC3" w14:textId="67E75929" w:rsidR="009C487F" w:rsidRPr="00824318" w:rsidRDefault="00C04971" w:rsidP="00C04971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EC8" w14:textId="77777777" w:rsidR="009C487F" w:rsidRDefault="009C487F">
    <w:pPr>
      <w:pStyle w:val="Header"/>
      <w:jc w:val="right"/>
      <w:rPr>
        <w:b/>
        <w:u w:val="none"/>
      </w:rPr>
    </w:pPr>
  </w:p>
  <w:p w14:paraId="05C2CEC9" w14:textId="77777777" w:rsidR="009C487F" w:rsidRDefault="009C487F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5C2CECA" w14:textId="77777777" w:rsidR="009C487F" w:rsidRDefault="009C487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CDC4462"/>
    <w:lvl w:ilvl="0">
      <w:start w:val="34"/>
      <w:numFmt w:val="none"/>
      <w:pStyle w:val="Heading1"/>
      <w:suff w:val="nothing"/>
      <w:lvlText w:val="AP3.13 APPENDIX 3.1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E8E"/>
    <w:rsid w:val="000606E2"/>
    <w:rsid w:val="000634A7"/>
    <w:rsid w:val="000A6102"/>
    <w:rsid w:val="000B057D"/>
    <w:rsid w:val="000D466F"/>
    <w:rsid w:val="00104EFE"/>
    <w:rsid w:val="00153B3C"/>
    <w:rsid w:val="00172CFB"/>
    <w:rsid w:val="00181AED"/>
    <w:rsid w:val="001948EE"/>
    <w:rsid w:val="001B73B2"/>
    <w:rsid w:val="00207146"/>
    <w:rsid w:val="0027194F"/>
    <w:rsid w:val="00293FB5"/>
    <w:rsid w:val="00312D1F"/>
    <w:rsid w:val="003E3F3B"/>
    <w:rsid w:val="004004B2"/>
    <w:rsid w:val="004206C7"/>
    <w:rsid w:val="004422FE"/>
    <w:rsid w:val="00463B72"/>
    <w:rsid w:val="00467484"/>
    <w:rsid w:val="00471551"/>
    <w:rsid w:val="004726D5"/>
    <w:rsid w:val="004E4281"/>
    <w:rsid w:val="004E4FC3"/>
    <w:rsid w:val="00564C4B"/>
    <w:rsid w:val="005968B0"/>
    <w:rsid w:val="005A5EB0"/>
    <w:rsid w:val="005C20E0"/>
    <w:rsid w:val="005E1E8E"/>
    <w:rsid w:val="005E2264"/>
    <w:rsid w:val="005F03FD"/>
    <w:rsid w:val="005F4634"/>
    <w:rsid w:val="006625FB"/>
    <w:rsid w:val="00665211"/>
    <w:rsid w:val="00692130"/>
    <w:rsid w:val="006C7D24"/>
    <w:rsid w:val="007004EB"/>
    <w:rsid w:val="007433DE"/>
    <w:rsid w:val="00770B44"/>
    <w:rsid w:val="007761EF"/>
    <w:rsid w:val="00797009"/>
    <w:rsid w:val="007F5CB0"/>
    <w:rsid w:val="00824318"/>
    <w:rsid w:val="008316F1"/>
    <w:rsid w:val="008F45DD"/>
    <w:rsid w:val="009109A0"/>
    <w:rsid w:val="009325BA"/>
    <w:rsid w:val="009955B9"/>
    <w:rsid w:val="009C487F"/>
    <w:rsid w:val="00A117F3"/>
    <w:rsid w:val="00A35D99"/>
    <w:rsid w:val="00A362A0"/>
    <w:rsid w:val="00A44108"/>
    <w:rsid w:val="00A4567B"/>
    <w:rsid w:val="00AA0AB3"/>
    <w:rsid w:val="00C04971"/>
    <w:rsid w:val="00C14E74"/>
    <w:rsid w:val="00C30AAD"/>
    <w:rsid w:val="00C7338B"/>
    <w:rsid w:val="00C76FAC"/>
    <w:rsid w:val="00D310A0"/>
    <w:rsid w:val="00D36B38"/>
    <w:rsid w:val="00D5568A"/>
    <w:rsid w:val="00D559FE"/>
    <w:rsid w:val="00D63C1A"/>
    <w:rsid w:val="00E166BD"/>
    <w:rsid w:val="00E73D71"/>
    <w:rsid w:val="00EA60C8"/>
    <w:rsid w:val="00F009DD"/>
    <w:rsid w:val="00F24759"/>
    <w:rsid w:val="00F2550A"/>
    <w:rsid w:val="00F43F86"/>
    <w:rsid w:val="00FB55E9"/>
    <w:rsid w:val="00FC73D2"/>
    <w:rsid w:val="00FD40DF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2CE55"/>
  <w15:docId w15:val="{6C683E8A-5042-43B5-A211-7695E557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F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422F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422F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422F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422F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422F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422F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422F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422F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422FE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4422FE"/>
    <w:rPr>
      <w:vertAlign w:val="superscript"/>
    </w:rPr>
  </w:style>
  <w:style w:type="character" w:styleId="FootnoteReference">
    <w:name w:val="footnote reference"/>
    <w:semiHidden/>
    <w:rsid w:val="004422FE"/>
    <w:rPr>
      <w:vertAlign w:val="superscript"/>
    </w:rPr>
  </w:style>
  <w:style w:type="character" w:styleId="PageNumber">
    <w:name w:val="page number"/>
    <w:rsid w:val="004422FE"/>
    <w:rPr>
      <w:rFonts w:ascii="Arial" w:hAnsi="Arial"/>
      <w:b/>
      <w:sz w:val="24"/>
    </w:rPr>
  </w:style>
  <w:style w:type="paragraph" w:styleId="Footer">
    <w:name w:val="footer"/>
    <w:basedOn w:val="Normal"/>
    <w:rsid w:val="004422F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422F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422FE"/>
    <w:rPr>
      <w:sz w:val="20"/>
    </w:rPr>
  </w:style>
  <w:style w:type="paragraph" w:customStyle="1" w:styleId="SubTitle">
    <w:name w:val="Sub Title"/>
    <w:basedOn w:val="Title"/>
    <w:rsid w:val="004422FE"/>
    <w:rPr>
      <w:u w:val="single"/>
    </w:rPr>
  </w:style>
  <w:style w:type="paragraph" w:styleId="Title">
    <w:name w:val="Title"/>
    <w:basedOn w:val="Normal"/>
    <w:next w:val="Header"/>
    <w:qFormat/>
    <w:rsid w:val="004422F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422F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422FE"/>
    <w:pPr>
      <w:spacing w:after="160"/>
      <w:ind w:left="1440"/>
    </w:pPr>
  </w:style>
  <w:style w:type="paragraph" w:styleId="BodyText">
    <w:name w:val="Body Text"/>
    <w:basedOn w:val="Normal"/>
    <w:rsid w:val="004422FE"/>
    <w:pPr>
      <w:spacing w:after="120"/>
    </w:pPr>
  </w:style>
  <w:style w:type="paragraph" w:styleId="ListBullet">
    <w:name w:val="List Bullet"/>
    <w:basedOn w:val="Normal"/>
    <w:rsid w:val="004422FE"/>
    <w:pPr>
      <w:spacing w:after="120"/>
      <w:ind w:left="360" w:hanging="360"/>
    </w:pPr>
  </w:style>
  <w:style w:type="paragraph" w:styleId="ListBullet2">
    <w:name w:val="List Bullet 2"/>
    <w:basedOn w:val="Normal"/>
    <w:rsid w:val="004422FE"/>
    <w:pPr>
      <w:ind w:left="720" w:hanging="360"/>
    </w:pPr>
  </w:style>
  <w:style w:type="paragraph" w:styleId="ListBullet3">
    <w:name w:val="List Bullet 3"/>
    <w:basedOn w:val="Normal"/>
    <w:rsid w:val="004422FE"/>
    <w:pPr>
      <w:ind w:left="1080" w:hanging="360"/>
    </w:pPr>
  </w:style>
  <w:style w:type="paragraph" w:styleId="ListNumber">
    <w:name w:val="List Number"/>
    <w:basedOn w:val="Normal"/>
    <w:rsid w:val="004422FE"/>
    <w:pPr>
      <w:ind w:left="360" w:hanging="360"/>
    </w:pPr>
  </w:style>
  <w:style w:type="paragraph" w:styleId="ListNumber2">
    <w:name w:val="List Number 2"/>
    <w:basedOn w:val="Normal"/>
    <w:rsid w:val="004422FE"/>
    <w:pPr>
      <w:ind w:left="720" w:hanging="360"/>
    </w:pPr>
  </w:style>
  <w:style w:type="paragraph" w:styleId="ListNumber3">
    <w:name w:val="List Number 3"/>
    <w:basedOn w:val="Normal"/>
    <w:rsid w:val="004422FE"/>
    <w:pPr>
      <w:ind w:left="1080" w:hanging="360"/>
    </w:pPr>
  </w:style>
  <w:style w:type="paragraph" w:styleId="DocumentMap">
    <w:name w:val="Document Map"/>
    <w:basedOn w:val="Normal"/>
    <w:semiHidden/>
    <w:rsid w:val="004422F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422FE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4422FE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4422FE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4422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22FE"/>
    <w:rPr>
      <w:sz w:val="20"/>
    </w:rPr>
  </w:style>
  <w:style w:type="paragraph" w:styleId="BalloonText">
    <w:name w:val="Balloon Text"/>
    <w:basedOn w:val="Normal"/>
    <w:semiHidden/>
    <w:rsid w:val="005E1E8E"/>
    <w:rPr>
      <w:rFonts w:ascii="Tahoma" w:hAnsi="Tahoma" w:cs="Tahoma"/>
      <w:sz w:val="16"/>
      <w:szCs w:val="16"/>
    </w:rPr>
  </w:style>
  <w:style w:type="character" w:styleId="Hyperlink">
    <w:name w:val="Hyperlink"/>
    <w:rsid w:val="007F5CB0"/>
    <w:rPr>
      <w:color w:val="0000FF"/>
      <w:u w:val="single"/>
    </w:rPr>
  </w:style>
  <w:style w:type="character" w:styleId="FollowedHyperlink">
    <w:name w:val="FollowedHyperlink"/>
    <w:rsid w:val="00C7338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81AED"/>
    <w:rPr>
      <w:b/>
      <w:bCs/>
    </w:rPr>
  </w:style>
  <w:style w:type="character" w:customStyle="1" w:styleId="CommentTextChar">
    <w:name w:val="Comment Text Char"/>
    <w:link w:val="CommentText"/>
    <w:semiHidden/>
    <w:rsid w:val="00181AED"/>
    <w:rPr>
      <w:rFonts w:ascii="Arial" w:hAnsi="Arial"/>
    </w:rPr>
  </w:style>
  <w:style w:type="character" w:customStyle="1" w:styleId="CommentSubjectChar">
    <w:name w:val="Comment Subject Char"/>
    <w:link w:val="CommentSubject"/>
    <w:rsid w:val="00181AE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81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8ED4-A421-446D-9DCC-BB71FEF60287}"/>
</file>

<file path=customXml/itemProps2.xml><?xml version="1.0" encoding="utf-8"?>
<ds:datastoreItem xmlns:ds="http://schemas.openxmlformats.org/officeDocument/2006/customXml" ds:itemID="{F4D6D744-DB8B-4B24-B244-55DC22D9FA0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CC3C5-AAB9-449D-825B-8E3B08D68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169AC-11F1-4D4E-AAAE-B9C2FA7B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72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8.13 - Disposal Release Order, Follow-up, or Cancellation</vt:lpstr>
    </vt:vector>
  </TitlesOfParts>
  <Company>DLA Logistics Management Standards Office</Company>
  <LinksUpToDate>false</LinksUpToDate>
  <CharactersWithSpaces>3544</CharactersWithSpaces>
  <SharedDoc>false</SharedDoc>
  <HLinks>
    <vt:vector size="6" baseType="variant">
      <vt:variant>
        <vt:i4>4849681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8.13 - Disposal Release Order, Follow-up, or Cancellation</dc:title>
  <dc:subject/>
  <dc:creator>Heidi Daverede</dc:creator>
  <cp:keywords/>
  <cp:lastModifiedBy>Nguyen, Bao X CTR DLA INFO OPERATIONS (USA)</cp:lastModifiedBy>
  <cp:revision>20</cp:revision>
  <cp:lastPrinted>2007-10-26T13:15:00Z</cp:lastPrinted>
  <dcterms:created xsi:type="dcterms:W3CDTF">2009-12-17T20:03:00Z</dcterms:created>
  <dcterms:modified xsi:type="dcterms:W3CDTF">2019-11-26T21:57:00Z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2301000</vt:r8>
  </property>
</Properties>
</file>