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15867" w14:textId="020F89DF" w:rsidR="00AE5523" w:rsidRPr="00CC3943" w:rsidRDefault="006874D3" w:rsidP="003353BC">
      <w:pPr>
        <w:spacing w:after="240"/>
        <w:jc w:val="center"/>
        <w:rPr>
          <w:b/>
          <w:sz w:val="44"/>
          <w:szCs w:val="44"/>
          <w:u w:val="single"/>
        </w:rPr>
      </w:pPr>
      <w:r>
        <w:rPr>
          <w:b/>
          <w:sz w:val="44"/>
          <w:szCs w:val="44"/>
          <w:u w:val="single"/>
        </w:rPr>
        <w:t>AP8</w:t>
      </w:r>
      <w:r w:rsidR="00FD3F13" w:rsidRPr="00CC3943">
        <w:rPr>
          <w:b/>
          <w:sz w:val="44"/>
          <w:szCs w:val="44"/>
          <w:u w:val="single"/>
        </w:rPr>
        <w:t>.19</w:t>
      </w:r>
      <w:r w:rsidR="003C265D" w:rsidRPr="00CC3943">
        <w:rPr>
          <w:b/>
          <w:sz w:val="44"/>
          <w:szCs w:val="44"/>
          <w:u w:val="single"/>
        </w:rPr>
        <w:t>.</w:t>
      </w:r>
      <w:r w:rsidR="00FD3F13" w:rsidRPr="00CC3943">
        <w:rPr>
          <w:b/>
          <w:sz w:val="44"/>
          <w:szCs w:val="44"/>
          <w:u w:val="single"/>
        </w:rPr>
        <w:t xml:space="preserve"> APPENDIX 3.19</w:t>
      </w:r>
      <w:bookmarkStart w:id="0" w:name="A2"/>
    </w:p>
    <w:p w14:paraId="01215868" w14:textId="77777777" w:rsidR="00AE5523" w:rsidRPr="00D763E0" w:rsidRDefault="00F54DD5" w:rsidP="003353BC">
      <w:pPr>
        <w:spacing w:after="360"/>
        <w:jc w:val="center"/>
        <w:rPr>
          <w:b/>
          <w:sz w:val="36"/>
          <w:szCs w:val="36"/>
          <w:u w:val="single"/>
        </w:rPr>
      </w:pPr>
      <w:r>
        <w:rPr>
          <w:b/>
          <w:sz w:val="36"/>
          <w:u w:val="single"/>
        </w:rPr>
        <w:t>SHIPMENT STATUS</w:t>
      </w:r>
    </w:p>
    <w:tbl>
      <w:tblPr>
        <w:tblW w:w="10080" w:type="dxa"/>
        <w:jc w:val="center"/>
        <w:tblLayout w:type="fixed"/>
        <w:tblCellMar>
          <w:left w:w="120" w:type="dxa"/>
          <w:right w:w="120" w:type="dxa"/>
        </w:tblCellMar>
        <w:tblLook w:val="0000" w:firstRow="0" w:lastRow="0" w:firstColumn="0" w:lastColumn="0" w:noHBand="0" w:noVBand="0"/>
      </w:tblPr>
      <w:tblGrid>
        <w:gridCol w:w="3360"/>
        <w:gridCol w:w="1770"/>
        <w:gridCol w:w="4950"/>
      </w:tblGrid>
      <w:tr w:rsidR="00F54DD5" w:rsidRPr="006E33C4" w14:paraId="0121586D" w14:textId="77777777" w:rsidTr="006E33C4">
        <w:trPr>
          <w:cantSplit/>
          <w:trHeight w:val="403"/>
          <w:tblHeader/>
          <w:jc w:val="center"/>
        </w:trPr>
        <w:tc>
          <w:tcPr>
            <w:tcW w:w="3360" w:type="dxa"/>
            <w:tcBorders>
              <w:top w:val="nil"/>
              <w:left w:val="nil"/>
              <w:bottom w:val="nil"/>
              <w:right w:val="nil"/>
            </w:tcBorders>
            <w:vAlign w:val="bottom"/>
          </w:tcPr>
          <w:p w14:paraId="01215869" w14:textId="77777777" w:rsidR="00F54DD5" w:rsidRPr="006E33C4" w:rsidRDefault="00F54DD5" w:rsidP="006E33C4">
            <w:pPr>
              <w:spacing w:before="60" w:after="120"/>
            </w:pPr>
            <w:r w:rsidRPr="006E33C4">
              <w:t>FIELD LEGEND</w:t>
            </w:r>
          </w:p>
        </w:tc>
        <w:tc>
          <w:tcPr>
            <w:tcW w:w="1770" w:type="dxa"/>
            <w:tcBorders>
              <w:top w:val="nil"/>
              <w:left w:val="nil"/>
              <w:bottom w:val="nil"/>
              <w:right w:val="nil"/>
            </w:tcBorders>
          </w:tcPr>
          <w:p w14:paraId="0121586A" w14:textId="77777777" w:rsidR="00F54DD5" w:rsidRPr="006E33C4" w:rsidRDefault="00F54DD5" w:rsidP="006E33C4">
            <w:pPr>
              <w:spacing w:before="60" w:after="120"/>
              <w:jc w:val="center"/>
            </w:pPr>
            <w:r w:rsidRPr="006E33C4">
              <w:t>RECORD</w:t>
            </w:r>
          </w:p>
          <w:p w14:paraId="0121586B" w14:textId="77777777" w:rsidR="00F54DD5" w:rsidRPr="006E33C4" w:rsidRDefault="00F54DD5" w:rsidP="006E33C4">
            <w:pPr>
              <w:spacing w:after="120"/>
              <w:jc w:val="center"/>
            </w:pPr>
            <w:r w:rsidRPr="006E33C4">
              <w:t>POSITION(S)</w:t>
            </w:r>
          </w:p>
        </w:tc>
        <w:tc>
          <w:tcPr>
            <w:tcW w:w="4950" w:type="dxa"/>
            <w:tcBorders>
              <w:top w:val="nil"/>
              <w:left w:val="nil"/>
              <w:bottom w:val="nil"/>
              <w:right w:val="nil"/>
            </w:tcBorders>
            <w:vAlign w:val="bottom"/>
          </w:tcPr>
          <w:p w14:paraId="0121586C" w14:textId="77777777" w:rsidR="00F54DD5" w:rsidRPr="006E33C4" w:rsidRDefault="00F54DD5" w:rsidP="006E33C4">
            <w:pPr>
              <w:spacing w:before="60" w:after="120"/>
            </w:pPr>
            <w:r w:rsidRPr="006E33C4">
              <w:t>ENTRY AND INSTRUCTIONS</w:t>
            </w:r>
          </w:p>
        </w:tc>
      </w:tr>
      <w:tr w:rsidR="00F54DD5" w:rsidRPr="006E33C4" w14:paraId="01215871" w14:textId="77777777" w:rsidTr="006E33C4">
        <w:trPr>
          <w:cantSplit/>
          <w:trHeight w:val="403"/>
          <w:jc w:val="center"/>
        </w:trPr>
        <w:tc>
          <w:tcPr>
            <w:tcW w:w="3360" w:type="dxa"/>
            <w:tcBorders>
              <w:top w:val="nil"/>
              <w:left w:val="nil"/>
              <w:bottom w:val="nil"/>
              <w:right w:val="nil"/>
            </w:tcBorders>
          </w:tcPr>
          <w:p w14:paraId="0121586E" w14:textId="73B643C9" w:rsidR="00F54DD5" w:rsidRPr="006E33C4" w:rsidRDefault="00F54DD5" w:rsidP="00F54DD5">
            <w:pPr>
              <w:spacing w:before="60" w:after="60"/>
            </w:pPr>
            <w:r w:rsidRPr="006E33C4">
              <w:t>Document Identifier</w:t>
            </w:r>
            <w:r w:rsidR="00C47CCB" w:rsidRPr="006E33C4">
              <w:t xml:space="preserve"> Code</w:t>
            </w:r>
          </w:p>
        </w:tc>
        <w:tc>
          <w:tcPr>
            <w:tcW w:w="1770" w:type="dxa"/>
            <w:tcBorders>
              <w:top w:val="nil"/>
              <w:left w:val="nil"/>
              <w:bottom w:val="nil"/>
              <w:right w:val="nil"/>
            </w:tcBorders>
          </w:tcPr>
          <w:p w14:paraId="0121586F" w14:textId="77777777" w:rsidR="00F54DD5" w:rsidRPr="006E33C4" w:rsidRDefault="00F54DD5" w:rsidP="00F54DD5">
            <w:pPr>
              <w:spacing w:before="60" w:after="60"/>
              <w:jc w:val="center"/>
            </w:pPr>
            <w:r w:rsidRPr="006E33C4">
              <w:t>1-3</w:t>
            </w:r>
          </w:p>
        </w:tc>
        <w:tc>
          <w:tcPr>
            <w:tcW w:w="4950" w:type="dxa"/>
            <w:tcBorders>
              <w:top w:val="nil"/>
              <w:left w:val="nil"/>
              <w:bottom w:val="nil"/>
              <w:right w:val="nil"/>
            </w:tcBorders>
          </w:tcPr>
          <w:p w14:paraId="01215870" w14:textId="57F59878" w:rsidR="00F54DD5" w:rsidRPr="006E33C4" w:rsidRDefault="00F54DD5" w:rsidP="006C6A62">
            <w:pPr>
              <w:spacing w:before="60" w:after="60"/>
            </w:pPr>
            <w:r w:rsidRPr="006E33C4">
              <w:t xml:space="preserve">Enter the </w:t>
            </w:r>
            <w:r w:rsidR="00816924" w:rsidRPr="006E33C4">
              <w:t xml:space="preserve">DIC </w:t>
            </w:r>
            <w:r w:rsidRPr="006E33C4">
              <w:t>applicable to the shipment status (</w:t>
            </w:r>
            <w:r w:rsidR="001D7933" w:rsidRPr="006E33C4">
              <w:t>DIC</w:t>
            </w:r>
            <w:r w:rsidRPr="006E33C4">
              <w:t xml:space="preserve"> AS1-6, AS8, or ASY) or reply to cancellation request-shipment status (AU1-5</w:t>
            </w:r>
            <w:r w:rsidR="006C6A62">
              <w:t xml:space="preserve"> </w:t>
            </w:r>
            <w:r w:rsidRPr="006E33C4">
              <w:t>or AU8)</w:t>
            </w:r>
            <w:r w:rsidR="008279C2" w:rsidRPr="006E33C4">
              <w:t>.</w:t>
            </w:r>
            <w:r w:rsidR="00AA1D9B" w:rsidRPr="006E33C4">
              <w:rPr>
                <w:rStyle w:val="FootnoteReference"/>
              </w:rPr>
              <w:footnoteReference w:id="1"/>
            </w:r>
            <w:r w:rsidR="00300A06" w:rsidRPr="006E33C4">
              <w:t xml:space="preserve"> </w:t>
            </w:r>
          </w:p>
        </w:tc>
      </w:tr>
      <w:tr w:rsidR="00F54DD5" w:rsidRPr="006E33C4" w14:paraId="01215875" w14:textId="77777777" w:rsidTr="006E33C4">
        <w:trPr>
          <w:cantSplit/>
          <w:trHeight w:val="403"/>
          <w:jc w:val="center"/>
        </w:trPr>
        <w:tc>
          <w:tcPr>
            <w:tcW w:w="3360" w:type="dxa"/>
            <w:tcBorders>
              <w:top w:val="nil"/>
              <w:left w:val="nil"/>
              <w:bottom w:val="nil"/>
              <w:right w:val="nil"/>
            </w:tcBorders>
          </w:tcPr>
          <w:p w14:paraId="01215872" w14:textId="32536E6E" w:rsidR="00F54DD5" w:rsidRPr="006E33C4" w:rsidRDefault="00F54DD5" w:rsidP="00F54DD5">
            <w:pPr>
              <w:spacing w:before="60" w:after="60"/>
            </w:pPr>
            <w:r w:rsidRPr="006E33C4">
              <w:t>Routing Identifier</w:t>
            </w:r>
            <w:r w:rsidR="00C47CCB" w:rsidRPr="006E33C4">
              <w:t xml:space="preserve"> Code</w:t>
            </w:r>
            <w:r w:rsidR="001D38BD" w:rsidRPr="006E33C4">
              <w:rPr>
                <w:rStyle w:val="FootnoteReference"/>
              </w:rPr>
              <w:footnoteReference w:id="2"/>
            </w:r>
            <w:r w:rsidR="00B93C64" w:rsidRPr="006E33C4">
              <w:rPr>
                <w:vertAlign w:val="superscript"/>
              </w:rPr>
              <w:t>,</w:t>
            </w:r>
            <w:r w:rsidR="008309D6" w:rsidRPr="006E33C4">
              <w:rPr>
                <w:vertAlign w:val="superscript"/>
              </w:rPr>
              <w:t xml:space="preserve"> </w:t>
            </w:r>
            <w:r w:rsidR="008309D6" w:rsidRPr="006E33C4">
              <w:rPr>
                <w:rStyle w:val="FootnoteReference"/>
              </w:rPr>
              <w:footnoteReference w:id="3"/>
            </w:r>
          </w:p>
        </w:tc>
        <w:tc>
          <w:tcPr>
            <w:tcW w:w="1770" w:type="dxa"/>
            <w:tcBorders>
              <w:top w:val="nil"/>
              <w:left w:val="nil"/>
              <w:bottom w:val="nil"/>
              <w:right w:val="nil"/>
            </w:tcBorders>
          </w:tcPr>
          <w:p w14:paraId="01215873" w14:textId="77777777" w:rsidR="00F54DD5" w:rsidRPr="006E33C4" w:rsidRDefault="00F54DD5" w:rsidP="00F54DD5">
            <w:pPr>
              <w:spacing w:before="60" w:after="60"/>
              <w:jc w:val="center"/>
            </w:pPr>
            <w:r w:rsidRPr="006E33C4">
              <w:t>4-6</w:t>
            </w:r>
          </w:p>
        </w:tc>
        <w:tc>
          <w:tcPr>
            <w:tcW w:w="4950" w:type="dxa"/>
            <w:tcBorders>
              <w:top w:val="nil"/>
              <w:left w:val="nil"/>
              <w:bottom w:val="nil"/>
              <w:right w:val="nil"/>
            </w:tcBorders>
          </w:tcPr>
          <w:p w14:paraId="01215874" w14:textId="3B842089" w:rsidR="00F54DD5" w:rsidRPr="006E33C4" w:rsidRDefault="00F54DD5" w:rsidP="00A92C7E">
            <w:pPr>
              <w:spacing w:before="60" w:after="60"/>
            </w:pPr>
            <w:r w:rsidRPr="006E33C4">
              <w:t xml:space="preserve">Enter the </w:t>
            </w:r>
            <w:r w:rsidR="001D7933" w:rsidRPr="006E33C4">
              <w:t>RIC</w:t>
            </w:r>
            <w:r w:rsidRPr="006E33C4">
              <w:t xml:space="preserve"> of the </w:t>
            </w:r>
            <w:r w:rsidR="00C47CCB" w:rsidRPr="006E33C4">
              <w:t xml:space="preserve">source of </w:t>
            </w:r>
            <w:r w:rsidRPr="006E33C4">
              <w:t xml:space="preserve">supply </w:t>
            </w:r>
            <w:r w:rsidR="00613D18" w:rsidRPr="006E33C4">
              <w:t>that</w:t>
            </w:r>
            <w:r w:rsidRPr="006E33C4">
              <w:t xml:space="preserve"> generated th</w:t>
            </w:r>
            <w:bookmarkStart w:id="1" w:name="_GoBack"/>
            <w:bookmarkEnd w:id="1"/>
            <w:r w:rsidRPr="006E33C4">
              <w:t xml:space="preserve">e </w:t>
            </w:r>
            <w:r w:rsidR="00C47CCB" w:rsidRPr="006E33C4">
              <w:t>lateral redistribution order (LRO)</w:t>
            </w:r>
            <w:r w:rsidRPr="006E33C4">
              <w:t>/</w:t>
            </w:r>
            <w:r w:rsidR="00C47CCB" w:rsidRPr="006E33C4">
              <w:t>materiel release order (</w:t>
            </w:r>
            <w:r w:rsidRPr="006E33C4">
              <w:t>MRO</w:t>
            </w:r>
            <w:r w:rsidR="00C47CCB" w:rsidRPr="006E33C4">
              <w:t>)</w:t>
            </w:r>
            <w:r w:rsidRPr="006E33C4">
              <w:t>/cancellation request/</w:t>
            </w:r>
            <w:r w:rsidR="00C47CCB" w:rsidRPr="006E33C4">
              <w:t>disposal release order (DRO)</w:t>
            </w:r>
            <w:r w:rsidRPr="006E33C4">
              <w:t>/</w:t>
            </w:r>
            <w:r w:rsidR="001D7933" w:rsidRPr="006E33C4">
              <w:t>DIC</w:t>
            </w:r>
            <w:r w:rsidRPr="006E33C4">
              <w:t xml:space="preserve"> FTR or the shipping activity if the shipment was not initiated by a supply source LRO/MRO cancellation request/DRO/</w:t>
            </w:r>
            <w:r w:rsidR="001D7933" w:rsidRPr="006E33C4">
              <w:t>DIC</w:t>
            </w:r>
            <w:r w:rsidRPr="006E33C4">
              <w:t xml:space="preserve"> FTR.  If a disposal shipment was not initiated by a </w:t>
            </w:r>
            <w:r w:rsidR="00C47CCB" w:rsidRPr="006E33C4">
              <w:t xml:space="preserve">source of </w:t>
            </w:r>
            <w:r w:rsidRPr="006E33C4">
              <w:t>supply</w:t>
            </w:r>
            <w:r w:rsidR="00C47CCB" w:rsidRPr="006E33C4">
              <w:t xml:space="preserve"> </w:t>
            </w:r>
            <w:r w:rsidRPr="006E33C4">
              <w:t>DRO/</w:t>
            </w:r>
            <w:r w:rsidR="001D7933" w:rsidRPr="006E33C4">
              <w:t>DIC</w:t>
            </w:r>
            <w:r w:rsidRPr="006E33C4">
              <w:t xml:space="preserve"> FTR and the shipping activity has no </w:t>
            </w:r>
            <w:r w:rsidR="001D7933" w:rsidRPr="006E33C4">
              <w:t>RIC</w:t>
            </w:r>
            <w:r w:rsidRPr="006E33C4">
              <w:t xml:space="preserve">, leave blank.  If used as a </w:t>
            </w:r>
            <w:r w:rsidR="001D7933" w:rsidRPr="006E33C4">
              <w:t>DIC</w:t>
            </w:r>
            <w:r w:rsidRPr="006E33C4">
              <w:t xml:space="preserve"> AS6, indicate the </w:t>
            </w:r>
            <w:r w:rsidR="001D7933" w:rsidRPr="006E33C4">
              <w:t>RIC</w:t>
            </w:r>
            <w:r w:rsidRPr="006E33C4">
              <w:t xml:space="preserve"> of the </w:t>
            </w:r>
            <w:r w:rsidR="00C47CCB" w:rsidRPr="006E33C4">
              <w:t>inventory control point (</w:t>
            </w:r>
            <w:r w:rsidRPr="006E33C4">
              <w:t>ICP</w:t>
            </w:r>
            <w:r w:rsidR="00C47CCB" w:rsidRPr="006E33C4">
              <w:t>)</w:t>
            </w:r>
            <w:r w:rsidRPr="006E33C4">
              <w:t>/</w:t>
            </w:r>
            <w:r w:rsidR="00C47CCB" w:rsidRPr="006E33C4">
              <w:t>integrated materiel manager (</w:t>
            </w:r>
            <w:r w:rsidRPr="006E33C4">
              <w:t>IMM</w:t>
            </w:r>
            <w:r w:rsidR="00C47CCB" w:rsidRPr="006E33C4">
              <w:t xml:space="preserve">) </w:t>
            </w:r>
            <w:r w:rsidRPr="006E33C4">
              <w:t xml:space="preserve">to which the transaction </w:t>
            </w:r>
            <w:r w:rsidR="00A92C7E">
              <w:t>will</w:t>
            </w:r>
            <w:r w:rsidRPr="006E33C4">
              <w:t xml:space="preserve"> be sent.</w:t>
            </w:r>
          </w:p>
        </w:tc>
      </w:tr>
      <w:tr w:rsidR="00F54DD5" w:rsidRPr="006E33C4" w14:paraId="01215879" w14:textId="77777777" w:rsidTr="006E33C4">
        <w:trPr>
          <w:cantSplit/>
          <w:trHeight w:val="403"/>
          <w:jc w:val="center"/>
        </w:trPr>
        <w:tc>
          <w:tcPr>
            <w:tcW w:w="3360" w:type="dxa"/>
            <w:tcBorders>
              <w:top w:val="nil"/>
              <w:left w:val="nil"/>
              <w:bottom w:val="nil"/>
              <w:right w:val="nil"/>
            </w:tcBorders>
          </w:tcPr>
          <w:p w14:paraId="01215876" w14:textId="77777777" w:rsidR="00F54DD5" w:rsidRPr="006E33C4" w:rsidRDefault="00F54DD5" w:rsidP="00F54DD5">
            <w:pPr>
              <w:spacing w:before="60" w:after="60"/>
            </w:pPr>
            <w:r w:rsidRPr="006E33C4">
              <w:t>Media and Status</w:t>
            </w:r>
          </w:p>
        </w:tc>
        <w:tc>
          <w:tcPr>
            <w:tcW w:w="1770" w:type="dxa"/>
            <w:tcBorders>
              <w:top w:val="nil"/>
              <w:left w:val="nil"/>
              <w:bottom w:val="nil"/>
              <w:right w:val="nil"/>
            </w:tcBorders>
          </w:tcPr>
          <w:p w14:paraId="01215877" w14:textId="77777777" w:rsidR="00F54DD5" w:rsidRPr="006E33C4" w:rsidRDefault="00F54DD5" w:rsidP="00F54DD5">
            <w:pPr>
              <w:spacing w:before="60" w:after="60"/>
              <w:jc w:val="center"/>
            </w:pPr>
            <w:r w:rsidRPr="006E33C4">
              <w:t>7</w:t>
            </w:r>
          </w:p>
        </w:tc>
        <w:tc>
          <w:tcPr>
            <w:tcW w:w="4950" w:type="dxa"/>
            <w:tcBorders>
              <w:top w:val="nil"/>
              <w:left w:val="nil"/>
              <w:bottom w:val="nil"/>
              <w:right w:val="nil"/>
            </w:tcBorders>
          </w:tcPr>
          <w:p w14:paraId="01215878" w14:textId="0B6B439F" w:rsidR="00F54DD5" w:rsidRPr="006E33C4" w:rsidRDefault="00F54DD5" w:rsidP="00F54DD5">
            <w:pPr>
              <w:spacing w:before="60" w:after="60"/>
            </w:pPr>
            <w:r w:rsidRPr="006E33C4">
              <w:t xml:space="preserve">Use the M&amp;S </w:t>
            </w:r>
            <w:r w:rsidR="00816924" w:rsidRPr="006E33C4">
              <w:t xml:space="preserve">code </w:t>
            </w:r>
            <w:r w:rsidRPr="006E33C4">
              <w:t>from the MRO/LRO/DRO or cancellation request.</w:t>
            </w:r>
          </w:p>
        </w:tc>
      </w:tr>
      <w:tr w:rsidR="00F54DD5" w:rsidRPr="006E33C4" w14:paraId="0121587D" w14:textId="77777777" w:rsidTr="006E33C4">
        <w:trPr>
          <w:cantSplit/>
          <w:trHeight w:val="403"/>
          <w:jc w:val="center"/>
        </w:trPr>
        <w:tc>
          <w:tcPr>
            <w:tcW w:w="3360" w:type="dxa"/>
            <w:tcBorders>
              <w:top w:val="nil"/>
              <w:left w:val="nil"/>
              <w:bottom w:val="nil"/>
              <w:right w:val="nil"/>
            </w:tcBorders>
          </w:tcPr>
          <w:p w14:paraId="0121587A" w14:textId="77777777" w:rsidR="00F54DD5" w:rsidRPr="006E33C4" w:rsidRDefault="00F54DD5" w:rsidP="00F54DD5">
            <w:pPr>
              <w:spacing w:before="60" w:after="60"/>
            </w:pPr>
            <w:r w:rsidRPr="006E33C4">
              <w:t>Stock or Part Number</w:t>
            </w:r>
          </w:p>
        </w:tc>
        <w:tc>
          <w:tcPr>
            <w:tcW w:w="1770" w:type="dxa"/>
            <w:tcBorders>
              <w:top w:val="nil"/>
              <w:left w:val="nil"/>
              <w:bottom w:val="nil"/>
              <w:right w:val="nil"/>
            </w:tcBorders>
          </w:tcPr>
          <w:p w14:paraId="0121587B" w14:textId="77777777" w:rsidR="00F54DD5" w:rsidRPr="006E33C4" w:rsidRDefault="00F54DD5" w:rsidP="00F54DD5">
            <w:pPr>
              <w:spacing w:before="60" w:after="60"/>
              <w:jc w:val="center"/>
            </w:pPr>
            <w:r w:rsidRPr="006E33C4">
              <w:t>8-22</w:t>
            </w:r>
          </w:p>
        </w:tc>
        <w:tc>
          <w:tcPr>
            <w:tcW w:w="4950" w:type="dxa"/>
            <w:tcBorders>
              <w:top w:val="nil"/>
              <w:left w:val="nil"/>
              <w:bottom w:val="nil"/>
              <w:right w:val="nil"/>
            </w:tcBorders>
          </w:tcPr>
          <w:p w14:paraId="0121587C" w14:textId="77777777" w:rsidR="00F54DD5" w:rsidRPr="006E33C4" w:rsidRDefault="00F54DD5" w:rsidP="00F54DD5">
            <w:pPr>
              <w:spacing w:before="60" w:after="60"/>
            </w:pPr>
            <w:r w:rsidRPr="006E33C4">
              <w:t>Enter the NSN or part number of the item supplied.</w:t>
            </w:r>
          </w:p>
        </w:tc>
      </w:tr>
      <w:tr w:rsidR="00F54DD5" w:rsidRPr="006E33C4" w14:paraId="01215881" w14:textId="77777777" w:rsidTr="006E33C4">
        <w:trPr>
          <w:cantSplit/>
          <w:trHeight w:val="403"/>
          <w:jc w:val="center"/>
        </w:trPr>
        <w:tc>
          <w:tcPr>
            <w:tcW w:w="3360" w:type="dxa"/>
            <w:tcBorders>
              <w:top w:val="nil"/>
              <w:left w:val="nil"/>
              <w:bottom w:val="nil"/>
              <w:right w:val="nil"/>
            </w:tcBorders>
          </w:tcPr>
          <w:p w14:paraId="0121587E" w14:textId="77777777" w:rsidR="00F54DD5" w:rsidRPr="006E33C4" w:rsidRDefault="00F54DD5" w:rsidP="00F54DD5">
            <w:pPr>
              <w:spacing w:before="60" w:after="60"/>
            </w:pPr>
            <w:r w:rsidRPr="006E33C4">
              <w:t>Unit of Issue</w:t>
            </w:r>
          </w:p>
        </w:tc>
        <w:tc>
          <w:tcPr>
            <w:tcW w:w="1770" w:type="dxa"/>
            <w:tcBorders>
              <w:top w:val="nil"/>
              <w:left w:val="nil"/>
              <w:bottom w:val="nil"/>
              <w:right w:val="nil"/>
            </w:tcBorders>
          </w:tcPr>
          <w:p w14:paraId="0121587F" w14:textId="77777777" w:rsidR="00F54DD5" w:rsidRPr="006E33C4" w:rsidRDefault="00F54DD5" w:rsidP="00F54DD5">
            <w:pPr>
              <w:spacing w:before="60" w:after="60"/>
              <w:jc w:val="center"/>
            </w:pPr>
            <w:r w:rsidRPr="006E33C4">
              <w:t>23-24</w:t>
            </w:r>
          </w:p>
        </w:tc>
        <w:tc>
          <w:tcPr>
            <w:tcW w:w="4950" w:type="dxa"/>
            <w:tcBorders>
              <w:top w:val="nil"/>
              <w:left w:val="nil"/>
              <w:bottom w:val="nil"/>
              <w:right w:val="nil"/>
            </w:tcBorders>
          </w:tcPr>
          <w:p w14:paraId="01215880" w14:textId="77777777" w:rsidR="00F54DD5" w:rsidRPr="006E33C4" w:rsidRDefault="00F54DD5" w:rsidP="00F54DD5">
            <w:pPr>
              <w:spacing w:before="60" w:after="60"/>
            </w:pPr>
            <w:r w:rsidRPr="006E33C4">
              <w:t>Enter the U/I.</w:t>
            </w:r>
          </w:p>
        </w:tc>
      </w:tr>
      <w:tr w:rsidR="00F54DD5" w:rsidRPr="006E33C4" w14:paraId="01215886" w14:textId="77777777" w:rsidTr="006E33C4">
        <w:trPr>
          <w:cantSplit/>
          <w:trHeight w:val="403"/>
          <w:jc w:val="center"/>
        </w:trPr>
        <w:tc>
          <w:tcPr>
            <w:tcW w:w="3360" w:type="dxa"/>
            <w:tcBorders>
              <w:top w:val="nil"/>
              <w:left w:val="nil"/>
              <w:bottom w:val="nil"/>
              <w:right w:val="nil"/>
            </w:tcBorders>
          </w:tcPr>
          <w:p w14:paraId="01215882" w14:textId="77777777" w:rsidR="00F54DD5" w:rsidRPr="006E33C4" w:rsidRDefault="00F54DD5" w:rsidP="00D824E0">
            <w:pPr>
              <w:spacing w:before="60" w:after="60"/>
            </w:pPr>
            <w:r w:rsidRPr="006E33C4">
              <w:lastRenderedPageBreak/>
              <w:t>Quantity</w:t>
            </w:r>
          </w:p>
        </w:tc>
        <w:tc>
          <w:tcPr>
            <w:tcW w:w="1770" w:type="dxa"/>
            <w:tcBorders>
              <w:top w:val="nil"/>
              <w:left w:val="nil"/>
              <w:bottom w:val="nil"/>
              <w:right w:val="nil"/>
            </w:tcBorders>
          </w:tcPr>
          <w:p w14:paraId="01215883" w14:textId="77777777" w:rsidR="00F54DD5" w:rsidRPr="006E33C4" w:rsidRDefault="00F54DD5" w:rsidP="00F54DD5">
            <w:pPr>
              <w:spacing w:before="60" w:after="60"/>
              <w:jc w:val="center"/>
            </w:pPr>
            <w:r w:rsidRPr="006E33C4">
              <w:t>25-29</w:t>
            </w:r>
          </w:p>
        </w:tc>
        <w:tc>
          <w:tcPr>
            <w:tcW w:w="4950" w:type="dxa"/>
            <w:tcBorders>
              <w:top w:val="nil"/>
              <w:left w:val="nil"/>
              <w:bottom w:val="nil"/>
              <w:right w:val="nil"/>
            </w:tcBorders>
          </w:tcPr>
          <w:p w14:paraId="01215884" w14:textId="77777777" w:rsidR="00F54DD5" w:rsidRPr="006E33C4" w:rsidRDefault="00F54DD5" w:rsidP="00F54DD5">
            <w:pPr>
              <w:spacing w:before="60" w:after="60"/>
            </w:pPr>
            <w:r w:rsidRPr="006E33C4">
              <w:t>a.  Enter the quantity shipped.</w:t>
            </w:r>
          </w:p>
          <w:p w14:paraId="01215885" w14:textId="7ED81D18" w:rsidR="00F54DD5" w:rsidRPr="006E33C4" w:rsidRDefault="00F54DD5" w:rsidP="00613D18">
            <w:pPr>
              <w:spacing w:before="60" w:after="60"/>
            </w:pPr>
            <w:r w:rsidRPr="006E33C4">
              <w:t xml:space="preserve">b.  For ammunition </w:t>
            </w:r>
            <w:r w:rsidR="00C47CCB" w:rsidRPr="006E33C4">
              <w:t>f</w:t>
            </w:r>
            <w:r w:rsidR="001D7933" w:rsidRPr="006E33C4">
              <w:t xml:space="preserve">ederal </w:t>
            </w:r>
            <w:r w:rsidR="00C47CCB" w:rsidRPr="006E33C4">
              <w:t>s</w:t>
            </w:r>
            <w:r w:rsidR="001D7933" w:rsidRPr="006E33C4">
              <w:t xml:space="preserve">upply </w:t>
            </w:r>
            <w:r w:rsidR="00C47CCB" w:rsidRPr="006E33C4">
              <w:t>g</w:t>
            </w:r>
            <w:r w:rsidR="001D7933" w:rsidRPr="006E33C4">
              <w:t>roup (</w:t>
            </w:r>
            <w:r w:rsidRPr="006E33C4">
              <w:t>FSG</w:t>
            </w:r>
            <w:r w:rsidR="001D7933" w:rsidRPr="006E33C4">
              <w:t>)</w:t>
            </w:r>
            <w:r w:rsidRPr="006E33C4">
              <w:t xml:space="preserve"> 13</w:t>
            </w:r>
            <w:r w:rsidR="00374D71" w:rsidRPr="006E33C4">
              <w:t xml:space="preserve"> and for </w:t>
            </w:r>
            <w:r w:rsidR="001D7933" w:rsidRPr="006E33C4">
              <w:t xml:space="preserve">Federal </w:t>
            </w:r>
            <w:r w:rsidR="00C47CCB" w:rsidRPr="006E33C4">
              <w:t>s</w:t>
            </w:r>
            <w:r w:rsidR="001D7933" w:rsidRPr="006E33C4">
              <w:t xml:space="preserve">upply </w:t>
            </w:r>
            <w:r w:rsidR="00C47CCB" w:rsidRPr="006E33C4">
              <w:t>c</w:t>
            </w:r>
            <w:r w:rsidR="001D7933" w:rsidRPr="006E33C4">
              <w:t>lassification (</w:t>
            </w:r>
            <w:r w:rsidR="00374D71" w:rsidRPr="006E33C4">
              <w:t>FSC</w:t>
            </w:r>
            <w:r w:rsidR="001D7933" w:rsidRPr="006E33C4">
              <w:t>)</w:t>
            </w:r>
            <w:r w:rsidR="00374D71" w:rsidRPr="006E33C4">
              <w:t xml:space="preserve"> 1410, 1420, 1427, 1440, 5330, 5865, </w:t>
            </w:r>
            <w:r w:rsidR="00613D18" w:rsidRPr="006E33C4">
              <w:t xml:space="preserve">6810 </w:t>
            </w:r>
            <w:r w:rsidR="00374D71" w:rsidRPr="006E33C4">
              <w:t xml:space="preserve">or 8140 </w:t>
            </w:r>
            <w:r w:rsidRPr="006E33C4">
              <w:t xml:space="preserve"> items only, enter an M in rp 29 to express in thousands any quantity exceeding 99,999.  Example:  Express a quantity of 1,950,000 as </w:t>
            </w:r>
            <w:r w:rsidR="001D7933" w:rsidRPr="006E33C4">
              <w:t xml:space="preserve">1950M (1950 in rp 25-28 and an </w:t>
            </w:r>
            <w:r w:rsidRPr="006E33C4">
              <w:t>M in rp 29).</w:t>
            </w:r>
          </w:p>
        </w:tc>
      </w:tr>
      <w:tr w:rsidR="00F54DD5" w:rsidRPr="006E33C4" w14:paraId="0121588A" w14:textId="77777777" w:rsidTr="006E33C4">
        <w:trPr>
          <w:cantSplit/>
          <w:trHeight w:val="403"/>
          <w:jc w:val="center"/>
        </w:trPr>
        <w:tc>
          <w:tcPr>
            <w:tcW w:w="3360" w:type="dxa"/>
            <w:tcBorders>
              <w:top w:val="nil"/>
              <w:left w:val="nil"/>
              <w:bottom w:val="nil"/>
              <w:right w:val="nil"/>
            </w:tcBorders>
          </w:tcPr>
          <w:p w14:paraId="01215887" w14:textId="77777777" w:rsidR="00F54DD5" w:rsidRPr="006E33C4" w:rsidRDefault="00F54DD5" w:rsidP="00F54DD5">
            <w:pPr>
              <w:spacing w:before="60" w:after="60"/>
            </w:pPr>
            <w:r w:rsidRPr="006E33C4">
              <w:t>Document Number</w:t>
            </w:r>
          </w:p>
        </w:tc>
        <w:tc>
          <w:tcPr>
            <w:tcW w:w="1770" w:type="dxa"/>
            <w:tcBorders>
              <w:top w:val="nil"/>
              <w:left w:val="nil"/>
              <w:bottom w:val="nil"/>
              <w:right w:val="nil"/>
            </w:tcBorders>
          </w:tcPr>
          <w:p w14:paraId="01215888" w14:textId="77777777" w:rsidR="00F54DD5" w:rsidRPr="006E33C4" w:rsidRDefault="00F54DD5" w:rsidP="00F54DD5">
            <w:pPr>
              <w:spacing w:before="60" w:after="60"/>
              <w:jc w:val="center"/>
            </w:pPr>
            <w:r w:rsidRPr="006E33C4">
              <w:t>30-43</w:t>
            </w:r>
          </w:p>
        </w:tc>
        <w:tc>
          <w:tcPr>
            <w:tcW w:w="4950" w:type="dxa"/>
            <w:tcBorders>
              <w:top w:val="nil"/>
              <w:left w:val="nil"/>
              <w:bottom w:val="nil"/>
              <w:right w:val="nil"/>
            </w:tcBorders>
          </w:tcPr>
          <w:p w14:paraId="01215889" w14:textId="77777777" w:rsidR="00F54DD5" w:rsidRPr="006E33C4" w:rsidRDefault="00F54DD5" w:rsidP="00F54DD5">
            <w:pPr>
              <w:spacing w:before="60" w:after="60"/>
            </w:pPr>
            <w:r w:rsidRPr="006E33C4">
              <w:t>Use the document number from the MRO/LRO/DRO or cancellation request.</w:t>
            </w:r>
          </w:p>
        </w:tc>
      </w:tr>
      <w:tr w:rsidR="00F54DD5" w:rsidRPr="006E33C4" w14:paraId="0121588E" w14:textId="77777777" w:rsidTr="006E33C4">
        <w:trPr>
          <w:cantSplit/>
          <w:trHeight w:val="403"/>
          <w:jc w:val="center"/>
        </w:trPr>
        <w:tc>
          <w:tcPr>
            <w:tcW w:w="3360" w:type="dxa"/>
            <w:tcBorders>
              <w:top w:val="nil"/>
              <w:left w:val="nil"/>
              <w:bottom w:val="nil"/>
              <w:right w:val="nil"/>
            </w:tcBorders>
          </w:tcPr>
          <w:p w14:paraId="0121588B" w14:textId="77777777" w:rsidR="00F54DD5" w:rsidRPr="006E33C4" w:rsidRDefault="00F54DD5" w:rsidP="00F54DD5">
            <w:pPr>
              <w:spacing w:before="60" w:after="60"/>
            </w:pPr>
            <w:r w:rsidRPr="006E33C4">
              <w:t>Suffix</w:t>
            </w:r>
          </w:p>
        </w:tc>
        <w:tc>
          <w:tcPr>
            <w:tcW w:w="1770" w:type="dxa"/>
            <w:tcBorders>
              <w:top w:val="nil"/>
              <w:left w:val="nil"/>
              <w:bottom w:val="nil"/>
              <w:right w:val="nil"/>
            </w:tcBorders>
          </w:tcPr>
          <w:p w14:paraId="0121588C" w14:textId="77777777" w:rsidR="00F54DD5" w:rsidRPr="006E33C4" w:rsidRDefault="00F54DD5" w:rsidP="00F54DD5">
            <w:pPr>
              <w:spacing w:before="60" w:after="60"/>
              <w:jc w:val="center"/>
            </w:pPr>
            <w:r w:rsidRPr="006E33C4">
              <w:t>44</w:t>
            </w:r>
          </w:p>
        </w:tc>
        <w:tc>
          <w:tcPr>
            <w:tcW w:w="4950" w:type="dxa"/>
            <w:tcBorders>
              <w:top w:val="nil"/>
              <w:left w:val="nil"/>
              <w:bottom w:val="nil"/>
              <w:right w:val="nil"/>
            </w:tcBorders>
          </w:tcPr>
          <w:p w14:paraId="0121588D" w14:textId="7DCCCA42" w:rsidR="00F54DD5" w:rsidRPr="006E33C4" w:rsidRDefault="00F54DD5" w:rsidP="00F54DD5">
            <w:pPr>
              <w:spacing w:before="60" w:after="60"/>
            </w:pPr>
            <w:r w:rsidRPr="006E33C4">
              <w:t xml:space="preserve">Use </w:t>
            </w:r>
            <w:r w:rsidR="00816924" w:rsidRPr="006E33C4">
              <w:t xml:space="preserve">the </w:t>
            </w:r>
            <w:r w:rsidRPr="006E33C4">
              <w:t>suffix</w:t>
            </w:r>
            <w:r w:rsidR="00816924" w:rsidRPr="006E33C4">
              <w:t xml:space="preserve"> code</w:t>
            </w:r>
            <w:r w:rsidRPr="006E33C4">
              <w:t xml:space="preserve"> from the MRO/LRO/DRO or cancellation request.  If no </w:t>
            </w:r>
            <w:r w:rsidR="00613D18" w:rsidRPr="006E33C4">
              <w:t xml:space="preserve">suffix </w:t>
            </w:r>
            <w:r w:rsidRPr="006E33C4">
              <w:t>code, leave blank.</w:t>
            </w:r>
          </w:p>
        </w:tc>
      </w:tr>
      <w:tr w:rsidR="00F54DD5" w:rsidRPr="006E33C4" w14:paraId="01215892" w14:textId="77777777" w:rsidTr="006E33C4">
        <w:trPr>
          <w:cantSplit/>
          <w:trHeight w:val="403"/>
          <w:jc w:val="center"/>
        </w:trPr>
        <w:tc>
          <w:tcPr>
            <w:tcW w:w="3360" w:type="dxa"/>
            <w:tcBorders>
              <w:top w:val="nil"/>
              <w:left w:val="nil"/>
              <w:bottom w:val="nil"/>
              <w:right w:val="nil"/>
            </w:tcBorders>
          </w:tcPr>
          <w:p w14:paraId="0121588F" w14:textId="77777777" w:rsidR="00F54DD5" w:rsidRPr="006E33C4" w:rsidRDefault="00F54DD5" w:rsidP="00F54DD5">
            <w:pPr>
              <w:spacing w:before="60" w:after="60"/>
            </w:pPr>
            <w:r w:rsidRPr="006E33C4">
              <w:t>Supplementary Address</w:t>
            </w:r>
          </w:p>
        </w:tc>
        <w:tc>
          <w:tcPr>
            <w:tcW w:w="1770" w:type="dxa"/>
            <w:tcBorders>
              <w:top w:val="nil"/>
              <w:left w:val="nil"/>
              <w:bottom w:val="nil"/>
              <w:right w:val="nil"/>
            </w:tcBorders>
          </w:tcPr>
          <w:p w14:paraId="01215890" w14:textId="77777777" w:rsidR="00F54DD5" w:rsidRPr="006E33C4" w:rsidRDefault="00F54DD5" w:rsidP="00F54DD5">
            <w:pPr>
              <w:spacing w:before="60" w:after="60"/>
              <w:jc w:val="center"/>
            </w:pPr>
            <w:r w:rsidRPr="006E33C4">
              <w:t>45-50</w:t>
            </w:r>
          </w:p>
        </w:tc>
        <w:tc>
          <w:tcPr>
            <w:tcW w:w="4950" w:type="dxa"/>
            <w:tcBorders>
              <w:top w:val="nil"/>
              <w:left w:val="nil"/>
              <w:bottom w:val="nil"/>
              <w:right w:val="nil"/>
            </w:tcBorders>
          </w:tcPr>
          <w:p w14:paraId="01215891" w14:textId="01BF78E1" w:rsidR="00F54DD5" w:rsidRPr="006E33C4" w:rsidRDefault="00F54DD5" w:rsidP="00A92C7E">
            <w:pPr>
              <w:spacing w:before="60" w:after="60"/>
            </w:pPr>
            <w:r w:rsidRPr="006E33C4">
              <w:t xml:space="preserve">Use SUPADD from the MRO/DRO or cancellation request.  The shipping activity </w:t>
            </w:r>
            <w:r w:rsidR="00A92C7E">
              <w:t xml:space="preserve">will </w:t>
            </w:r>
            <w:r w:rsidR="001D7933" w:rsidRPr="006E33C4">
              <w:t>all</w:t>
            </w:r>
            <w:r w:rsidRPr="006E33C4">
              <w:t xml:space="preserve"> enter the DoDAAC of the predesignated </w:t>
            </w:r>
            <w:r w:rsidR="001D7933" w:rsidRPr="006E33C4">
              <w:t>DLA Disposition Services Field Office</w:t>
            </w:r>
            <w:r w:rsidRPr="006E33C4">
              <w:t xml:space="preserve"> for shipments to </w:t>
            </w:r>
            <w:r w:rsidR="001D7933" w:rsidRPr="006E33C4">
              <w:t>DLA Disposition Services Field Office</w:t>
            </w:r>
            <w:r w:rsidRPr="006E33C4">
              <w:t xml:space="preserve">s.  If used as a </w:t>
            </w:r>
            <w:r w:rsidR="001D7933" w:rsidRPr="006E33C4">
              <w:t>DIC</w:t>
            </w:r>
            <w:r w:rsidRPr="006E33C4">
              <w:t xml:space="preserve"> AS6, enter the DoDAAC of the activity to which the credit for the materiel and reimbursement for the </w:t>
            </w:r>
            <w:r w:rsidR="00C47CCB" w:rsidRPr="006E33C4">
              <w:t xml:space="preserve">packing, crating, </w:t>
            </w:r>
            <w:r w:rsidR="00E07669" w:rsidRPr="006E33C4">
              <w:t>handling</w:t>
            </w:r>
            <w:r w:rsidR="00C47CCB" w:rsidRPr="006E33C4">
              <w:t xml:space="preserve"> and transportation (</w:t>
            </w:r>
            <w:r w:rsidRPr="006E33C4">
              <w:t>PCH&amp;T</w:t>
            </w:r>
            <w:r w:rsidR="00C47CCB" w:rsidRPr="006E33C4">
              <w:t>)</w:t>
            </w:r>
            <w:r w:rsidRPr="006E33C4">
              <w:t xml:space="preserve"> costs is to be provided.</w:t>
            </w:r>
          </w:p>
        </w:tc>
      </w:tr>
      <w:tr w:rsidR="00F54DD5" w:rsidRPr="006E33C4" w14:paraId="01215896" w14:textId="77777777" w:rsidTr="006E33C4">
        <w:trPr>
          <w:cantSplit/>
          <w:trHeight w:val="403"/>
          <w:jc w:val="center"/>
        </w:trPr>
        <w:tc>
          <w:tcPr>
            <w:tcW w:w="3360" w:type="dxa"/>
            <w:tcBorders>
              <w:top w:val="nil"/>
              <w:left w:val="nil"/>
              <w:bottom w:val="nil"/>
              <w:right w:val="nil"/>
            </w:tcBorders>
          </w:tcPr>
          <w:p w14:paraId="01215893" w14:textId="77777777" w:rsidR="00F54DD5" w:rsidRPr="006E33C4" w:rsidRDefault="00F54DD5" w:rsidP="00F54DD5">
            <w:pPr>
              <w:spacing w:before="60" w:after="60"/>
            </w:pPr>
            <w:r w:rsidRPr="006E33C4">
              <w:t>Hold</w:t>
            </w:r>
          </w:p>
        </w:tc>
        <w:tc>
          <w:tcPr>
            <w:tcW w:w="1770" w:type="dxa"/>
            <w:tcBorders>
              <w:top w:val="nil"/>
              <w:left w:val="nil"/>
              <w:bottom w:val="nil"/>
              <w:right w:val="nil"/>
            </w:tcBorders>
          </w:tcPr>
          <w:p w14:paraId="01215894" w14:textId="77777777" w:rsidR="00F54DD5" w:rsidRPr="006E33C4" w:rsidRDefault="00F54DD5" w:rsidP="00F54DD5">
            <w:pPr>
              <w:spacing w:before="60" w:after="60"/>
              <w:jc w:val="center"/>
            </w:pPr>
            <w:r w:rsidRPr="006E33C4">
              <w:t>51</w:t>
            </w:r>
          </w:p>
        </w:tc>
        <w:tc>
          <w:tcPr>
            <w:tcW w:w="4950" w:type="dxa"/>
            <w:tcBorders>
              <w:top w:val="nil"/>
              <w:left w:val="nil"/>
              <w:bottom w:val="nil"/>
              <w:right w:val="nil"/>
            </w:tcBorders>
          </w:tcPr>
          <w:p w14:paraId="01215895" w14:textId="77777777" w:rsidR="00F54DD5" w:rsidRPr="006E33C4" w:rsidRDefault="00F54DD5" w:rsidP="00F54DD5">
            <w:pPr>
              <w:spacing w:before="60" w:after="60"/>
            </w:pPr>
            <w:r w:rsidRPr="006E33C4">
              <w:t xml:space="preserve">If used as a </w:t>
            </w:r>
            <w:r w:rsidR="001D7933" w:rsidRPr="006E33C4">
              <w:t>DIC</w:t>
            </w:r>
            <w:r w:rsidRPr="006E33C4">
              <w:t xml:space="preserve"> AS6, enter Signal Code B.  Otherwise, enter the shipment hold code, when applicable.</w:t>
            </w:r>
          </w:p>
        </w:tc>
      </w:tr>
      <w:tr w:rsidR="00F54DD5" w:rsidRPr="006E33C4" w14:paraId="0121589A" w14:textId="77777777" w:rsidTr="006E33C4">
        <w:trPr>
          <w:cantSplit/>
          <w:trHeight w:val="403"/>
          <w:jc w:val="center"/>
        </w:trPr>
        <w:tc>
          <w:tcPr>
            <w:tcW w:w="3360" w:type="dxa"/>
            <w:tcBorders>
              <w:top w:val="nil"/>
              <w:left w:val="nil"/>
              <w:bottom w:val="nil"/>
              <w:right w:val="nil"/>
            </w:tcBorders>
          </w:tcPr>
          <w:p w14:paraId="01215897" w14:textId="77777777" w:rsidR="00F54DD5" w:rsidRPr="006E33C4" w:rsidRDefault="00F54DD5" w:rsidP="00F54DD5">
            <w:pPr>
              <w:spacing w:before="60" w:after="60"/>
            </w:pPr>
            <w:r w:rsidRPr="006E33C4">
              <w:t>Fund</w:t>
            </w:r>
          </w:p>
        </w:tc>
        <w:tc>
          <w:tcPr>
            <w:tcW w:w="1770" w:type="dxa"/>
            <w:tcBorders>
              <w:top w:val="nil"/>
              <w:left w:val="nil"/>
              <w:bottom w:val="nil"/>
              <w:right w:val="nil"/>
            </w:tcBorders>
          </w:tcPr>
          <w:p w14:paraId="01215898" w14:textId="77777777" w:rsidR="00F54DD5" w:rsidRPr="006E33C4" w:rsidRDefault="00F54DD5" w:rsidP="00F54DD5">
            <w:pPr>
              <w:spacing w:before="60" w:after="60"/>
              <w:jc w:val="center"/>
            </w:pPr>
            <w:r w:rsidRPr="006E33C4">
              <w:t>52-53</w:t>
            </w:r>
          </w:p>
        </w:tc>
        <w:tc>
          <w:tcPr>
            <w:tcW w:w="4950" w:type="dxa"/>
            <w:tcBorders>
              <w:top w:val="nil"/>
              <w:left w:val="nil"/>
              <w:bottom w:val="nil"/>
              <w:right w:val="nil"/>
            </w:tcBorders>
          </w:tcPr>
          <w:p w14:paraId="01215899" w14:textId="43E1285D" w:rsidR="00F54DD5" w:rsidRPr="006E33C4" w:rsidRDefault="00F54DD5" w:rsidP="00816924">
            <w:pPr>
              <w:spacing w:before="60" w:after="60"/>
            </w:pPr>
            <w:r w:rsidRPr="006E33C4">
              <w:t xml:space="preserve">Enter </w:t>
            </w:r>
            <w:r w:rsidR="00816924" w:rsidRPr="006E33C4">
              <w:t xml:space="preserve">the fund code </w:t>
            </w:r>
            <w:r w:rsidRPr="006E33C4">
              <w:t xml:space="preserve">as shown in the MRO/DRO or cancellation request.  If used as a </w:t>
            </w:r>
            <w:r w:rsidR="001D7933" w:rsidRPr="006E33C4">
              <w:t>DIC</w:t>
            </w:r>
            <w:r w:rsidRPr="006E33C4">
              <w:t xml:space="preserve"> AS6, enter the fund code to which the credit for the materiel and reimbursement for the PCH&amp;T costs is to be provided.</w:t>
            </w:r>
          </w:p>
        </w:tc>
      </w:tr>
      <w:tr w:rsidR="00F54DD5" w:rsidRPr="006E33C4" w14:paraId="0121589E" w14:textId="77777777" w:rsidTr="006E33C4">
        <w:trPr>
          <w:cantSplit/>
          <w:trHeight w:val="403"/>
          <w:jc w:val="center"/>
        </w:trPr>
        <w:tc>
          <w:tcPr>
            <w:tcW w:w="3360" w:type="dxa"/>
            <w:tcBorders>
              <w:top w:val="nil"/>
              <w:left w:val="nil"/>
              <w:bottom w:val="nil"/>
              <w:right w:val="nil"/>
            </w:tcBorders>
          </w:tcPr>
          <w:p w14:paraId="0121589B" w14:textId="77777777" w:rsidR="00F54DD5" w:rsidRPr="006E33C4" w:rsidRDefault="00F54DD5" w:rsidP="00F54DD5">
            <w:pPr>
              <w:spacing w:before="60" w:after="60"/>
            </w:pPr>
            <w:r w:rsidRPr="006E33C4">
              <w:t>Distribution</w:t>
            </w:r>
          </w:p>
        </w:tc>
        <w:tc>
          <w:tcPr>
            <w:tcW w:w="1770" w:type="dxa"/>
            <w:tcBorders>
              <w:top w:val="nil"/>
              <w:left w:val="nil"/>
              <w:bottom w:val="nil"/>
              <w:right w:val="nil"/>
            </w:tcBorders>
          </w:tcPr>
          <w:p w14:paraId="0121589C" w14:textId="77777777" w:rsidR="00F54DD5" w:rsidRPr="006E33C4" w:rsidRDefault="00F54DD5" w:rsidP="00F54DD5">
            <w:pPr>
              <w:spacing w:before="60" w:after="60"/>
              <w:jc w:val="center"/>
            </w:pPr>
            <w:r w:rsidRPr="006E33C4">
              <w:t>54-56</w:t>
            </w:r>
          </w:p>
        </w:tc>
        <w:tc>
          <w:tcPr>
            <w:tcW w:w="4950" w:type="dxa"/>
            <w:tcBorders>
              <w:top w:val="nil"/>
              <w:left w:val="nil"/>
              <w:bottom w:val="nil"/>
              <w:right w:val="nil"/>
            </w:tcBorders>
          </w:tcPr>
          <w:p w14:paraId="0121589D" w14:textId="5C1EA679" w:rsidR="00F54DD5" w:rsidRPr="006E33C4" w:rsidRDefault="00F54DD5" w:rsidP="00F54DD5">
            <w:pPr>
              <w:spacing w:before="60" w:after="60"/>
            </w:pPr>
            <w:r w:rsidRPr="006E33C4">
              <w:t xml:space="preserve">Enter the distribution </w:t>
            </w:r>
            <w:r w:rsidR="00816924" w:rsidRPr="006E33C4">
              <w:t xml:space="preserve">code </w:t>
            </w:r>
            <w:r w:rsidRPr="006E33C4">
              <w:t>as shown in the MRO/LRO/DRO or cancellation request.</w:t>
            </w:r>
          </w:p>
        </w:tc>
      </w:tr>
      <w:tr w:rsidR="00F54DD5" w:rsidRPr="006E33C4" w14:paraId="012158A2" w14:textId="77777777" w:rsidTr="006E33C4">
        <w:trPr>
          <w:cantSplit/>
          <w:trHeight w:val="403"/>
          <w:jc w:val="center"/>
        </w:trPr>
        <w:tc>
          <w:tcPr>
            <w:tcW w:w="3360" w:type="dxa"/>
            <w:tcBorders>
              <w:top w:val="nil"/>
              <w:left w:val="nil"/>
              <w:bottom w:val="nil"/>
              <w:right w:val="nil"/>
            </w:tcBorders>
          </w:tcPr>
          <w:p w14:paraId="0121589F" w14:textId="77777777" w:rsidR="00F54DD5" w:rsidRPr="006E33C4" w:rsidRDefault="00F54DD5" w:rsidP="00F54DD5">
            <w:pPr>
              <w:spacing w:before="60" w:after="60"/>
            </w:pPr>
            <w:r w:rsidRPr="006E33C4">
              <w:t>Release Date</w:t>
            </w:r>
          </w:p>
        </w:tc>
        <w:tc>
          <w:tcPr>
            <w:tcW w:w="1770" w:type="dxa"/>
            <w:tcBorders>
              <w:top w:val="nil"/>
              <w:left w:val="nil"/>
              <w:bottom w:val="nil"/>
              <w:right w:val="nil"/>
            </w:tcBorders>
          </w:tcPr>
          <w:p w14:paraId="012158A0" w14:textId="77777777" w:rsidR="00F54DD5" w:rsidRPr="006E33C4" w:rsidRDefault="00F54DD5" w:rsidP="00F54DD5">
            <w:pPr>
              <w:spacing w:before="60" w:after="60"/>
              <w:jc w:val="center"/>
            </w:pPr>
            <w:r w:rsidRPr="006E33C4">
              <w:t>57-59</w:t>
            </w:r>
          </w:p>
        </w:tc>
        <w:tc>
          <w:tcPr>
            <w:tcW w:w="4950" w:type="dxa"/>
            <w:tcBorders>
              <w:top w:val="nil"/>
              <w:left w:val="nil"/>
              <w:bottom w:val="nil"/>
              <w:right w:val="nil"/>
            </w:tcBorders>
          </w:tcPr>
          <w:p w14:paraId="012158A1" w14:textId="77777777" w:rsidR="00F54DD5" w:rsidRPr="006E33C4" w:rsidRDefault="00F54DD5" w:rsidP="00F54DD5">
            <w:pPr>
              <w:spacing w:before="60" w:after="60"/>
            </w:pPr>
            <w:r w:rsidRPr="006E33C4">
              <w:t>Enter the date the materiel is released to the carrier.</w:t>
            </w:r>
          </w:p>
        </w:tc>
      </w:tr>
      <w:tr w:rsidR="00F54DD5" w:rsidRPr="006E33C4" w14:paraId="012158A6" w14:textId="77777777" w:rsidTr="006E33C4">
        <w:trPr>
          <w:cantSplit/>
          <w:trHeight w:val="403"/>
          <w:jc w:val="center"/>
        </w:trPr>
        <w:tc>
          <w:tcPr>
            <w:tcW w:w="3360" w:type="dxa"/>
            <w:tcBorders>
              <w:top w:val="nil"/>
              <w:left w:val="nil"/>
              <w:bottom w:val="nil"/>
              <w:right w:val="nil"/>
            </w:tcBorders>
          </w:tcPr>
          <w:p w14:paraId="012158A3" w14:textId="77777777" w:rsidR="00F54DD5" w:rsidRPr="006E33C4" w:rsidRDefault="00F54DD5" w:rsidP="00F54DD5">
            <w:pPr>
              <w:spacing w:before="60" w:after="60"/>
            </w:pPr>
            <w:r w:rsidRPr="006E33C4">
              <w:lastRenderedPageBreak/>
              <w:t>Transportation Control Number</w:t>
            </w:r>
          </w:p>
        </w:tc>
        <w:tc>
          <w:tcPr>
            <w:tcW w:w="1770" w:type="dxa"/>
            <w:tcBorders>
              <w:top w:val="nil"/>
              <w:left w:val="nil"/>
              <w:bottom w:val="nil"/>
              <w:right w:val="nil"/>
            </w:tcBorders>
          </w:tcPr>
          <w:p w14:paraId="012158A4" w14:textId="77777777" w:rsidR="00F54DD5" w:rsidRPr="006E33C4" w:rsidRDefault="00F54DD5" w:rsidP="00F54DD5">
            <w:pPr>
              <w:spacing w:before="60" w:after="60"/>
              <w:jc w:val="center"/>
            </w:pPr>
            <w:r w:rsidRPr="006E33C4">
              <w:t>60-76</w:t>
            </w:r>
          </w:p>
        </w:tc>
        <w:tc>
          <w:tcPr>
            <w:tcW w:w="4950" w:type="dxa"/>
            <w:tcBorders>
              <w:top w:val="nil"/>
              <w:left w:val="nil"/>
              <w:bottom w:val="nil"/>
              <w:right w:val="nil"/>
            </w:tcBorders>
          </w:tcPr>
          <w:p w14:paraId="012158A5" w14:textId="4E61DDA3" w:rsidR="00F54DD5" w:rsidRPr="006E33C4" w:rsidRDefault="00F54DD5" w:rsidP="00C47CCB">
            <w:pPr>
              <w:spacing w:before="60" w:after="60"/>
            </w:pPr>
            <w:r w:rsidRPr="006E33C4">
              <w:t>Enter the shipment unit TCN as prescribed in D</w:t>
            </w:r>
            <w:r w:rsidR="00C47CCB" w:rsidRPr="006E33C4">
              <w:t xml:space="preserve">TR </w:t>
            </w:r>
            <w:r w:rsidR="005B679D" w:rsidRPr="006E33C4">
              <w:t>4500.9-R</w:t>
            </w:r>
            <w:r w:rsidR="00C47CCB" w:rsidRPr="006E33C4">
              <w:t>, “Defense Transportation Regulation”</w:t>
            </w:r>
            <w:r w:rsidR="005B679D" w:rsidRPr="006E33C4">
              <w:t>.</w:t>
            </w:r>
          </w:p>
        </w:tc>
      </w:tr>
      <w:tr w:rsidR="00F54DD5" w:rsidRPr="006E33C4" w14:paraId="012158AA" w14:textId="77777777" w:rsidTr="006E33C4">
        <w:trPr>
          <w:cantSplit/>
          <w:trHeight w:val="403"/>
          <w:jc w:val="center"/>
        </w:trPr>
        <w:tc>
          <w:tcPr>
            <w:tcW w:w="3360" w:type="dxa"/>
            <w:tcBorders>
              <w:top w:val="nil"/>
              <w:left w:val="nil"/>
              <w:bottom w:val="nil"/>
              <w:right w:val="nil"/>
            </w:tcBorders>
          </w:tcPr>
          <w:p w14:paraId="012158A7" w14:textId="77777777" w:rsidR="00F54DD5" w:rsidRPr="006E33C4" w:rsidRDefault="00F54DD5" w:rsidP="00F54DD5">
            <w:pPr>
              <w:spacing w:before="60" w:after="60"/>
            </w:pPr>
            <w:r w:rsidRPr="006E33C4">
              <w:t>Mode of Shipment</w:t>
            </w:r>
          </w:p>
        </w:tc>
        <w:tc>
          <w:tcPr>
            <w:tcW w:w="1770" w:type="dxa"/>
            <w:tcBorders>
              <w:top w:val="nil"/>
              <w:left w:val="nil"/>
              <w:bottom w:val="nil"/>
              <w:right w:val="nil"/>
            </w:tcBorders>
          </w:tcPr>
          <w:p w14:paraId="012158A8" w14:textId="77777777" w:rsidR="00F54DD5" w:rsidRPr="006E33C4" w:rsidRDefault="00F54DD5" w:rsidP="00F54DD5">
            <w:pPr>
              <w:spacing w:before="60" w:after="60"/>
              <w:jc w:val="center"/>
            </w:pPr>
            <w:r w:rsidRPr="006E33C4">
              <w:t>77</w:t>
            </w:r>
          </w:p>
        </w:tc>
        <w:tc>
          <w:tcPr>
            <w:tcW w:w="4950" w:type="dxa"/>
            <w:tcBorders>
              <w:top w:val="nil"/>
              <w:left w:val="nil"/>
              <w:bottom w:val="nil"/>
              <w:right w:val="nil"/>
            </w:tcBorders>
          </w:tcPr>
          <w:p w14:paraId="012158A9" w14:textId="77777777" w:rsidR="00F54DD5" w:rsidRPr="006E33C4" w:rsidRDefault="00F54DD5" w:rsidP="00F54DD5">
            <w:pPr>
              <w:spacing w:before="60" w:after="60"/>
            </w:pPr>
            <w:r w:rsidRPr="006E33C4">
              <w:t>Enter the code identifying the mode of shipment.</w:t>
            </w:r>
            <w:r w:rsidR="009479D8" w:rsidRPr="006E33C4">
              <w:rPr>
                <w:rStyle w:val="FootnoteReference"/>
              </w:rPr>
              <w:footnoteReference w:id="4"/>
            </w:r>
            <w:r w:rsidRPr="006E33C4">
              <w:t xml:space="preserve">  (Leave blank when transmitting </w:t>
            </w:r>
            <w:r w:rsidR="001D7933" w:rsidRPr="006E33C4">
              <w:t>DIC</w:t>
            </w:r>
            <w:r w:rsidRPr="006E33C4">
              <w:t xml:space="preserve"> AS3 through DAAS to </w:t>
            </w:r>
            <w:r w:rsidR="001D7933" w:rsidRPr="006E33C4">
              <w:t>DLA Disposition Services</w:t>
            </w:r>
            <w:r w:rsidRPr="006E33C4">
              <w:t>.)</w:t>
            </w:r>
          </w:p>
        </w:tc>
      </w:tr>
      <w:tr w:rsidR="00F54DD5" w14:paraId="012158B8" w14:textId="77777777" w:rsidTr="006E33C4">
        <w:trPr>
          <w:cantSplit/>
          <w:trHeight w:val="403"/>
          <w:jc w:val="center"/>
        </w:trPr>
        <w:tc>
          <w:tcPr>
            <w:tcW w:w="3360" w:type="dxa"/>
            <w:tcBorders>
              <w:top w:val="nil"/>
              <w:left w:val="nil"/>
              <w:bottom w:val="nil"/>
              <w:right w:val="nil"/>
            </w:tcBorders>
          </w:tcPr>
          <w:p w14:paraId="012158B1" w14:textId="77777777" w:rsidR="00F54DD5" w:rsidRDefault="00F54DD5" w:rsidP="00F54DD5">
            <w:pPr>
              <w:spacing w:before="60" w:after="60"/>
            </w:pPr>
            <w:r>
              <w:t>Port of Embarkation</w:t>
            </w:r>
          </w:p>
        </w:tc>
        <w:tc>
          <w:tcPr>
            <w:tcW w:w="1770" w:type="dxa"/>
            <w:tcBorders>
              <w:top w:val="nil"/>
              <w:left w:val="nil"/>
              <w:bottom w:val="nil"/>
              <w:right w:val="nil"/>
            </w:tcBorders>
          </w:tcPr>
          <w:p w14:paraId="012158B2" w14:textId="77777777" w:rsidR="00F54DD5" w:rsidRDefault="00F54DD5" w:rsidP="00F54DD5">
            <w:pPr>
              <w:spacing w:before="60" w:after="60"/>
              <w:jc w:val="center"/>
            </w:pPr>
            <w:r>
              <w:t>78-80</w:t>
            </w:r>
          </w:p>
        </w:tc>
        <w:tc>
          <w:tcPr>
            <w:tcW w:w="4950" w:type="dxa"/>
            <w:tcBorders>
              <w:top w:val="nil"/>
              <w:left w:val="nil"/>
              <w:bottom w:val="nil"/>
              <w:right w:val="nil"/>
            </w:tcBorders>
          </w:tcPr>
          <w:p w14:paraId="012158B3" w14:textId="77777777" w:rsidR="00F54DD5" w:rsidRDefault="00F54DD5" w:rsidP="00F54DD5">
            <w:pPr>
              <w:spacing w:before="60" w:after="60"/>
            </w:pPr>
            <w:r>
              <w:t>a.  CONUS.  Leave blank.</w:t>
            </w:r>
          </w:p>
          <w:p w14:paraId="012158B4" w14:textId="77777777" w:rsidR="00F54DD5" w:rsidRDefault="00F54DD5" w:rsidP="00F54DD5">
            <w:pPr>
              <w:spacing w:before="60" w:after="60"/>
            </w:pPr>
            <w:r>
              <w:t>b.  OCONUS:</w:t>
            </w:r>
          </w:p>
          <w:p w14:paraId="012158B5" w14:textId="5938A14E" w:rsidR="00BA5230" w:rsidRDefault="00F54DD5" w:rsidP="00F54DD5">
            <w:pPr>
              <w:spacing w:before="60" w:after="60"/>
            </w:pPr>
            <w:r>
              <w:t>(1)  For shipments moving to OCONUS designations through the DTS, GBL/CBL, parcel post (except APO/FPO); and small package carrier shipments entering the DTS at the POE, enter the POE or SEAVAN CCP</w:t>
            </w:r>
            <w:r w:rsidRPr="00803C4D">
              <w:t xml:space="preserve">.  </w:t>
            </w:r>
            <w:r w:rsidR="00BA5230" w:rsidRPr="00803C4D">
              <w:t>(</w:t>
            </w:r>
            <w:r w:rsidRPr="00803C4D">
              <w:t>See</w:t>
            </w:r>
            <w:r w:rsidR="009C0C91" w:rsidRPr="00803C4D">
              <w:t xml:space="preserve"> </w:t>
            </w:r>
            <w:r w:rsidR="00613D18">
              <w:t>DTR</w:t>
            </w:r>
            <w:r w:rsidR="00613D18" w:rsidRPr="00803C4D">
              <w:t xml:space="preserve"> </w:t>
            </w:r>
            <w:r w:rsidR="005B679D" w:rsidRPr="00803C4D">
              <w:t>4500.9-R</w:t>
            </w:r>
            <w:r w:rsidR="009C0C91" w:rsidRPr="00803C4D">
              <w:t xml:space="preserve">, Part II, Appendices </w:t>
            </w:r>
            <w:r w:rsidR="00613D18">
              <w:t>CC</w:t>
            </w:r>
            <w:r w:rsidR="009C0C91" w:rsidRPr="00803C4D">
              <w:t xml:space="preserve">, </w:t>
            </w:r>
            <w:r w:rsidR="00613D18">
              <w:t>MM</w:t>
            </w:r>
            <w:r w:rsidR="009C0C91" w:rsidRPr="00803C4D">
              <w:t xml:space="preserve">, and </w:t>
            </w:r>
            <w:r w:rsidR="00613D18">
              <w:t>PP</w:t>
            </w:r>
            <w:r w:rsidR="00BA5230" w:rsidRPr="00803C4D">
              <w:t>.)</w:t>
            </w:r>
          </w:p>
          <w:p w14:paraId="012158B6" w14:textId="77777777" w:rsidR="00F54DD5" w:rsidRDefault="00F54DD5" w:rsidP="00F54DD5">
            <w:pPr>
              <w:spacing w:before="60" w:after="60"/>
            </w:pPr>
            <w:r>
              <w:t>(2)  Leave blank for parcel post movement through an APO or FPO.</w:t>
            </w:r>
          </w:p>
          <w:p w14:paraId="012158B7" w14:textId="6C911961" w:rsidR="00F54DD5" w:rsidRDefault="00F54DD5" w:rsidP="00613D18">
            <w:pPr>
              <w:spacing w:before="60" w:after="60"/>
            </w:pPr>
            <w:r>
              <w:t xml:space="preserve">(3)  Enter the POE for </w:t>
            </w:r>
            <w:r w:rsidR="00613D18">
              <w:t xml:space="preserve">Security Assistance Program </w:t>
            </w:r>
            <w:r>
              <w:t>transactions moving through the DTS; otherwise, leave blank.</w:t>
            </w:r>
          </w:p>
        </w:tc>
      </w:tr>
      <w:tr w:rsidR="00F54DD5" w14:paraId="012158BA" w14:textId="77777777" w:rsidTr="006E33C4">
        <w:trPr>
          <w:cantSplit/>
          <w:trHeight w:val="403"/>
          <w:jc w:val="center"/>
        </w:trPr>
        <w:tc>
          <w:tcPr>
            <w:tcW w:w="10080" w:type="dxa"/>
            <w:gridSpan w:val="3"/>
            <w:tcBorders>
              <w:top w:val="nil"/>
              <w:left w:val="nil"/>
              <w:bottom w:val="nil"/>
              <w:right w:val="nil"/>
            </w:tcBorders>
          </w:tcPr>
          <w:p w14:paraId="012158B9" w14:textId="77777777" w:rsidR="00F54DD5" w:rsidRPr="003C265D" w:rsidRDefault="00F54DD5" w:rsidP="006E33C4">
            <w:pPr>
              <w:spacing w:before="240" w:after="60"/>
            </w:pPr>
            <w:r w:rsidRPr="003C265D">
              <w:rPr>
                <w:u w:val="single"/>
              </w:rPr>
              <w:t xml:space="preserve">ENTRIES REQUIRED FOR DoDAAC INFORMATION – </w:t>
            </w:r>
            <w:r w:rsidR="001D7933">
              <w:rPr>
                <w:u w:val="single"/>
              </w:rPr>
              <w:t>DIC</w:t>
            </w:r>
            <w:r w:rsidRPr="003C265D">
              <w:rPr>
                <w:u w:val="single"/>
              </w:rPr>
              <w:t xml:space="preserve"> ASY TRANSACTIONS</w:t>
            </w:r>
            <w:r w:rsidRPr="003C265D">
              <w:rPr>
                <w:rStyle w:val="FootnoteReference"/>
                <w:u w:val="single"/>
              </w:rPr>
              <w:footnoteReference w:id="5"/>
            </w:r>
          </w:p>
        </w:tc>
      </w:tr>
      <w:tr w:rsidR="00F54DD5" w14:paraId="012158BE" w14:textId="77777777" w:rsidTr="006E33C4">
        <w:trPr>
          <w:cantSplit/>
          <w:trHeight w:val="403"/>
          <w:jc w:val="center"/>
        </w:trPr>
        <w:tc>
          <w:tcPr>
            <w:tcW w:w="3360" w:type="dxa"/>
            <w:tcBorders>
              <w:top w:val="nil"/>
              <w:left w:val="nil"/>
              <w:bottom w:val="nil"/>
              <w:right w:val="nil"/>
            </w:tcBorders>
          </w:tcPr>
          <w:p w14:paraId="012158BB" w14:textId="77777777" w:rsidR="00F54DD5" w:rsidRPr="003C265D" w:rsidRDefault="00F54DD5" w:rsidP="00F54DD5">
            <w:pPr>
              <w:spacing w:before="60" w:after="60"/>
            </w:pPr>
            <w:r w:rsidRPr="003C265D">
              <w:t>Blank</w:t>
            </w:r>
          </w:p>
        </w:tc>
        <w:tc>
          <w:tcPr>
            <w:tcW w:w="1770" w:type="dxa"/>
            <w:tcBorders>
              <w:top w:val="nil"/>
              <w:left w:val="nil"/>
              <w:bottom w:val="nil"/>
              <w:right w:val="nil"/>
            </w:tcBorders>
          </w:tcPr>
          <w:p w14:paraId="012158BC" w14:textId="77777777" w:rsidR="00F54DD5" w:rsidRPr="003C265D" w:rsidRDefault="00F54DD5" w:rsidP="00F54DD5">
            <w:pPr>
              <w:spacing w:before="60" w:after="60"/>
              <w:jc w:val="center"/>
            </w:pPr>
            <w:r w:rsidRPr="003C265D">
              <w:t>57-64</w:t>
            </w:r>
          </w:p>
        </w:tc>
        <w:tc>
          <w:tcPr>
            <w:tcW w:w="4950" w:type="dxa"/>
            <w:tcBorders>
              <w:top w:val="nil"/>
              <w:left w:val="nil"/>
              <w:bottom w:val="nil"/>
              <w:right w:val="nil"/>
            </w:tcBorders>
          </w:tcPr>
          <w:p w14:paraId="012158BD" w14:textId="77777777" w:rsidR="00F54DD5" w:rsidRPr="003C265D" w:rsidRDefault="00F54DD5" w:rsidP="00F54DD5">
            <w:pPr>
              <w:spacing w:before="60" w:after="60"/>
            </w:pPr>
            <w:r w:rsidRPr="003C265D">
              <w:t>Leave blank.</w:t>
            </w:r>
          </w:p>
        </w:tc>
      </w:tr>
      <w:tr w:rsidR="00F54DD5" w14:paraId="012158C2" w14:textId="77777777" w:rsidTr="006E33C4">
        <w:trPr>
          <w:cantSplit/>
          <w:trHeight w:val="403"/>
          <w:jc w:val="center"/>
        </w:trPr>
        <w:tc>
          <w:tcPr>
            <w:tcW w:w="3360" w:type="dxa"/>
            <w:tcBorders>
              <w:top w:val="nil"/>
              <w:left w:val="nil"/>
              <w:bottom w:val="nil"/>
              <w:right w:val="nil"/>
            </w:tcBorders>
          </w:tcPr>
          <w:p w14:paraId="012158BF" w14:textId="77777777" w:rsidR="00F54DD5" w:rsidRPr="003C265D" w:rsidRDefault="00F54DD5" w:rsidP="00F54DD5">
            <w:pPr>
              <w:spacing w:before="60" w:after="60"/>
            </w:pPr>
            <w:r w:rsidRPr="003C265D">
              <w:t>Status Code</w:t>
            </w:r>
          </w:p>
        </w:tc>
        <w:tc>
          <w:tcPr>
            <w:tcW w:w="1770" w:type="dxa"/>
            <w:tcBorders>
              <w:top w:val="nil"/>
              <w:left w:val="nil"/>
              <w:bottom w:val="nil"/>
              <w:right w:val="nil"/>
            </w:tcBorders>
          </w:tcPr>
          <w:p w14:paraId="012158C0" w14:textId="77777777" w:rsidR="00F54DD5" w:rsidRPr="003C265D" w:rsidRDefault="00F54DD5" w:rsidP="00F54DD5">
            <w:pPr>
              <w:spacing w:before="60" w:after="60"/>
              <w:jc w:val="center"/>
            </w:pPr>
            <w:r w:rsidRPr="003C265D">
              <w:t>65-66</w:t>
            </w:r>
          </w:p>
        </w:tc>
        <w:tc>
          <w:tcPr>
            <w:tcW w:w="4950" w:type="dxa"/>
            <w:tcBorders>
              <w:top w:val="nil"/>
              <w:left w:val="nil"/>
              <w:bottom w:val="nil"/>
              <w:right w:val="nil"/>
            </w:tcBorders>
          </w:tcPr>
          <w:p w14:paraId="012158C1" w14:textId="77777777" w:rsidR="00F54DD5" w:rsidRPr="003C265D" w:rsidRDefault="00F54DD5" w:rsidP="00F54DD5">
            <w:pPr>
              <w:pStyle w:val="Footer"/>
              <w:tabs>
                <w:tab w:val="clear" w:pos="4320"/>
                <w:tab w:val="clear" w:pos="8640"/>
              </w:tabs>
              <w:spacing w:before="60" w:after="60"/>
            </w:pPr>
            <w:r w:rsidRPr="003C265D">
              <w:t xml:space="preserve">Enter Status Code DY if the </w:t>
            </w:r>
            <w:r w:rsidR="001D7933">
              <w:t>DIC</w:t>
            </w:r>
            <w:r w:rsidRPr="003C265D">
              <w:t xml:space="preserve"> AFY </w:t>
            </w:r>
            <w:r w:rsidR="0001513E" w:rsidRPr="003C265D">
              <w:t>follow-up</w:t>
            </w:r>
            <w:r w:rsidRPr="003C265D">
              <w:t xml:space="preserve"> transaction is being rejected; otherwise, leave blank.</w:t>
            </w:r>
          </w:p>
        </w:tc>
      </w:tr>
      <w:tr w:rsidR="00F54DD5" w14:paraId="012158C6" w14:textId="77777777" w:rsidTr="006E33C4">
        <w:trPr>
          <w:cantSplit/>
          <w:trHeight w:val="403"/>
          <w:jc w:val="center"/>
        </w:trPr>
        <w:tc>
          <w:tcPr>
            <w:tcW w:w="3360" w:type="dxa"/>
            <w:tcBorders>
              <w:top w:val="nil"/>
              <w:left w:val="nil"/>
              <w:bottom w:val="nil"/>
              <w:right w:val="nil"/>
            </w:tcBorders>
          </w:tcPr>
          <w:p w14:paraId="012158C3" w14:textId="77777777" w:rsidR="00F54DD5" w:rsidRPr="003C265D" w:rsidRDefault="00F54DD5" w:rsidP="00F54DD5">
            <w:pPr>
              <w:spacing w:before="60" w:after="60"/>
            </w:pPr>
            <w:r w:rsidRPr="003C265D">
              <w:t>Blank</w:t>
            </w:r>
          </w:p>
        </w:tc>
        <w:tc>
          <w:tcPr>
            <w:tcW w:w="1770" w:type="dxa"/>
            <w:tcBorders>
              <w:top w:val="nil"/>
              <w:left w:val="nil"/>
              <w:bottom w:val="nil"/>
              <w:right w:val="nil"/>
            </w:tcBorders>
          </w:tcPr>
          <w:p w14:paraId="012158C4" w14:textId="77777777" w:rsidR="00F54DD5" w:rsidRPr="003C265D" w:rsidRDefault="00F54DD5" w:rsidP="00F54DD5">
            <w:pPr>
              <w:spacing w:before="60" w:after="60"/>
              <w:jc w:val="center"/>
            </w:pPr>
            <w:r w:rsidRPr="003C265D">
              <w:t>67-74</w:t>
            </w:r>
          </w:p>
        </w:tc>
        <w:tc>
          <w:tcPr>
            <w:tcW w:w="4950" w:type="dxa"/>
            <w:tcBorders>
              <w:top w:val="nil"/>
              <w:left w:val="nil"/>
              <w:bottom w:val="nil"/>
              <w:right w:val="nil"/>
            </w:tcBorders>
          </w:tcPr>
          <w:p w14:paraId="012158C5" w14:textId="77777777" w:rsidR="00F54DD5" w:rsidRPr="003C265D" w:rsidRDefault="00F54DD5" w:rsidP="00F54DD5">
            <w:pPr>
              <w:spacing w:before="60" w:after="60"/>
            </w:pPr>
            <w:r w:rsidRPr="003C265D">
              <w:t>Leave blank.</w:t>
            </w:r>
          </w:p>
        </w:tc>
      </w:tr>
      <w:tr w:rsidR="00F54DD5" w14:paraId="012158CA" w14:textId="77777777" w:rsidTr="006E33C4">
        <w:trPr>
          <w:cantSplit/>
          <w:trHeight w:val="403"/>
          <w:jc w:val="center"/>
        </w:trPr>
        <w:tc>
          <w:tcPr>
            <w:tcW w:w="3360" w:type="dxa"/>
            <w:tcBorders>
              <w:top w:val="nil"/>
              <w:left w:val="nil"/>
              <w:bottom w:val="nil"/>
              <w:right w:val="nil"/>
            </w:tcBorders>
          </w:tcPr>
          <w:p w14:paraId="012158C7" w14:textId="77777777" w:rsidR="00F54DD5" w:rsidRPr="003C265D" w:rsidRDefault="00F54DD5" w:rsidP="00F54DD5">
            <w:pPr>
              <w:spacing w:before="60" w:after="60"/>
            </w:pPr>
            <w:r w:rsidRPr="003C265D">
              <w:t>DoDAAC of Initial Transportation Activity</w:t>
            </w:r>
          </w:p>
        </w:tc>
        <w:tc>
          <w:tcPr>
            <w:tcW w:w="1770" w:type="dxa"/>
            <w:tcBorders>
              <w:top w:val="nil"/>
              <w:left w:val="nil"/>
              <w:bottom w:val="nil"/>
              <w:right w:val="nil"/>
            </w:tcBorders>
          </w:tcPr>
          <w:p w14:paraId="012158C8" w14:textId="77777777" w:rsidR="00F54DD5" w:rsidRPr="003C265D" w:rsidRDefault="00F54DD5" w:rsidP="00F54DD5">
            <w:pPr>
              <w:spacing w:before="60" w:after="60"/>
              <w:jc w:val="center"/>
            </w:pPr>
            <w:r w:rsidRPr="003C265D">
              <w:t>75-80</w:t>
            </w:r>
          </w:p>
        </w:tc>
        <w:tc>
          <w:tcPr>
            <w:tcW w:w="4950" w:type="dxa"/>
            <w:tcBorders>
              <w:top w:val="nil"/>
              <w:left w:val="nil"/>
              <w:bottom w:val="nil"/>
              <w:right w:val="nil"/>
            </w:tcBorders>
          </w:tcPr>
          <w:p w14:paraId="012158C9" w14:textId="77777777" w:rsidR="00F54DD5" w:rsidRPr="003C265D" w:rsidRDefault="00F54DD5" w:rsidP="00F54DD5">
            <w:pPr>
              <w:spacing w:before="60" w:after="60"/>
            </w:pPr>
            <w:r w:rsidRPr="003C265D">
              <w:t xml:space="preserve">Enter the DoDAAC of the initial (origin) transportation shipping activity.  If the </w:t>
            </w:r>
            <w:r w:rsidR="001D7933">
              <w:t>DIC</w:t>
            </w:r>
            <w:r w:rsidRPr="003C265D">
              <w:t xml:space="preserve"> AFY </w:t>
            </w:r>
            <w:r w:rsidR="0001513E" w:rsidRPr="003C265D">
              <w:t>follow-up</w:t>
            </w:r>
            <w:r w:rsidRPr="003C265D">
              <w:t xml:space="preserve"> transaction is being rejected with Status Code DY, leave blank.</w:t>
            </w:r>
          </w:p>
        </w:tc>
      </w:tr>
      <w:tr w:rsidR="00F54DD5" w14:paraId="012158CC" w14:textId="77777777" w:rsidTr="006E33C4">
        <w:trPr>
          <w:cantSplit/>
          <w:trHeight w:val="403"/>
          <w:jc w:val="center"/>
        </w:trPr>
        <w:tc>
          <w:tcPr>
            <w:tcW w:w="10080" w:type="dxa"/>
            <w:gridSpan w:val="3"/>
            <w:tcBorders>
              <w:top w:val="nil"/>
              <w:left w:val="nil"/>
              <w:bottom w:val="nil"/>
              <w:right w:val="nil"/>
            </w:tcBorders>
          </w:tcPr>
          <w:p w14:paraId="012158CB" w14:textId="77777777" w:rsidR="00F54DD5" w:rsidRPr="003C265D" w:rsidRDefault="00F54DD5" w:rsidP="006E33C4">
            <w:pPr>
              <w:keepNext/>
              <w:keepLines/>
              <w:spacing w:before="240" w:after="60"/>
            </w:pPr>
            <w:r w:rsidRPr="003C265D">
              <w:rPr>
                <w:u w:val="single"/>
              </w:rPr>
              <w:lastRenderedPageBreak/>
              <w:t xml:space="preserve">ENTRIES REQUIRED FOR SHIPMENTS TO </w:t>
            </w:r>
            <w:r w:rsidR="001D7933">
              <w:rPr>
                <w:u w:val="single"/>
              </w:rPr>
              <w:t>DI</w:t>
            </w:r>
            <w:r w:rsidRPr="003C265D">
              <w:rPr>
                <w:u w:val="single"/>
              </w:rPr>
              <w:t>SPOSAL</w:t>
            </w:r>
          </w:p>
        </w:tc>
      </w:tr>
      <w:tr w:rsidR="00F54DD5" w14:paraId="012158D0" w14:textId="77777777" w:rsidTr="006E33C4">
        <w:trPr>
          <w:cantSplit/>
          <w:trHeight w:val="403"/>
          <w:jc w:val="center"/>
        </w:trPr>
        <w:tc>
          <w:tcPr>
            <w:tcW w:w="3360" w:type="dxa"/>
            <w:tcBorders>
              <w:top w:val="nil"/>
              <w:left w:val="nil"/>
              <w:bottom w:val="nil"/>
              <w:right w:val="nil"/>
            </w:tcBorders>
          </w:tcPr>
          <w:p w14:paraId="012158CD" w14:textId="77777777" w:rsidR="00F54DD5" w:rsidRDefault="00F54DD5" w:rsidP="006E33C4">
            <w:pPr>
              <w:keepNext/>
              <w:keepLines/>
              <w:spacing w:before="60" w:after="60"/>
            </w:pPr>
            <w:r>
              <w:t>Unit Price</w:t>
            </w:r>
          </w:p>
        </w:tc>
        <w:tc>
          <w:tcPr>
            <w:tcW w:w="1770" w:type="dxa"/>
            <w:tcBorders>
              <w:top w:val="nil"/>
              <w:left w:val="nil"/>
              <w:bottom w:val="nil"/>
              <w:right w:val="nil"/>
            </w:tcBorders>
          </w:tcPr>
          <w:p w14:paraId="012158CE" w14:textId="77777777" w:rsidR="00F54DD5" w:rsidRDefault="00F54DD5" w:rsidP="006E33C4">
            <w:pPr>
              <w:keepNext/>
              <w:keepLines/>
              <w:spacing w:before="60" w:after="60"/>
              <w:jc w:val="center"/>
            </w:pPr>
            <w:r>
              <w:t>62-68</w:t>
            </w:r>
          </w:p>
        </w:tc>
        <w:tc>
          <w:tcPr>
            <w:tcW w:w="4950" w:type="dxa"/>
            <w:tcBorders>
              <w:top w:val="nil"/>
              <w:left w:val="nil"/>
              <w:bottom w:val="nil"/>
              <w:right w:val="nil"/>
            </w:tcBorders>
          </w:tcPr>
          <w:p w14:paraId="012158CF" w14:textId="77777777" w:rsidR="00F54DD5" w:rsidRDefault="00F54DD5" w:rsidP="006E33C4">
            <w:pPr>
              <w:keepNext/>
              <w:keepLines/>
              <w:spacing w:before="60" w:after="60"/>
            </w:pPr>
            <w:r>
              <w:t xml:space="preserve">Enter the unit price of the item identified in rp 8-22.  Enter an estimated unit price if pricing information is not available.  If the value for a part-numbered item exceeds the seven-position unit price field, enter the price manually on the </w:t>
            </w:r>
            <w:r w:rsidR="001D7933">
              <w:t>DIC</w:t>
            </w:r>
            <w:r>
              <w:t xml:space="preserve"> AS3 shipment status transaction and forward off-line to the </w:t>
            </w:r>
            <w:r w:rsidR="001D7933">
              <w:t>DLA Disposition Services</w:t>
            </w:r>
            <w:r>
              <w:t xml:space="preserve"> for manual processing.</w:t>
            </w:r>
          </w:p>
        </w:tc>
      </w:tr>
      <w:tr w:rsidR="00F54DD5" w14:paraId="012158D4" w14:textId="77777777" w:rsidTr="006E33C4">
        <w:trPr>
          <w:cantSplit/>
          <w:trHeight w:val="403"/>
          <w:jc w:val="center"/>
        </w:trPr>
        <w:tc>
          <w:tcPr>
            <w:tcW w:w="3360" w:type="dxa"/>
            <w:tcBorders>
              <w:top w:val="nil"/>
              <w:left w:val="nil"/>
              <w:bottom w:val="nil"/>
              <w:right w:val="nil"/>
            </w:tcBorders>
          </w:tcPr>
          <w:p w14:paraId="012158D1" w14:textId="77777777" w:rsidR="00F54DD5" w:rsidRDefault="00F54DD5" w:rsidP="00F54DD5">
            <w:pPr>
              <w:spacing w:before="60" w:after="60"/>
            </w:pPr>
            <w:r>
              <w:t>Blank</w:t>
            </w:r>
          </w:p>
        </w:tc>
        <w:tc>
          <w:tcPr>
            <w:tcW w:w="1770" w:type="dxa"/>
            <w:tcBorders>
              <w:top w:val="nil"/>
              <w:left w:val="nil"/>
              <w:bottom w:val="nil"/>
              <w:right w:val="nil"/>
            </w:tcBorders>
          </w:tcPr>
          <w:p w14:paraId="012158D2" w14:textId="77777777" w:rsidR="00F54DD5" w:rsidRDefault="00F54DD5" w:rsidP="00F54DD5">
            <w:pPr>
              <w:spacing w:before="60" w:after="60"/>
              <w:jc w:val="center"/>
            </w:pPr>
            <w:r>
              <w:t>69-76</w:t>
            </w:r>
          </w:p>
        </w:tc>
        <w:tc>
          <w:tcPr>
            <w:tcW w:w="4950" w:type="dxa"/>
            <w:tcBorders>
              <w:top w:val="nil"/>
              <w:left w:val="nil"/>
              <w:bottom w:val="nil"/>
              <w:right w:val="nil"/>
            </w:tcBorders>
          </w:tcPr>
          <w:p w14:paraId="012158D3" w14:textId="77777777" w:rsidR="00F54DD5" w:rsidRDefault="00F54DD5" w:rsidP="00F54DD5">
            <w:pPr>
              <w:spacing w:before="60" w:after="60"/>
            </w:pPr>
            <w:r>
              <w:t>Leave blank.</w:t>
            </w:r>
          </w:p>
        </w:tc>
      </w:tr>
      <w:bookmarkEnd w:id="0"/>
    </w:tbl>
    <w:p w14:paraId="012158D5" w14:textId="77777777" w:rsidR="003C37C5" w:rsidRDefault="003C37C5" w:rsidP="003C37C5">
      <w:pPr>
        <w:jc w:val="center"/>
      </w:pPr>
    </w:p>
    <w:sectPr w:rsidR="003C37C5" w:rsidSect="00D763E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58D8" w14:textId="77777777" w:rsidR="00336D4E" w:rsidRDefault="00336D4E">
      <w:r>
        <w:separator/>
      </w:r>
    </w:p>
  </w:endnote>
  <w:endnote w:type="continuationSeparator" w:id="0">
    <w:p w14:paraId="012158D9" w14:textId="77777777" w:rsidR="00336D4E" w:rsidRDefault="0033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58DD" w14:textId="77777777" w:rsidR="00776905" w:rsidRPr="00CB6D58" w:rsidRDefault="004371BF" w:rsidP="003C37C5">
    <w:pPr>
      <w:pStyle w:val="Footer"/>
      <w:framePr w:wrap="around" w:vAnchor="text" w:hAnchor="margin" w:xAlign="center" w:y="1"/>
      <w:rPr>
        <w:rStyle w:val="PageNumber"/>
        <w:b w:val="0"/>
      </w:rPr>
    </w:pPr>
    <w:r w:rsidRPr="00CB6D58">
      <w:rPr>
        <w:rStyle w:val="PageNumber"/>
        <w:b w:val="0"/>
      </w:rPr>
      <w:fldChar w:fldCharType="begin"/>
    </w:r>
    <w:r w:rsidR="00776905" w:rsidRPr="00CB6D58">
      <w:rPr>
        <w:rStyle w:val="PageNumber"/>
        <w:b w:val="0"/>
      </w:rPr>
      <w:instrText xml:space="preserve">PAGE  </w:instrText>
    </w:r>
    <w:r w:rsidRPr="00CB6D58">
      <w:rPr>
        <w:rStyle w:val="PageNumber"/>
        <w:b w:val="0"/>
      </w:rPr>
      <w:fldChar w:fldCharType="separate"/>
    </w:r>
    <w:r w:rsidR="00776905" w:rsidRPr="00CB6D58">
      <w:rPr>
        <w:rStyle w:val="PageNumber"/>
        <w:b w:val="0"/>
        <w:noProof/>
      </w:rPr>
      <w:t>3</w:t>
    </w:r>
    <w:r w:rsidRPr="00CB6D58">
      <w:rPr>
        <w:rStyle w:val="PageNumber"/>
        <w:b w:val="0"/>
      </w:rPr>
      <w:fldChar w:fldCharType="end"/>
    </w:r>
  </w:p>
  <w:p w14:paraId="012158DE" w14:textId="77777777" w:rsidR="00776905" w:rsidRPr="00FD3F13" w:rsidRDefault="00776905" w:rsidP="00FD3F13">
    <w:pPr>
      <w:pStyle w:val="Footer"/>
      <w:jc w:val="right"/>
      <w:rPr>
        <w:rStyle w:val="PageNumber"/>
        <w:b w:val="0"/>
      </w:rPr>
    </w:pPr>
    <w:r w:rsidRPr="00FD3F13">
      <w:rPr>
        <w:rStyle w:val="PageNumber"/>
        <w:b w:val="0"/>
      </w:rPr>
      <w:t>APPENDIX 3</w:t>
    </w:r>
    <w:r>
      <w:rPr>
        <w:rStyle w:val="PageNumber"/>
        <w:b w:val="0"/>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58DF" w14:textId="726C9DCA" w:rsidR="00776905" w:rsidRPr="00D763E0" w:rsidRDefault="006874D3" w:rsidP="003C37C5">
    <w:pPr>
      <w:pStyle w:val="Footer"/>
      <w:framePr w:wrap="around" w:vAnchor="text" w:hAnchor="margin" w:xAlign="center" w:y="1"/>
      <w:rPr>
        <w:rStyle w:val="PageNumber"/>
        <w:b w:val="0"/>
      </w:rPr>
    </w:pPr>
    <w:r>
      <w:rPr>
        <w:rStyle w:val="PageNumber"/>
        <w:b w:val="0"/>
      </w:rPr>
      <w:t>AP8</w:t>
    </w:r>
    <w:r w:rsidR="00776905">
      <w:rPr>
        <w:rStyle w:val="PageNumber"/>
        <w:b w:val="0"/>
      </w:rPr>
      <w:t>.19-</w:t>
    </w:r>
    <w:r w:rsidR="004371BF" w:rsidRPr="00D763E0">
      <w:rPr>
        <w:rStyle w:val="PageNumber"/>
        <w:b w:val="0"/>
      </w:rPr>
      <w:fldChar w:fldCharType="begin"/>
    </w:r>
    <w:r w:rsidR="00776905" w:rsidRPr="00D763E0">
      <w:rPr>
        <w:rStyle w:val="PageNumber"/>
        <w:b w:val="0"/>
      </w:rPr>
      <w:instrText xml:space="preserve">PAGE  </w:instrText>
    </w:r>
    <w:r w:rsidR="004371BF" w:rsidRPr="00D763E0">
      <w:rPr>
        <w:rStyle w:val="PageNumber"/>
        <w:b w:val="0"/>
      </w:rPr>
      <w:fldChar w:fldCharType="separate"/>
    </w:r>
    <w:r w:rsidR="00494BEA">
      <w:rPr>
        <w:rStyle w:val="PageNumber"/>
        <w:b w:val="0"/>
        <w:noProof/>
      </w:rPr>
      <w:t>1</w:t>
    </w:r>
    <w:r w:rsidR="004371BF" w:rsidRPr="00D763E0">
      <w:rPr>
        <w:rStyle w:val="PageNumber"/>
        <w:b w:val="0"/>
      </w:rPr>
      <w:fldChar w:fldCharType="end"/>
    </w:r>
  </w:p>
  <w:p w14:paraId="012158E0" w14:textId="2166DBAE" w:rsidR="00776905" w:rsidRPr="00FD3F13" w:rsidRDefault="00776905" w:rsidP="00681EE3">
    <w:pPr>
      <w:pStyle w:val="Footer"/>
      <w:tabs>
        <w:tab w:val="clear" w:pos="4320"/>
        <w:tab w:val="clear" w:pos="8640"/>
      </w:tabs>
      <w:jc w:val="right"/>
      <w:rPr>
        <w:rStyle w:val="PageNumber"/>
        <w:b w:val="0"/>
      </w:rPr>
    </w:pPr>
    <w:r w:rsidRPr="00FD3F13">
      <w:rPr>
        <w:rStyle w:val="PageNumber"/>
        <w:b w:val="0"/>
      </w:rPr>
      <w:t xml:space="preserve">APPENDIX </w:t>
    </w:r>
    <w:r w:rsidR="006874D3">
      <w:rPr>
        <w:rStyle w:val="PageNumber"/>
        <w:b w:val="0"/>
      </w:rPr>
      <w:t>8</w:t>
    </w:r>
    <w:r>
      <w:rPr>
        <w:rStyle w:val="PageNumber"/>
        <w:b w:val="0"/>
      </w:rP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58E4" w14:textId="02066CEB" w:rsidR="00776905" w:rsidRDefault="006874D3">
    <w:pPr>
      <w:pStyle w:val="Footer"/>
      <w:jc w:val="center"/>
      <w:rPr>
        <w:rStyle w:val="PageNumber"/>
      </w:rPr>
    </w:pPr>
    <w:r>
      <w:rPr>
        <w:rStyle w:val="PageNumber"/>
      </w:rPr>
      <w:t>AP8</w:t>
    </w:r>
    <w:r w:rsidR="00776905">
      <w:rPr>
        <w:rStyle w:val="PageNumber"/>
      </w:rPr>
      <w:t>.13-</w:t>
    </w:r>
    <w:r w:rsidR="004371BF">
      <w:rPr>
        <w:rStyle w:val="PageNumber"/>
      </w:rPr>
      <w:fldChar w:fldCharType="begin"/>
    </w:r>
    <w:r w:rsidR="00776905">
      <w:rPr>
        <w:rStyle w:val="PageNumber"/>
      </w:rPr>
      <w:instrText xml:space="preserve">PAGE  </w:instrText>
    </w:r>
    <w:r w:rsidR="004371BF">
      <w:rPr>
        <w:rStyle w:val="PageNumber"/>
      </w:rPr>
      <w:fldChar w:fldCharType="separate"/>
    </w:r>
    <w:r w:rsidR="00776905">
      <w:rPr>
        <w:rStyle w:val="PageNumber"/>
        <w:noProof/>
      </w:rPr>
      <w:t>3</w:t>
    </w:r>
    <w:r w:rsidR="004371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58D6" w14:textId="77777777" w:rsidR="00336D4E" w:rsidRDefault="00336D4E">
      <w:r>
        <w:separator/>
      </w:r>
    </w:p>
  </w:footnote>
  <w:footnote w:type="continuationSeparator" w:id="0">
    <w:p w14:paraId="012158D7" w14:textId="77777777" w:rsidR="00336D4E" w:rsidRDefault="00336D4E">
      <w:r>
        <w:continuationSeparator/>
      </w:r>
    </w:p>
  </w:footnote>
  <w:footnote w:id="1">
    <w:p w14:paraId="00613A63" w14:textId="4A844D12" w:rsidR="00AA1D9B" w:rsidRDefault="00AA1D9B">
      <w:pPr>
        <w:pStyle w:val="FootnoteText"/>
      </w:pPr>
      <w:r>
        <w:rPr>
          <w:rStyle w:val="FootnoteReference"/>
        </w:rPr>
        <w:footnoteRef/>
      </w:r>
      <w:r>
        <w:t xml:space="preserve"> Procedures requesting and/or providing the DoDAAC of the initial shipping activity last reported as not implemented by GSA.  Refer to AMCL 5.</w:t>
      </w:r>
    </w:p>
  </w:footnote>
  <w:footnote w:id="2">
    <w:p w14:paraId="012158E5" w14:textId="01A4FE2C" w:rsidR="001D38BD" w:rsidRPr="006E33C4" w:rsidRDefault="00AA1D9B">
      <w:pPr>
        <w:pStyle w:val="FootnoteText"/>
      </w:pPr>
      <w:r w:rsidRPr="006E33C4">
        <w:rPr>
          <w:rStyle w:val="FootnoteReference"/>
        </w:rPr>
        <w:t xml:space="preserve">2 </w:t>
      </w:r>
      <w:r w:rsidR="00D26EBA" w:rsidRPr="006E33C4">
        <w:t xml:space="preserve">See Appendix </w:t>
      </w:r>
      <w:r w:rsidR="006874D3">
        <w:t>AP8</w:t>
      </w:r>
      <w:r w:rsidR="00D26EBA" w:rsidRPr="006E33C4">
        <w:t xml:space="preserve">.1 - Formats Introduction, Paragraph </w:t>
      </w:r>
      <w:r w:rsidR="006874D3">
        <w:t>AP8</w:t>
      </w:r>
      <w:r w:rsidR="00D26EBA" w:rsidRPr="006E33C4">
        <w:t>.1.3</w:t>
      </w:r>
      <w:r w:rsidR="001D38BD" w:rsidRPr="006E33C4">
        <w:t xml:space="preserve"> </w:t>
      </w:r>
    </w:p>
  </w:footnote>
  <w:footnote w:id="3">
    <w:p w14:paraId="012158E7" w14:textId="5BF3A955" w:rsidR="008309D6" w:rsidRDefault="008309D6">
      <w:pPr>
        <w:pStyle w:val="FootnoteText"/>
      </w:pPr>
      <w:r w:rsidRPr="006E33C4">
        <w:rPr>
          <w:rStyle w:val="FootnoteReference"/>
        </w:rPr>
        <w:footnoteRef/>
      </w:r>
      <w:r w:rsidRPr="006E33C4">
        <w:t xml:space="preserve"> Intra-Service ammunition and ammunition related orders following the ammunition storage site selection utilize the storage depot being transacted against instead of the Inventory Control Point when providing supply and shipment status in order to maintain traceability of ammunition and ammunition related items shipped.  Refer to ADC 441/441A, Clarification of Exception Rules to Accommodate Communication of Ammunition/Ammunition Related Quantities in Excess of Five Digits.</w:t>
      </w:r>
    </w:p>
  </w:footnote>
  <w:footnote w:id="4">
    <w:p w14:paraId="012158E8" w14:textId="33E6B24B" w:rsidR="009479D8" w:rsidRPr="00C47CCB" w:rsidRDefault="009479D8">
      <w:pPr>
        <w:pStyle w:val="FootnoteText"/>
      </w:pPr>
      <w:r w:rsidRPr="00C47CCB">
        <w:rPr>
          <w:rStyle w:val="FootnoteReference"/>
        </w:rPr>
        <w:footnoteRef/>
      </w:r>
      <w:r w:rsidRPr="00C47CCB">
        <w:t xml:space="preserve"> Refer to the </w:t>
      </w:r>
      <w:r w:rsidR="00613D18">
        <w:t>TRDM</w:t>
      </w:r>
      <w:r w:rsidR="00613D18" w:rsidRPr="00C47CCB">
        <w:t xml:space="preserve"> </w:t>
      </w:r>
      <w:r w:rsidRPr="00C47CCB">
        <w:t xml:space="preserve">for available code list at </w:t>
      </w:r>
      <w:hyperlink r:id="rId1" w:history="1">
        <w:r w:rsidR="0060671D">
          <w:rPr>
            <w:rStyle w:val="Hyperlink"/>
          </w:rPr>
          <w:t>https://trdmws.maf.ustranscom.mil/trdm/index.html</w:t>
        </w:r>
      </w:hyperlink>
      <w:r w:rsidR="00613D18" w:rsidRPr="00613D18">
        <w:t xml:space="preserve"> </w:t>
      </w:r>
      <w:r w:rsidR="0060671D">
        <w:br/>
      </w:r>
      <w:r w:rsidR="00613D18" w:rsidRPr="00613D18">
        <w:t>(DTR Data)</w:t>
      </w:r>
    </w:p>
  </w:footnote>
  <w:footnote w:id="5">
    <w:p w14:paraId="012158E9" w14:textId="45D9BBFD" w:rsidR="00776905" w:rsidRPr="00803C4D" w:rsidRDefault="00776905" w:rsidP="00F54DD5">
      <w:pPr>
        <w:pStyle w:val="FootnoteText"/>
        <w:rPr>
          <w:sz w:val="24"/>
        </w:rPr>
      </w:pPr>
      <w:r w:rsidRPr="00803C4D">
        <w:rPr>
          <w:rStyle w:val="FootnoteReference"/>
        </w:rPr>
        <w:footnoteRef/>
      </w:r>
      <w:r w:rsidRPr="00803C4D">
        <w:rPr>
          <w:sz w:val="24"/>
        </w:rPr>
        <w:t xml:space="preserve"> </w:t>
      </w:r>
      <w:r w:rsidR="00AA1D9B">
        <w:t>Procedures requesting and/or providing the DoDAAC of the initial shipping activity last reported as not implemented by GSA.  Refer to AMCL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58DA" w14:textId="77777777" w:rsidR="00776905" w:rsidRDefault="00776905" w:rsidP="002D2929">
    <w:pPr>
      <w:pStyle w:val="Header"/>
      <w:jc w:val="right"/>
      <w:rPr>
        <w:i/>
        <w:u w:val="none"/>
      </w:rPr>
    </w:pPr>
    <w:r w:rsidRPr="00445F81">
      <w:rPr>
        <w:i/>
        <w:u w:val="none"/>
      </w:rPr>
      <w:t>D</w:t>
    </w:r>
    <w:r>
      <w:rPr>
        <w:i/>
        <w:u w:val="none"/>
      </w:rPr>
      <w:t>o</w:t>
    </w:r>
    <w:r w:rsidRPr="00445F81">
      <w:rPr>
        <w:i/>
        <w:u w:val="none"/>
      </w:rPr>
      <w:t xml:space="preserve">D 4000.25-1-M, </w:t>
    </w:r>
    <w:r>
      <w:rPr>
        <w:i/>
        <w:u w:val="none"/>
      </w:rPr>
      <w:t>January, 2006</w:t>
    </w:r>
  </w:p>
  <w:p w14:paraId="012158DB" w14:textId="77777777" w:rsidR="00776905" w:rsidRPr="002D2929" w:rsidRDefault="00776905" w:rsidP="002D2929">
    <w:pPr>
      <w:pStyle w:val="Header"/>
      <w:jc w:val="right"/>
      <w:rPr>
        <w:i/>
        <w:u w:val="none"/>
      </w:rPr>
    </w:pPr>
    <w:r>
      <w:rPr>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A54B" w14:textId="324E6F7A" w:rsidR="006874D3" w:rsidRDefault="006874D3" w:rsidP="006874D3">
    <w:pPr>
      <w:tabs>
        <w:tab w:val="left" w:pos="720"/>
        <w:tab w:val="center" w:pos="4320"/>
        <w:tab w:val="right" w:pos="8640"/>
      </w:tabs>
      <w:jc w:val="right"/>
      <w:rPr>
        <w:rFonts w:cs="Arial"/>
        <w:i/>
        <w:szCs w:val="24"/>
      </w:rPr>
    </w:pPr>
    <w:r>
      <w:rPr>
        <w:rFonts w:cs="Arial"/>
        <w:i/>
        <w:szCs w:val="24"/>
      </w:rPr>
      <w:t xml:space="preserve">DLM 4000.25, Volume 2, </w:t>
    </w:r>
    <w:r w:rsidR="00494BEA">
      <w:rPr>
        <w:i/>
      </w:rPr>
      <w:t>November 26</w:t>
    </w:r>
    <w:r>
      <w:rPr>
        <w:rFonts w:cs="Arial"/>
        <w:i/>
        <w:szCs w:val="24"/>
      </w:rPr>
      <w:t>, 2019</w:t>
    </w:r>
  </w:p>
  <w:p w14:paraId="4424A787" w14:textId="69385E12" w:rsidR="006C6A62" w:rsidRPr="00BE7D32" w:rsidRDefault="006874D3" w:rsidP="006874D3">
    <w:pPr>
      <w:tabs>
        <w:tab w:val="left" w:pos="720"/>
        <w:tab w:val="center" w:pos="4320"/>
        <w:tab w:val="right" w:pos="8640"/>
      </w:tabs>
      <w:jc w:val="right"/>
      <w:rPr>
        <w:i/>
      </w:rPr>
    </w:pPr>
    <w:r>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58E1" w14:textId="77777777" w:rsidR="00776905" w:rsidRPr="00CB6D58" w:rsidRDefault="00776905" w:rsidP="00BA5230">
    <w:pPr>
      <w:pStyle w:val="Header"/>
      <w:tabs>
        <w:tab w:val="left" w:pos="7920"/>
      </w:tabs>
      <w:jc w:val="left"/>
      <w:rPr>
        <w:u w:val="none"/>
      </w:rPr>
    </w:pPr>
    <w:r w:rsidRPr="00CB6D58">
      <w:rPr>
        <w:u w:val="none"/>
      </w:rPr>
      <w:tab/>
    </w:r>
    <w:r w:rsidRPr="00CB6D58">
      <w:rPr>
        <w:u w:val="none"/>
      </w:rPr>
      <w:tab/>
      <w:t xml:space="preserve">    IC 02-04</w:t>
    </w:r>
  </w:p>
  <w:p w14:paraId="012158E2" w14:textId="77777777" w:rsidR="00776905" w:rsidRDefault="00776905">
    <w:pPr>
      <w:pStyle w:val="Header"/>
      <w:jc w:val="right"/>
      <w:rPr>
        <w:b/>
        <w:u w:val="none"/>
      </w:rPr>
    </w:pPr>
    <w:r>
      <w:rPr>
        <w:b/>
        <w:u w:val="none"/>
      </w:rPr>
      <w:t>DoD 4000.25-1-M</w:t>
    </w:r>
  </w:p>
  <w:p w14:paraId="012158E3" w14:textId="77777777" w:rsidR="00776905" w:rsidRDefault="00776905">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3FABADC"/>
    <w:lvl w:ilvl="0">
      <w:start w:val="34"/>
      <w:numFmt w:val="none"/>
      <w:pStyle w:val="Heading1"/>
      <w:suff w:val="nothing"/>
      <w:lvlText w:val="AP3.19 APPENDIX 3.19"/>
      <w:lvlJc w:val="left"/>
      <w:pPr>
        <w:ind w:left="0" w:firstLine="0"/>
      </w:pPr>
      <w:rPr>
        <w:rFonts w:ascii="Arial" w:hAnsi="Arial" w:hint="default"/>
        <w:b/>
        <w:i w:val="0"/>
        <w:sz w:val="48"/>
      </w:rPr>
    </w:lvl>
    <w:lvl w:ilvl="1">
      <w:start w:val="1"/>
      <w:numFmt w:val="none"/>
      <w:pStyle w:val="Heading2"/>
      <w:suff w:val="nothing"/>
      <w:lvlText w:val="AP3.19. "/>
      <w:lvlJc w:val="left"/>
      <w:pPr>
        <w:ind w:left="0" w:firstLine="0"/>
      </w:pPr>
      <w:rPr>
        <w:rFonts w:ascii="Arial" w:hAnsi="Arial" w:hint="default"/>
        <w:b/>
        <w:i w:val="0"/>
        <w:sz w:val="24"/>
      </w:rPr>
    </w:lvl>
    <w:lvl w:ilvl="2">
      <w:start w:val="1"/>
      <w:numFmt w:val="decimal"/>
      <w:pStyle w:val="Heading3"/>
      <w:suff w:val="nothing"/>
      <w:lvlText w:val="AP3.19.%3. "/>
      <w:lvlJc w:val="left"/>
      <w:pPr>
        <w:ind w:left="0" w:firstLine="360"/>
      </w:pPr>
      <w:rPr>
        <w:rFonts w:ascii="Arial" w:hAnsi="Arial" w:hint="default"/>
        <w:b/>
        <w:i w:val="0"/>
        <w:sz w:val="24"/>
      </w:rPr>
    </w:lvl>
    <w:lvl w:ilvl="3">
      <w:start w:val="1"/>
      <w:numFmt w:val="decimal"/>
      <w:pStyle w:val="Heading4"/>
      <w:suff w:val="nothing"/>
      <w:lvlText w:val="AP3.19.%3.%4. "/>
      <w:lvlJc w:val="left"/>
      <w:pPr>
        <w:ind w:left="0" w:firstLine="720"/>
      </w:pPr>
      <w:rPr>
        <w:rFonts w:ascii="Arial" w:hAnsi="Arial" w:hint="default"/>
        <w:b/>
        <w:i w:val="0"/>
        <w:sz w:val="24"/>
      </w:rPr>
    </w:lvl>
    <w:lvl w:ilvl="4">
      <w:start w:val="1"/>
      <w:numFmt w:val="decimal"/>
      <w:pStyle w:val="Heading5"/>
      <w:suff w:val="nothing"/>
      <w:lvlText w:val="AP3.19.%3.%4.%5. "/>
      <w:lvlJc w:val="left"/>
      <w:pPr>
        <w:ind w:left="0" w:firstLine="1080"/>
      </w:pPr>
      <w:rPr>
        <w:rFonts w:ascii="Arial" w:hAnsi="Arial" w:hint="default"/>
        <w:b/>
        <w:i w:val="0"/>
        <w:sz w:val="24"/>
      </w:rPr>
    </w:lvl>
    <w:lvl w:ilvl="5">
      <w:start w:val="1"/>
      <w:numFmt w:val="decimal"/>
      <w:pStyle w:val="Heading6"/>
      <w:suff w:val="nothing"/>
      <w:lvlText w:val="AP3%1.19.%3.%4.%5.%6. "/>
      <w:lvlJc w:val="left"/>
      <w:pPr>
        <w:ind w:left="0" w:firstLine="1440"/>
      </w:pPr>
      <w:rPr>
        <w:rFonts w:ascii="Arial" w:hAnsi="Arial" w:hint="default"/>
        <w:b/>
        <w:i w:val="0"/>
        <w:sz w:val="24"/>
      </w:rPr>
    </w:lvl>
    <w:lvl w:ilvl="6">
      <w:start w:val="1"/>
      <w:numFmt w:val="decimal"/>
      <w:pStyle w:val="Heading7"/>
      <w:suff w:val="nothing"/>
      <w:lvlText w:val="AP3%1.19.%3.%4.%5.%6.%7. "/>
      <w:lvlJc w:val="left"/>
      <w:pPr>
        <w:ind w:left="0" w:firstLine="1800"/>
      </w:pPr>
      <w:rPr>
        <w:rFonts w:ascii="Arial" w:hAnsi="Arial" w:hint="default"/>
        <w:b/>
        <w:i w:val="0"/>
        <w:sz w:val="24"/>
      </w:rPr>
    </w:lvl>
    <w:lvl w:ilvl="7">
      <w:start w:val="1"/>
      <w:numFmt w:val="decimal"/>
      <w:pStyle w:val="Heading8"/>
      <w:suff w:val="nothing"/>
      <w:lvlText w:val="AP3.19.%3.%4.%5.%6.%7.%8. "/>
      <w:lvlJc w:val="left"/>
      <w:pPr>
        <w:ind w:left="0" w:firstLine="2160"/>
      </w:pPr>
      <w:rPr>
        <w:rFonts w:ascii="Arial" w:hAnsi="Arial" w:hint="default"/>
        <w:b/>
        <w:i w:val="0"/>
        <w:sz w:val="24"/>
      </w:rPr>
    </w:lvl>
    <w:lvl w:ilvl="8">
      <w:start w:val="1"/>
      <w:numFmt w:val="decimal"/>
      <w:pStyle w:val="Codes"/>
      <w:suff w:val="nothing"/>
      <w:lvlText w:val="AP3%1.19.%3.%4.%5.%6.%7.%8.%9. "/>
      <w:lvlJc w:val="left"/>
      <w:pPr>
        <w:ind w:left="0" w:firstLine="2520"/>
      </w:pPr>
      <w:rPr>
        <w:rFonts w:ascii="Arial" w:hAnsi="Arial" w:hint="default"/>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4DD5"/>
    <w:rsid w:val="0001513E"/>
    <w:rsid w:val="00122208"/>
    <w:rsid w:val="0012252F"/>
    <w:rsid w:val="00147B10"/>
    <w:rsid w:val="00160CB0"/>
    <w:rsid w:val="00190231"/>
    <w:rsid w:val="001D38BD"/>
    <w:rsid w:val="001D46E5"/>
    <w:rsid w:val="001D7933"/>
    <w:rsid w:val="002319E2"/>
    <w:rsid w:val="00236196"/>
    <w:rsid w:val="00272511"/>
    <w:rsid w:val="002730AC"/>
    <w:rsid w:val="0027723D"/>
    <w:rsid w:val="002D1CE3"/>
    <w:rsid w:val="002D2929"/>
    <w:rsid w:val="00300A06"/>
    <w:rsid w:val="003353BC"/>
    <w:rsid w:val="00336D4E"/>
    <w:rsid w:val="00374D71"/>
    <w:rsid w:val="00395B3D"/>
    <w:rsid w:val="003A4A17"/>
    <w:rsid w:val="003B08A0"/>
    <w:rsid w:val="003C166A"/>
    <w:rsid w:val="003C265D"/>
    <w:rsid w:val="003C37C5"/>
    <w:rsid w:val="004371BF"/>
    <w:rsid w:val="00494BEA"/>
    <w:rsid w:val="004A2B82"/>
    <w:rsid w:val="004C76FB"/>
    <w:rsid w:val="00520E30"/>
    <w:rsid w:val="00533FF9"/>
    <w:rsid w:val="005B679D"/>
    <w:rsid w:val="0060671D"/>
    <w:rsid w:val="00613D18"/>
    <w:rsid w:val="00681EE3"/>
    <w:rsid w:val="00683405"/>
    <w:rsid w:val="006874D3"/>
    <w:rsid w:val="006A3B8E"/>
    <w:rsid w:val="006C6A62"/>
    <w:rsid w:val="006D51C0"/>
    <w:rsid w:val="006E33C4"/>
    <w:rsid w:val="006E62F5"/>
    <w:rsid w:val="00776905"/>
    <w:rsid w:val="0078318A"/>
    <w:rsid w:val="007F6C9E"/>
    <w:rsid w:val="008005D8"/>
    <w:rsid w:val="00803C4D"/>
    <w:rsid w:val="00816924"/>
    <w:rsid w:val="008279C2"/>
    <w:rsid w:val="008309D6"/>
    <w:rsid w:val="00841290"/>
    <w:rsid w:val="00844A15"/>
    <w:rsid w:val="008638FA"/>
    <w:rsid w:val="00880572"/>
    <w:rsid w:val="0088614B"/>
    <w:rsid w:val="00894C5F"/>
    <w:rsid w:val="008D26A5"/>
    <w:rsid w:val="009375CF"/>
    <w:rsid w:val="009479D8"/>
    <w:rsid w:val="009A25D5"/>
    <w:rsid w:val="009C0C91"/>
    <w:rsid w:val="009C75AB"/>
    <w:rsid w:val="009F43D6"/>
    <w:rsid w:val="00A92C7E"/>
    <w:rsid w:val="00AA0C81"/>
    <w:rsid w:val="00AA1D9B"/>
    <w:rsid w:val="00AA404D"/>
    <w:rsid w:val="00AB0854"/>
    <w:rsid w:val="00AE5523"/>
    <w:rsid w:val="00B04782"/>
    <w:rsid w:val="00B43421"/>
    <w:rsid w:val="00B93C64"/>
    <w:rsid w:val="00BA2B7F"/>
    <w:rsid w:val="00BA5230"/>
    <w:rsid w:val="00BE2C0C"/>
    <w:rsid w:val="00BE7D32"/>
    <w:rsid w:val="00C47CCB"/>
    <w:rsid w:val="00CB6D58"/>
    <w:rsid w:val="00CC3943"/>
    <w:rsid w:val="00D14BD7"/>
    <w:rsid w:val="00D26EBA"/>
    <w:rsid w:val="00D35A33"/>
    <w:rsid w:val="00D5449E"/>
    <w:rsid w:val="00D763E0"/>
    <w:rsid w:val="00D824E0"/>
    <w:rsid w:val="00DD577F"/>
    <w:rsid w:val="00E0610C"/>
    <w:rsid w:val="00E06D02"/>
    <w:rsid w:val="00E07669"/>
    <w:rsid w:val="00E53747"/>
    <w:rsid w:val="00E72B7C"/>
    <w:rsid w:val="00E84E4E"/>
    <w:rsid w:val="00EB47B0"/>
    <w:rsid w:val="00F54DD5"/>
    <w:rsid w:val="00F63A8D"/>
    <w:rsid w:val="00FD3F13"/>
    <w:rsid w:val="00FE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5867"/>
  <w15:docId w15:val="{DE4141C1-B99E-4EBE-894F-F98FBB75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D5"/>
    <w:rPr>
      <w:rFonts w:ascii="Arial" w:hAnsi="Arial"/>
      <w:sz w:val="24"/>
    </w:rPr>
  </w:style>
  <w:style w:type="paragraph" w:styleId="Heading1">
    <w:name w:val="heading 1"/>
    <w:basedOn w:val="Normal"/>
    <w:next w:val="Heading2"/>
    <w:qFormat/>
    <w:rsid w:val="00F54DD5"/>
    <w:pPr>
      <w:numPr>
        <w:numId w:val="1"/>
      </w:numPr>
      <w:spacing w:before="60" w:after="120"/>
      <w:outlineLvl w:val="0"/>
    </w:pPr>
    <w:rPr>
      <w:b/>
      <w:caps/>
      <w:sz w:val="28"/>
    </w:rPr>
  </w:style>
  <w:style w:type="paragraph" w:styleId="Heading2">
    <w:name w:val="heading 2"/>
    <w:basedOn w:val="Normal"/>
    <w:qFormat/>
    <w:rsid w:val="00F54DD5"/>
    <w:pPr>
      <w:numPr>
        <w:ilvl w:val="1"/>
        <w:numId w:val="1"/>
      </w:numPr>
      <w:spacing w:before="60" w:after="120"/>
      <w:outlineLvl w:val="1"/>
    </w:pPr>
  </w:style>
  <w:style w:type="paragraph" w:styleId="Heading3">
    <w:name w:val="heading 3"/>
    <w:basedOn w:val="Normal"/>
    <w:qFormat/>
    <w:rsid w:val="00F54DD5"/>
    <w:pPr>
      <w:numPr>
        <w:ilvl w:val="2"/>
        <w:numId w:val="1"/>
      </w:numPr>
      <w:tabs>
        <w:tab w:val="left" w:pos="1530"/>
      </w:tabs>
      <w:spacing w:before="60" w:after="120"/>
      <w:outlineLvl w:val="2"/>
    </w:pPr>
  </w:style>
  <w:style w:type="paragraph" w:styleId="Heading4">
    <w:name w:val="heading 4"/>
    <w:basedOn w:val="Normal"/>
    <w:qFormat/>
    <w:rsid w:val="00F54DD5"/>
    <w:pPr>
      <w:numPr>
        <w:ilvl w:val="3"/>
        <w:numId w:val="1"/>
      </w:numPr>
      <w:spacing w:before="60" w:after="120"/>
      <w:outlineLvl w:val="3"/>
    </w:pPr>
  </w:style>
  <w:style w:type="paragraph" w:styleId="Heading5">
    <w:name w:val="heading 5"/>
    <w:basedOn w:val="Normal"/>
    <w:qFormat/>
    <w:rsid w:val="00F54DD5"/>
    <w:pPr>
      <w:numPr>
        <w:ilvl w:val="4"/>
        <w:numId w:val="1"/>
      </w:numPr>
      <w:spacing w:before="60" w:after="120"/>
      <w:outlineLvl w:val="4"/>
    </w:pPr>
  </w:style>
  <w:style w:type="paragraph" w:styleId="Heading6">
    <w:name w:val="heading 6"/>
    <w:basedOn w:val="Normal"/>
    <w:qFormat/>
    <w:rsid w:val="00F54DD5"/>
    <w:pPr>
      <w:numPr>
        <w:ilvl w:val="5"/>
        <w:numId w:val="1"/>
      </w:numPr>
      <w:tabs>
        <w:tab w:val="left" w:pos="3150"/>
      </w:tabs>
      <w:spacing w:before="60" w:after="120"/>
      <w:outlineLvl w:val="5"/>
    </w:pPr>
  </w:style>
  <w:style w:type="paragraph" w:styleId="Heading7">
    <w:name w:val="heading 7"/>
    <w:basedOn w:val="Normal"/>
    <w:qFormat/>
    <w:rsid w:val="00F54DD5"/>
    <w:pPr>
      <w:numPr>
        <w:ilvl w:val="6"/>
        <w:numId w:val="1"/>
      </w:numPr>
      <w:spacing w:before="60" w:after="120"/>
      <w:outlineLvl w:val="6"/>
    </w:pPr>
  </w:style>
  <w:style w:type="paragraph" w:styleId="Heading8">
    <w:name w:val="heading 8"/>
    <w:basedOn w:val="Normal"/>
    <w:next w:val="Heading9"/>
    <w:qFormat/>
    <w:rsid w:val="00F54DD5"/>
    <w:pPr>
      <w:numPr>
        <w:ilvl w:val="7"/>
        <w:numId w:val="1"/>
      </w:numPr>
      <w:spacing w:before="60" w:after="120"/>
      <w:outlineLvl w:val="7"/>
    </w:pPr>
  </w:style>
  <w:style w:type="paragraph" w:styleId="Heading9">
    <w:name w:val="heading 9"/>
    <w:basedOn w:val="Normal"/>
    <w:next w:val="Normal"/>
    <w:qFormat/>
    <w:rsid w:val="00F54DD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54DD5"/>
    <w:rPr>
      <w:vertAlign w:val="superscript"/>
    </w:rPr>
  </w:style>
  <w:style w:type="character" w:styleId="PageNumber">
    <w:name w:val="page number"/>
    <w:basedOn w:val="DefaultParagraphFont"/>
    <w:rsid w:val="00F54DD5"/>
    <w:rPr>
      <w:rFonts w:ascii="Arial" w:hAnsi="Arial"/>
      <w:b/>
      <w:sz w:val="24"/>
    </w:rPr>
  </w:style>
  <w:style w:type="paragraph" w:styleId="Footer">
    <w:name w:val="footer"/>
    <w:basedOn w:val="Normal"/>
    <w:rsid w:val="00F54DD5"/>
    <w:pPr>
      <w:tabs>
        <w:tab w:val="center" w:pos="4320"/>
        <w:tab w:val="right" w:pos="8640"/>
      </w:tabs>
    </w:pPr>
  </w:style>
  <w:style w:type="paragraph" w:styleId="Header">
    <w:name w:val="header"/>
    <w:basedOn w:val="Normal"/>
    <w:rsid w:val="00F54DD5"/>
    <w:pPr>
      <w:tabs>
        <w:tab w:val="center" w:pos="4320"/>
        <w:tab w:val="right" w:pos="8640"/>
      </w:tabs>
      <w:jc w:val="center"/>
    </w:pPr>
    <w:rPr>
      <w:u w:val="single"/>
    </w:rPr>
  </w:style>
  <w:style w:type="paragraph" w:styleId="FootnoteText">
    <w:name w:val="footnote text"/>
    <w:basedOn w:val="Normal"/>
    <w:semiHidden/>
    <w:rsid w:val="00F54DD5"/>
    <w:rPr>
      <w:sz w:val="20"/>
    </w:rPr>
  </w:style>
  <w:style w:type="paragraph" w:customStyle="1" w:styleId="Codes">
    <w:name w:val="Codes"/>
    <w:rsid w:val="00F54DD5"/>
    <w:pPr>
      <w:numPr>
        <w:ilvl w:val="8"/>
        <w:numId w:val="1"/>
      </w:numPr>
    </w:pPr>
    <w:rPr>
      <w:rFonts w:ascii="Arial" w:hAnsi="Arial"/>
      <w:noProof/>
      <w:sz w:val="24"/>
    </w:rPr>
  </w:style>
  <w:style w:type="paragraph" w:styleId="BalloonText">
    <w:name w:val="Balloon Text"/>
    <w:basedOn w:val="Normal"/>
    <w:semiHidden/>
    <w:rsid w:val="009C0C91"/>
    <w:rPr>
      <w:rFonts w:ascii="Tahoma" w:hAnsi="Tahoma" w:cs="Tahoma"/>
      <w:sz w:val="16"/>
      <w:szCs w:val="16"/>
    </w:rPr>
  </w:style>
  <w:style w:type="character" w:styleId="Hyperlink">
    <w:name w:val="Hyperlink"/>
    <w:basedOn w:val="DefaultParagraphFont"/>
    <w:rsid w:val="009479D8"/>
    <w:rPr>
      <w:color w:val="0000FF"/>
      <w:u w:val="single"/>
    </w:rPr>
  </w:style>
  <w:style w:type="character" w:styleId="CommentReference">
    <w:name w:val="annotation reference"/>
    <w:basedOn w:val="DefaultParagraphFont"/>
    <w:rsid w:val="001D7933"/>
    <w:rPr>
      <w:sz w:val="16"/>
      <w:szCs w:val="16"/>
    </w:rPr>
  </w:style>
  <w:style w:type="paragraph" w:styleId="CommentText">
    <w:name w:val="annotation text"/>
    <w:basedOn w:val="Normal"/>
    <w:link w:val="CommentTextChar"/>
    <w:rsid w:val="001D7933"/>
    <w:rPr>
      <w:sz w:val="20"/>
    </w:rPr>
  </w:style>
  <w:style w:type="character" w:customStyle="1" w:styleId="CommentTextChar">
    <w:name w:val="Comment Text Char"/>
    <w:basedOn w:val="DefaultParagraphFont"/>
    <w:link w:val="CommentText"/>
    <w:rsid w:val="001D7933"/>
    <w:rPr>
      <w:rFonts w:ascii="Arial" w:hAnsi="Arial"/>
    </w:rPr>
  </w:style>
  <w:style w:type="paragraph" w:styleId="CommentSubject">
    <w:name w:val="annotation subject"/>
    <w:basedOn w:val="CommentText"/>
    <w:next w:val="CommentText"/>
    <w:link w:val="CommentSubjectChar"/>
    <w:rsid w:val="001D7933"/>
    <w:rPr>
      <w:b/>
      <w:bCs/>
    </w:rPr>
  </w:style>
  <w:style w:type="character" w:customStyle="1" w:styleId="CommentSubjectChar">
    <w:name w:val="Comment Subject Char"/>
    <w:basedOn w:val="CommentTextChar"/>
    <w:link w:val="CommentSubject"/>
    <w:rsid w:val="001D7933"/>
    <w:rPr>
      <w:rFonts w:ascii="Arial" w:hAnsi="Arial"/>
      <w:b/>
      <w:bCs/>
    </w:rPr>
  </w:style>
  <w:style w:type="character" w:styleId="FollowedHyperlink">
    <w:name w:val="FollowedHyperlink"/>
    <w:basedOn w:val="DefaultParagraphFont"/>
    <w:rsid w:val="006E3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rdmws.maf.ustranscom.mil/trd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AA05-7D95-4263-9CBC-AAFC72C8D532}">
  <ds:schemaRefs>
    <ds:schemaRef ds:uri="http://schemas.microsoft.com/sharepoint/v3/contenttype/forms"/>
  </ds:schemaRefs>
</ds:datastoreItem>
</file>

<file path=customXml/itemProps2.xml><?xml version="1.0" encoding="utf-8"?>
<ds:datastoreItem xmlns:ds="http://schemas.openxmlformats.org/officeDocument/2006/customXml" ds:itemID="{898D83D5-CC42-4639-B18D-1D86AF971A3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D039AB-C907-4394-92CE-81E01D4C4641}"/>
</file>

<file path=customXml/itemProps4.xml><?xml version="1.0" encoding="utf-8"?>
<ds:datastoreItem xmlns:ds="http://schemas.openxmlformats.org/officeDocument/2006/customXml" ds:itemID="{B836E098-98F1-4033-9974-C8CDDD32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16890C2C.dotm</Template>
  <TotalTime>45</TotalTime>
  <Pages>4</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3.19 - Shipment Status</vt:lpstr>
    </vt:vector>
  </TitlesOfParts>
  <Company>DLA Logistics Management Standards Office</Company>
  <LinksUpToDate>false</LinksUpToDate>
  <CharactersWithSpaces>4264</CharactersWithSpaces>
  <SharedDoc>false</SharedDoc>
  <HLinks>
    <vt:vector size="6" baseType="variant">
      <vt:variant>
        <vt:i4>1179699</vt:i4>
      </vt:variant>
      <vt:variant>
        <vt:i4>0</vt:i4>
      </vt:variant>
      <vt:variant>
        <vt:i4>0</vt:i4>
      </vt:variant>
      <vt:variant>
        <vt:i4>5</vt:i4>
      </vt:variant>
      <vt:variant>
        <vt:lpwstr>https://www-tmds.c2.amc.af.mil/TMDS/dtr_index.xsql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8.19 - Shipment Status</dc:title>
  <dc:creator>Heidi Daverede</dc:creator>
  <cp:lastModifiedBy>Nguyen, Bao X CTR DLA INFO OPERATIONS (USA)</cp:lastModifiedBy>
  <cp:revision>19</cp:revision>
  <cp:lastPrinted>2007-10-26T13:22:00Z</cp:lastPrinted>
  <dcterms:created xsi:type="dcterms:W3CDTF">2012-01-24T17:24:00Z</dcterms:created>
  <dcterms:modified xsi:type="dcterms:W3CDTF">2019-11-26T22:01:00Z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2301600</vt:r8>
  </property>
</Properties>
</file>