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23F60" w14:textId="0C06C7FC" w:rsidR="008A6E05" w:rsidRPr="00D312E7" w:rsidRDefault="00002E12" w:rsidP="008A6E05">
      <w:pPr>
        <w:spacing w:after="240"/>
        <w:jc w:val="center"/>
        <w:rPr>
          <w:b/>
          <w:sz w:val="44"/>
          <w:szCs w:val="44"/>
          <w:u w:val="single"/>
        </w:rPr>
      </w:pPr>
      <w:r w:rsidRPr="00D312E7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111976" w:rsidRPr="00D312E7">
        <w:rPr>
          <w:b/>
          <w:sz w:val="44"/>
          <w:szCs w:val="44"/>
          <w:u w:val="single"/>
        </w:rPr>
        <w:t>.33</w:t>
      </w:r>
      <w:r w:rsidR="00FB3D5D" w:rsidRPr="00D312E7">
        <w:rPr>
          <w:b/>
          <w:sz w:val="44"/>
          <w:szCs w:val="44"/>
          <w:u w:val="single"/>
        </w:rPr>
        <w:t>.</w:t>
      </w:r>
      <w:r w:rsidR="00111976" w:rsidRPr="00D312E7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111976" w:rsidRPr="00D312E7">
        <w:rPr>
          <w:b/>
          <w:sz w:val="44"/>
          <w:szCs w:val="44"/>
          <w:u w:val="single"/>
        </w:rPr>
        <w:t>.33</w:t>
      </w:r>
      <w:bookmarkStart w:id="0" w:name="A2"/>
    </w:p>
    <w:p w14:paraId="5E423F61" w14:textId="77777777" w:rsidR="00C9170C" w:rsidRPr="001F5C1F" w:rsidRDefault="00C53A5E" w:rsidP="001F5C1F">
      <w:pPr>
        <w:spacing w:after="360"/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CUSTOMER ASSET REPORT</w:t>
      </w:r>
      <w:r w:rsidR="008A6E05">
        <w:rPr>
          <w:b/>
          <w:sz w:val="36"/>
          <w:u w:val="single"/>
        </w:rPr>
        <w:br/>
      </w:r>
      <w:r>
        <w:rPr>
          <w:b/>
          <w:sz w:val="36"/>
          <w:u w:val="single"/>
        </w:rPr>
        <w:t>(MATERIEL RETURNS PROGRAM)</w:t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10"/>
        <w:gridCol w:w="1620"/>
        <w:gridCol w:w="2070"/>
        <w:gridCol w:w="3780"/>
      </w:tblGrid>
      <w:tr w:rsidR="00C53A5E" w:rsidRPr="00903715" w14:paraId="5E423F69" w14:textId="786BC76A">
        <w:trPr>
          <w:cantSplit/>
          <w:trHeight w:val="403"/>
          <w:tblHeader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3F62" w14:textId="77777777" w:rsidR="00C53A5E" w:rsidRPr="00903715" w:rsidRDefault="00C53A5E" w:rsidP="00903715">
            <w:pPr>
              <w:spacing w:before="60" w:after="120"/>
            </w:pPr>
            <w:r w:rsidRPr="00903715">
              <w:t>FIELD LEGEND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3F63" w14:textId="77777777" w:rsidR="00C53A5E" w:rsidRPr="00903715" w:rsidRDefault="00C53A5E" w:rsidP="00903715">
            <w:pPr>
              <w:spacing w:before="60" w:after="120"/>
              <w:jc w:val="center"/>
            </w:pPr>
            <w:r w:rsidRPr="00903715">
              <w:rPr>
                <w:sz w:val="22"/>
              </w:rPr>
              <w:t>(MANUAL)</w:t>
            </w:r>
          </w:p>
          <w:p w14:paraId="5E423F64" w14:textId="77777777" w:rsidR="00C53A5E" w:rsidRPr="00903715" w:rsidRDefault="00C53A5E" w:rsidP="00903715">
            <w:pPr>
              <w:spacing w:before="60" w:after="120"/>
              <w:jc w:val="center"/>
            </w:pPr>
            <w:r w:rsidRPr="00903715">
              <w:t>BLOCK NO.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65" w14:textId="77777777" w:rsidR="00C53A5E" w:rsidRPr="00903715" w:rsidRDefault="00C53A5E" w:rsidP="00903715">
            <w:pPr>
              <w:spacing w:before="60" w:after="120"/>
              <w:jc w:val="center"/>
            </w:pPr>
            <w:r w:rsidRPr="00903715">
              <w:rPr>
                <w:sz w:val="22"/>
              </w:rPr>
              <w:t>(MECHANICAL)</w:t>
            </w:r>
          </w:p>
          <w:p w14:paraId="5E423F66" w14:textId="77777777" w:rsidR="00C53A5E" w:rsidRPr="00903715" w:rsidRDefault="00C53A5E" w:rsidP="00903715">
            <w:pPr>
              <w:spacing w:before="60" w:after="120"/>
              <w:jc w:val="center"/>
            </w:pPr>
            <w:r w:rsidRPr="00903715">
              <w:t>RECORD</w:t>
            </w:r>
          </w:p>
          <w:p w14:paraId="5E423F67" w14:textId="77777777" w:rsidR="00C53A5E" w:rsidRPr="00903715" w:rsidRDefault="00C53A5E" w:rsidP="00903715">
            <w:pPr>
              <w:spacing w:before="60" w:after="120"/>
              <w:jc w:val="center"/>
            </w:pPr>
            <w:r w:rsidRPr="00903715">
              <w:t>POSITION(S)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423F68" w14:textId="77777777" w:rsidR="00C53A5E" w:rsidRPr="00903715" w:rsidRDefault="00C53A5E" w:rsidP="00903715">
            <w:pPr>
              <w:spacing w:before="60" w:after="120"/>
            </w:pPr>
            <w:r w:rsidRPr="00903715">
              <w:t>ENTRY AND INSTRUCTIONS</w:t>
            </w:r>
          </w:p>
        </w:tc>
      </w:tr>
      <w:tr w:rsidR="00C53A5E" w14:paraId="5E423F6E" w14:textId="175DA092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6A" w14:textId="77777777" w:rsidR="00C53A5E" w:rsidRDefault="00C53A5E" w:rsidP="001F5C1F">
            <w:pPr>
              <w:spacing w:before="60" w:after="60"/>
            </w:pPr>
            <w:r>
              <w:t>Send To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6B" w14:textId="77777777" w:rsidR="00C53A5E" w:rsidRDefault="00C53A5E" w:rsidP="001F5C1F">
            <w:pPr>
              <w:spacing w:before="60" w:after="60"/>
              <w:jc w:val="center"/>
            </w:pPr>
            <w:r>
              <w:t>A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6C" w14:textId="77777777" w:rsidR="00C53A5E" w:rsidRDefault="00C53A5E" w:rsidP="001F5C1F">
            <w:pPr>
              <w:spacing w:before="60" w:after="60"/>
              <w:jc w:val="center"/>
            </w:pPr>
            <w:r>
              <w:t>Not Applicable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6D" w14:textId="09477EE7" w:rsidR="00C53A5E" w:rsidRDefault="00C53A5E" w:rsidP="001F5C1F">
            <w:pPr>
              <w:spacing w:before="60" w:after="60"/>
            </w:pPr>
            <w:r>
              <w:t xml:space="preserve">Enter the </w:t>
            </w:r>
            <w:bookmarkStart w:id="1" w:name="_GoBack"/>
            <w:bookmarkEnd w:id="1"/>
            <w:r>
              <w:t xml:space="preserve">appropriate in-the-clear name and address corresponding to the </w:t>
            </w:r>
            <w:r w:rsidR="00FB3F95">
              <w:t>RIC</w:t>
            </w:r>
            <w:r>
              <w:t>.</w:t>
            </w:r>
          </w:p>
        </w:tc>
      </w:tr>
      <w:tr w:rsidR="00C53A5E" w14:paraId="5E423F73" w14:textId="16DC1479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6F" w14:textId="77777777" w:rsidR="00C53A5E" w:rsidRDefault="00C53A5E" w:rsidP="001F5C1F">
            <w:pPr>
              <w:spacing w:before="60" w:after="60"/>
            </w:pPr>
            <w:r>
              <w:t>Report is From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70" w14:textId="77777777" w:rsidR="00C53A5E" w:rsidRDefault="00C53A5E" w:rsidP="001F5C1F">
            <w:pPr>
              <w:spacing w:before="60" w:after="60"/>
              <w:jc w:val="center"/>
            </w:pPr>
            <w:r>
              <w:t>B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71" w14:textId="77777777" w:rsidR="00C53A5E" w:rsidRDefault="00C53A5E" w:rsidP="001F5C1F">
            <w:pPr>
              <w:spacing w:before="60" w:after="60"/>
              <w:jc w:val="center"/>
            </w:pPr>
            <w:r>
              <w:t>Not Applicable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72" w14:textId="77777777" w:rsidR="00C53A5E" w:rsidRDefault="00C53A5E" w:rsidP="001F5C1F">
            <w:pPr>
              <w:spacing w:before="60" w:after="60"/>
            </w:pPr>
            <w:r>
              <w:t>Enter the appropriate in-the-clear name and address of the reporting activity.</w:t>
            </w:r>
          </w:p>
        </w:tc>
      </w:tr>
      <w:tr w:rsidR="00C53A5E" w14:paraId="5E423F78" w14:textId="2C5D9829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74" w14:textId="570C225B" w:rsidR="00C53A5E" w:rsidRDefault="00C53A5E" w:rsidP="001F5C1F">
            <w:pPr>
              <w:spacing w:before="60" w:after="60"/>
            </w:pPr>
            <w:r>
              <w:t>Document Identifier</w:t>
            </w:r>
            <w:r w:rsidR="00746091">
              <w:t xml:space="preserve"> Code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75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76" w14:textId="77777777" w:rsidR="00C53A5E" w:rsidRDefault="00C53A5E" w:rsidP="001F5C1F">
            <w:pPr>
              <w:spacing w:before="60" w:after="60"/>
              <w:jc w:val="center"/>
            </w:pPr>
            <w:r>
              <w:t>1-3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77" w14:textId="076F5B1D" w:rsidR="00C53A5E" w:rsidRDefault="00C53A5E" w:rsidP="00746091">
            <w:pPr>
              <w:spacing w:before="60" w:after="60"/>
            </w:pPr>
            <w:r>
              <w:t xml:space="preserve">Enter </w:t>
            </w:r>
            <w:r w:rsidR="00FB3F95">
              <w:t>DIC</w:t>
            </w:r>
            <w:r>
              <w:t xml:space="preserve"> FTE </w:t>
            </w:r>
            <w:r w:rsidR="00746091">
              <w:t xml:space="preserve">or </w:t>
            </w:r>
            <w:r>
              <w:t>FT</w:t>
            </w:r>
            <w:r w:rsidR="00C9170C">
              <w:t>G.</w:t>
            </w:r>
            <w:r w:rsidRPr="001304CA">
              <w:rPr>
                <w:rStyle w:val="FootnoteReference"/>
              </w:rPr>
              <w:footnoteReference w:id="2"/>
            </w:r>
          </w:p>
        </w:tc>
      </w:tr>
      <w:tr w:rsidR="00C53A5E" w14:paraId="5E423F7D" w14:textId="4BE40A64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79" w14:textId="078EE896" w:rsidR="00C53A5E" w:rsidRDefault="00C53A5E" w:rsidP="001F5C1F">
            <w:pPr>
              <w:spacing w:before="60" w:after="60"/>
            </w:pPr>
            <w:r>
              <w:t>Routing Identifier</w:t>
            </w:r>
            <w:r w:rsidR="00746091">
              <w:t xml:space="preserve"> Code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7A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7B" w14:textId="77777777" w:rsidR="00C53A5E" w:rsidRDefault="00C53A5E" w:rsidP="001F5C1F">
            <w:pPr>
              <w:spacing w:before="60" w:after="60"/>
              <w:jc w:val="center"/>
            </w:pPr>
            <w:r>
              <w:t>4-6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7C" w14:textId="71EADFE6" w:rsidR="00C53A5E" w:rsidRDefault="00C53A5E" w:rsidP="00746091">
            <w:pPr>
              <w:spacing w:before="60" w:after="60"/>
            </w:pPr>
            <w:r>
              <w:t xml:space="preserve">Enter the </w:t>
            </w:r>
            <w:r w:rsidR="00FB3F95">
              <w:t>RIC</w:t>
            </w:r>
            <w:r>
              <w:t xml:space="preserve"> of the </w:t>
            </w:r>
            <w:r w:rsidR="00746091">
              <w:t>i</w:t>
            </w:r>
            <w:r w:rsidR="00C3401C">
              <w:t xml:space="preserve">nventory </w:t>
            </w:r>
            <w:r w:rsidR="00746091">
              <w:t>c</w:t>
            </w:r>
            <w:r w:rsidR="00C3401C">
              <w:t xml:space="preserve">ontrol </w:t>
            </w:r>
            <w:r w:rsidR="00746091">
              <w:t>p</w:t>
            </w:r>
            <w:r w:rsidR="00C3401C">
              <w:t>oint (</w:t>
            </w:r>
            <w:r>
              <w:t>ICP</w:t>
            </w:r>
            <w:r w:rsidR="00C3401C">
              <w:t>)</w:t>
            </w:r>
            <w:r>
              <w:t>/</w:t>
            </w:r>
            <w:r w:rsidR="00746091">
              <w:t>i</w:t>
            </w:r>
            <w:r w:rsidR="00C3401C">
              <w:t>ntegrat</w:t>
            </w:r>
            <w:r w:rsidR="00746091">
              <w:t>ed m</w:t>
            </w:r>
            <w:r w:rsidR="00C3401C">
              <w:t xml:space="preserve">aterial </w:t>
            </w:r>
            <w:r w:rsidR="00746091">
              <w:t>m</w:t>
            </w:r>
            <w:r w:rsidR="00C3401C">
              <w:t>anager (</w:t>
            </w:r>
            <w:r>
              <w:t>IMM</w:t>
            </w:r>
            <w:r w:rsidR="00C3401C">
              <w:t>)</w:t>
            </w:r>
            <w:r>
              <w:t xml:space="preserve"> to which the document is directed.  For </w:t>
            </w:r>
            <w:r w:rsidR="00C3401C">
              <w:t>Government Services Administration (</w:t>
            </w:r>
            <w:r>
              <w:t>GSA</w:t>
            </w:r>
            <w:r w:rsidR="00C3401C">
              <w:t>)</w:t>
            </w:r>
            <w:r>
              <w:t xml:space="preserve">, the </w:t>
            </w:r>
            <w:r w:rsidR="00FB3F95">
              <w:t>RIC</w:t>
            </w:r>
            <w:r>
              <w:t xml:space="preserve"> </w:t>
            </w:r>
            <w:r w:rsidR="00C3401C">
              <w:t>shall</w:t>
            </w:r>
            <w:r>
              <w:t xml:space="preserve"> always be GG0</w:t>
            </w:r>
            <w:r w:rsidR="00C407A8">
              <w:t xml:space="preserve"> </w:t>
            </w:r>
            <w:r w:rsidR="00C407A8" w:rsidRPr="004A3E28">
              <w:t>(golf-golf-zero)</w:t>
            </w:r>
            <w:r w:rsidRPr="004A3E28">
              <w:rPr>
                <w:rStyle w:val="FootnoteReference"/>
              </w:rPr>
              <w:footnoteReference w:id="3"/>
            </w:r>
            <w:r w:rsidRPr="004A3E28">
              <w:t>.</w:t>
            </w:r>
          </w:p>
        </w:tc>
      </w:tr>
      <w:tr w:rsidR="00C53A5E" w14:paraId="5E423F82" w14:textId="466DBF86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7E" w14:textId="77777777" w:rsidR="00C53A5E" w:rsidRDefault="00C53A5E" w:rsidP="001F5C1F">
            <w:pPr>
              <w:spacing w:before="60" w:after="60"/>
            </w:pPr>
            <w:r>
              <w:t>Media and Status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7F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80" w14:textId="77777777" w:rsidR="00C53A5E" w:rsidRDefault="00C53A5E" w:rsidP="001F5C1F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81" w14:textId="77777777" w:rsidR="00C53A5E" w:rsidRDefault="00C53A5E" w:rsidP="001F5C1F">
            <w:pPr>
              <w:spacing w:before="60" w:after="60"/>
            </w:pPr>
            <w:r>
              <w:t>Enter M&amp;S code.</w:t>
            </w:r>
          </w:p>
        </w:tc>
      </w:tr>
      <w:tr w:rsidR="00C53A5E" w14:paraId="5E423F87" w14:textId="05A42576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83" w14:textId="77777777" w:rsidR="00C53A5E" w:rsidRPr="001B2E79" w:rsidRDefault="00C53A5E" w:rsidP="001F5C1F">
            <w:pPr>
              <w:spacing w:before="60" w:after="60"/>
            </w:pPr>
            <w:r w:rsidRPr="001B2E79">
              <w:lastRenderedPageBreak/>
              <w:t>Stock or Part Number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84" w14:textId="77777777" w:rsidR="00C53A5E" w:rsidRPr="001B2E79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85" w14:textId="77777777" w:rsidR="00C53A5E" w:rsidRPr="001B2E79" w:rsidRDefault="00C53A5E" w:rsidP="001F5C1F">
            <w:pPr>
              <w:spacing w:before="60" w:after="60"/>
              <w:jc w:val="center"/>
            </w:pPr>
            <w:r w:rsidRPr="001B2E79">
              <w:t>8-22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86" w14:textId="29DE9D30" w:rsidR="00C53A5E" w:rsidRPr="001B2E79" w:rsidRDefault="00C53A5E" w:rsidP="001F5C1F">
            <w:pPr>
              <w:spacing w:before="60" w:after="60"/>
            </w:pPr>
            <w:r w:rsidRPr="001B2E79">
              <w:t>Enter NSN (</w:t>
            </w:r>
            <w:r w:rsidR="00FB3F95" w:rsidRPr="001B2E79">
              <w:t>DIC</w:t>
            </w:r>
            <w:r w:rsidRPr="001B2E79">
              <w:t xml:space="preserve"> FTE) or part number (</w:t>
            </w:r>
            <w:r w:rsidR="00FB3F95" w:rsidRPr="001B2E79">
              <w:t>DIC</w:t>
            </w:r>
            <w:r w:rsidRPr="001B2E79">
              <w:t xml:space="preserve"> FTG)</w:t>
            </w:r>
            <w:r w:rsidRPr="001B2E79">
              <w:rPr>
                <w:rStyle w:val="FootnoteReference"/>
              </w:rPr>
              <w:footnoteReference w:id="4"/>
            </w:r>
            <w:r w:rsidRPr="001B2E79">
              <w:t xml:space="preserve">. </w:t>
            </w:r>
            <w:r w:rsidR="00ED1318" w:rsidRPr="001B2E79">
              <w:t xml:space="preserve">(Part-numbered </w:t>
            </w:r>
            <w:r w:rsidR="00C3401C" w:rsidRPr="001B2E79">
              <w:t>materiel</w:t>
            </w:r>
            <w:r w:rsidR="00ED1318" w:rsidRPr="001B2E79">
              <w:t xml:space="preserve"> not authorized for asset reports directed to DLA). </w:t>
            </w:r>
            <w:r w:rsidRPr="001B2E79">
              <w:t xml:space="preserve"> For subsistence items only, rp 21 </w:t>
            </w:r>
            <w:r w:rsidR="00C3401C" w:rsidRPr="001B2E79">
              <w:t>shall</w:t>
            </w:r>
            <w:r w:rsidRPr="001B2E79">
              <w:t xml:space="preserve"> be type of pack and rp 22 </w:t>
            </w:r>
            <w:r w:rsidR="00C3401C" w:rsidRPr="001B2E79">
              <w:t>shall</w:t>
            </w:r>
            <w:r w:rsidRPr="001B2E79">
              <w:t xml:space="preserve"> be the last digit of the </w:t>
            </w:r>
            <w:r w:rsidR="000A187D" w:rsidRPr="001B2E79">
              <w:t>calendar</w:t>
            </w:r>
            <w:r w:rsidRPr="001B2E79">
              <w:t xml:space="preserve"> year the item, was packed.</w:t>
            </w:r>
          </w:p>
        </w:tc>
      </w:tr>
      <w:tr w:rsidR="00C53A5E" w14:paraId="5E423F8C" w14:textId="5C410178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88" w14:textId="77777777" w:rsidR="00C53A5E" w:rsidRPr="001B2E79" w:rsidRDefault="00C53A5E" w:rsidP="001F5C1F">
            <w:pPr>
              <w:spacing w:before="60" w:after="60"/>
            </w:pPr>
            <w:r w:rsidRPr="001B2E79">
              <w:t>Unit of Issue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89" w14:textId="77777777" w:rsidR="00C53A5E" w:rsidRPr="001B2E79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8A" w14:textId="77777777" w:rsidR="00C53A5E" w:rsidRPr="001B2E79" w:rsidRDefault="00C53A5E" w:rsidP="001F5C1F">
            <w:pPr>
              <w:spacing w:before="60" w:after="60"/>
              <w:jc w:val="center"/>
            </w:pPr>
            <w:r w:rsidRPr="001B2E79">
              <w:t>23-24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8B" w14:textId="77777777" w:rsidR="00C53A5E" w:rsidRPr="001B2E79" w:rsidRDefault="00C53A5E" w:rsidP="001F5C1F">
            <w:pPr>
              <w:spacing w:before="60" w:after="60"/>
            </w:pPr>
            <w:r w:rsidRPr="001B2E79">
              <w:t>Enter the U/I.</w:t>
            </w:r>
          </w:p>
        </w:tc>
      </w:tr>
      <w:tr w:rsidR="00C53A5E" w14:paraId="5E423F92" w14:textId="637E4537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8D" w14:textId="77777777" w:rsidR="00C53A5E" w:rsidRPr="001B2E79" w:rsidRDefault="00C53A5E" w:rsidP="001F5C1F">
            <w:pPr>
              <w:spacing w:before="60" w:after="60"/>
            </w:pPr>
            <w:r w:rsidRPr="001B2E79">
              <w:t>Quantity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8E" w14:textId="77777777" w:rsidR="00C53A5E" w:rsidRPr="001B2E79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8F" w14:textId="77777777" w:rsidR="00C53A5E" w:rsidRPr="001B2E79" w:rsidRDefault="00C53A5E" w:rsidP="001F5C1F">
            <w:pPr>
              <w:spacing w:before="60" w:after="60"/>
              <w:jc w:val="center"/>
            </w:pPr>
            <w:r w:rsidRPr="001B2E79">
              <w:t>25-29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90" w14:textId="77777777" w:rsidR="00C53A5E" w:rsidRPr="001B2E79" w:rsidRDefault="00C53A5E" w:rsidP="001F5C1F">
            <w:pPr>
              <w:spacing w:before="60" w:after="60"/>
            </w:pPr>
            <w:r w:rsidRPr="001B2E79">
              <w:t>a.  Enter the quantity.</w:t>
            </w:r>
          </w:p>
          <w:p w14:paraId="5E423F91" w14:textId="51E9F71E" w:rsidR="00C53A5E" w:rsidRPr="001B2E79" w:rsidRDefault="00C53A5E" w:rsidP="00677BE7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</w:pPr>
            <w:r w:rsidRPr="001B2E79">
              <w:t xml:space="preserve">b.  For ammunition </w:t>
            </w:r>
            <w:r w:rsidR="00983301" w:rsidRPr="001B2E79">
              <w:t xml:space="preserve">and ammunition related items only (items in </w:t>
            </w:r>
            <w:r w:rsidR="00C3401C" w:rsidRPr="001B2E79">
              <w:t xml:space="preserve">Federal </w:t>
            </w:r>
            <w:r w:rsidR="00746091" w:rsidRPr="001B2E79">
              <w:t>s</w:t>
            </w:r>
            <w:r w:rsidR="00C3401C" w:rsidRPr="001B2E79">
              <w:t xml:space="preserve">upply </w:t>
            </w:r>
            <w:r w:rsidR="00746091" w:rsidRPr="001B2E79">
              <w:t>g</w:t>
            </w:r>
            <w:r w:rsidR="00C3401C" w:rsidRPr="001B2E79">
              <w:t>roup (</w:t>
            </w:r>
            <w:r w:rsidRPr="001B2E79">
              <w:t>FSG</w:t>
            </w:r>
            <w:r w:rsidR="00C3401C" w:rsidRPr="001B2E79">
              <w:t>)</w:t>
            </w:r>
            <w:r w:rsidRPr="001B2E79">
              <w:t xml:space="preserve"> 13 </w:t>
            </w:r>
            <w:r w:rsidR="008D7332" w:rsidRPr="001B2E79">
              <w:t xml:space="preserve">and for </w:t>
            </w:r>
            <w:r w:rsidR="00C3401C" w:rsidRPr="001B2E79">
              <w:t xml:space="preserve">Federal </w:t>
            </w:r>
            <w:r w:rsidR="00746091" w:rsidRPr="001B2E79">
              <w:t>s</w:t>
            </w:r>
            <w:r w:rsidR="00C3401C" w:rsidRPr="001B2E79">
              <w:t xml:space="preserve">upply </w:t>
            </w:r>
            <w:r w:rsidR="00746091" w:rsidRPr="001B2E79">
              <w:t>c</w:t>
            </w:r>
            <w:r w:rsidR="00C3401C" w:rsidRPr="001B2E79">
              <w:t>lassification (</w:t>
            </w:r>
            <w:r w:rsidR="008D7332" w:rsidRPr="001B2E79">
              <w:t>FSC</w:t>
            </w:r>
            <w:r w:rsidR="00C3401C" w:rsidRPr="001B2E79">
              <w:t>)</w:t>
            </w:r>
            <w:r w:rsidR="008D7332" w:rsidRPr="001B2E79">
              <w:t xml:space="preserve"> 1410, 1420, 1427, 1440, 5330, 5865, </w:t>
            </w:r>
            <w:r w:rsidR="0097350A" w:rsidRPr="001B2E79">
              <w:t xml:space="preserve">6810 </w:t>
            </w:r>
            <w:r w:rsidR="008D7332" w:rsidRPr="001B2E79">
              <w:t>or 8140</w:t>
            </w:r>
            <w:r w:rsidR="00983301" w:rsidRPr="001B2E79">
              <w:t xml:space="preserve">), </w:t>
            </w:r>
            <w:r w:rsidR="00C3401C" w:rsidRPr="001B2E79">
              <w:t xml:space="preserve">items only, enter an </w:t>
            </w:r>
            <w:r w:rsidRPr="001B2E79">
              <w:t xml:space="preserve">M in rp 29 to express in thousands any quantity exceeding 99,999.  Example: </w:t>
            </w:r>
            <w:r w:rsidR="00677BE7">
              <w:t xml:space="preserve"> </w:t>
            </w:r>
            <w:r w:rsidRPr="001B2E79">
              <w:t xml:space="preserve">Express a quantity of 1,950,000 as 1950M </w:t>
            </w:r>
            <w:r w:rsidR="00C3401C" w:rsidRPr="001B2E79">
              <w:t xml:space="preserve">(1950 in rp 25-28 and an </w:t>
            </w:r>
            <w:r w:rsidRPr="001B2E79">
              <w:t>M in rp 29).</w:t>
            </w:r>
          </w:p>
        </w:tc>
      </w:tr>
      <w:tr w:rsidR="00C53A5E" w14:paraId="5E423F97" w14:textId="36A65EE3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93" w14:textId="77777777" w:rsidR="00C53A5E" w:rsidRDefault="00C53A5E" w:rsidP="001F5C1F">
            <w:pPr>
              <w:spacing w:before="60" w:after="60"/>
            </w:pPr>
            <w:r>
              <w:t>Document Number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94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95" w14:textId="77777777" w:rsidR="00C53A5E" w:rsidRDefault="00C53A5E" w:rsidP="001F5C1F">
            <w:pPr>
              <w:spacing w:before="60" w:after="60"/>
              <w:jc w:val="center"/>
            </w:pPr>
            <w:r>
              <w:t>30-43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96" w14:textId="77777777" w:rsidR="00C53A5E" w:rsidRDefault="00C53A5E" w:rsidP="001F5C1F">
            <w:pPr>
              <w:spacing w:before="60" w:after="60"/>
            </w:pPr>
            <w:r>
              <w:t>Enter the document number.</w:t>
            </w:r>
          </w:p>
        </w:tc>
      </w:tr>
      <w:tr w:rsidR="00C53A5E" w14:paraId="5E423F9C" w14:textId="7A1EDDE4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98" w14:textId="77777777" w:rsidR="00C53A5E" w:rsidRDefault="00C53A5E" w:rsidP="001F5C1F">
            <w:pPr>
              <w:spacing w:before="60" w:after="60"/>
            </w:pPr>
            <w:r>
              <w:t>Blank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99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9A" w14:textId="77777777" w:rsidR="00C53A5E" w:rsidRDefault="00C53A5E" w:rsidP="001F5C1F">
            <w:pPr>
              <w:spacing w:before="60" w:after="60"/>
              <w:jc w:val="center"/>
            </w:pPr>
            <w:r>
              <w:t>44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9B" w14:textId="77777777" w:rsidR="00C53A5E" w:rsidRDefault="00C53A5E" w:rsidP="001F5C1F">
            <w:pPr>
              <w:spacing w:before="60" w:after="60"/>
            </w:pPr>
            <w:r>
              <w:t>Leave blank.</w:t>
            </w:r>
          </w:p>
        </w:tc>
      </w:tr>
      <w:tr w:rsidR="00C53A5E" w14:paraId="5E423FA1" w14:textId="64E2EAFD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9D" w14:textId="77777777" w:rsidR="00C53A5E" w:rsidRDefault="00C53A5E" w:rsidP="001F5C1F">
            <w:pPr>
              <w:spacing w:before="60" w:after="60"/>
            </w:pPr>
            <w:r>
              <w:t>Supplementary Address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9E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9F" w14:textId="77777777" w:rsidR="00C53A5E" w:rsidRDefault="00C53A5E" w:rsidP="001F5C1F">
            <w:pPr>
              <w:spacing w:before="60" w:after="60"/>
              <w:jc w:val="center"/>
            </w:pPr>
            <w:r>
              <w:t>45-50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A0" w14:textId="7EFF46E1" w:rsidR="00C53A5E" w:rsidRDefault="00C53A5E" w:rsidP="0097350A">
            <w:pPr>
              <w:spacing w:before="60" w:after="60"/>
            </w:pPr>
            <w:r>
              <w:t xml:space="preserve">When applicable, enter the </w:t>
            </w:r>
            <w:r w:rsidR="00746091">
              <w:t>activity address code (</w:t>
            </w:r>
            <w:r>
              <w:t>AAC</w:t>
            </w:r>
            <w:r w:rsidR="00746091">
              <w:t>)</w:t>
            </w:r>
            <w:r>
              <w:t xml:space="preserve"> of the credit to and/or ship from activity.  Field may be left blank when code entry is not applicable.  When code entry is not significant to the ICP, ent</w:t>
            </w:r>
            <w:r w:rsidR="0097350A">
              <w:t>e</w:t>
            </w:r>
            <w:r>
              <w:t>r a Y in rp 45.</w:t>
            </w:r>
          </w:p>
        </w:tc>
      </w:tr>
      <w:tr w:rsidR="00C53A5E" w14:paraId="5E423FA6" w14:textId="1C253AC4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A2" w14:textId="77777777" w:rsidR="00C53A5E" w:rsidRDefault="00C53A5E" w:rsidP="001F5C1F">
            <w:pPr>
              <w:spacing w:before="60" w:after="60"/>
            </w:pPr>
            <w:r>
              <w:t>Signal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A3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A4" w14:textId="77777777" w:rsidR="00C53A5E" w:rsidRDefault="00C53A5E" w:rsidP="001F5C1F">
            <w:pPr>
              <w:spacing w:before="60" w:after="60"/>
              <w:jc w:val="center"/>
            </w:pPr>
            <w:r>
              <w:t>51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A5" w14:textId="77777777" w:rsidR="00C53A5E" w:rsidRDefault="00C53A5E" w:rsidP="001F5C1F">
            <w:pPr>
              <w:spacing w:before="60" w:after="60"/>
            </w:pPr>
            <w:r>
              <w:t>Enter the signal code.</w:t>
            </w:r>
          </w:p>
        </w:tc>
      </w:tr>
      <w:tr w:rsidR="00C53A5E" w14:paraId="5E423FAB" w14:textId="4BB977D8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A7" w14:textId="77777777" w:rsidR="00C53A5E" w:rsidRDefault="00C53A5E" w:rsidP="001F5C1F">
            <w:pPr>
              <w:spacing w:before="60" w:after="60"/>
            </w:pPr>
            <w:r>
              <w:lastRenderedPageBreak/>
              <w:t>Fund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A8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A9" w14:textId="77777777" w:rsidR="00C53A5E" w:rsidRDefault="00C53A5E" w:rsidP="001F5C1F">
            <w:pPr>
              <w:spacing w:before="60" w:after="60"/>
              <w:jc w:val="center"/>
            </w:pPr>
            <w:r>
              <w:t>52-53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AA" w14:textId="77777777" w:rsidR="00C53A5E" w:rsidRDefault="00C53A5E" w:rsidP="001F5C1F">
            <w:pPr>
              <w:spacing w:before="60" w:after="60"/>
            </w:pPr>
            <w:r>
              <w:t>Enter the fund code.</w:t>
            </w:r>
          </w:p>
        </w:tc>
      </w:tr>
      <w:tr w:rsidR="00C53A5E" w14:paraId="5E423FB0" w14:textId="526FDE0A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AC" w14:textId="77777777" w:rsidR="00C53A5E" w:rsidRDefault="00C53A5E" w:rsidP="001F5C1F">
            <w:pPr>
              <w:spacing w:before="60" w:after="60"/>
            </w:pPr>
            <w:r>
              <w:t>Blank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AD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AE" w14:textId="77777777" w:rsidR="00C53A5E" w:rsidRDefault="00C53A5E" w:rsidP="001F5C1F">
            <w:pPr>
              <w:spacing w:before="60" w:after="60"/>
              <w:jc w:val="center"/>
            </w:pPr>
            <w:r>
              <w:t>54-56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AF" w14:textId="77777777" w:rsidR="00C53A5E" w:rsidRDefault="00C53A5E" w:rsidP="001F5C1F">
            <w:pPr>
              <w:spacing w:before="60" w:after="60"/>
            </w:pPr>
            <w:r>
              <w:t>Leave blank.</w:t>
            </w:r>
          </w:p>
        </w:tc>
      </w:tr>
      <w:tr w:rsidR="00C53A5E" w14:paraId="5E423FB5" w14:textId="595BED34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B1" w14:textId="77777777" w:rsidR="00C53A5E" w:rsidRDefault="00C53A5E" w:rsidP="001F5C1F">
            <w:pPr>
              <w:spacing w:before="60" w:after="60"/>
            </w:pPr>
            <w:r>
              <w:t>Project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B2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B3" w14:textId="77777777" w:rsidR="00C53A5E" w:rsidRDefault="00C53A5E" w:rsidP="001F5C1F">
            <w:pPr>
              <w:spacing w:before="60" w:after="60"/>
              <w:jc w:val="center"/>
            </w:pPr>
            <w:r>
              <w:t>57-59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B4" w14:textId="77777777" w:rsidR="00C53A5E" w:rsidRDefault="00C53A5E" w:rsidP="001F5C1F">
            <w:pPr>
              <w:spacing w:before="60" w:after="60"/>
            </w:pPr>
            <w:r>
              <w:t>When applicable, enter project code using Service instructions; otherwise, leave blank.</w:t>
            </w:r>
          </w:p>
        </w:tc>
      </w:tr>
      <w:tr w:rsidR="00C53A5E" w14:paraId="5E423FBA" w14:textId="7F556E9B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B6" w14:textId="77777777" w:rsidR="00C53A5E" w:rsidRDefault="00C53A5E" w:rsidP="001F5C1F">
            <w:pPr>
              <w:spacing w:before="60" w:after="60"/>
            </w:pPr>
            <w:r>
              <w:t>Blank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B7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B8" w14:textId="77777777" w:rsidR="00C53A5E" w:rsidRDefault="00C53A5E" w:rsidP="001F5C1F">
            <w:pPr>
              <w:spacing w:before="60" w:after="60"/>
              <w:jc w:val="center"/>
            </w:pPr>
            <w:r>
              <w:t>60-64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B9" w14:textId="77777777" w:rsidR="00C53A5E" w:rsidRDefault="00C53A5E" w:rsidP="001F5C1F">
            <w:pPr>
              <w:spacing w:before="60" w:after="60"/>
            </w:pPr>
            <w:r>
              <w:t>Leave blank.</w:t>
            </w:r>
          </w:p>
        </w:tc>
      </w:tr>
      <w:tr w:rsidR="00C53A5E" w14:paraId="5E423FBF" w14:textId="55BAC7C5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BB" w14:textId="77777777" w:rsidR="00C53A5E" w:rsidRDefault="00C53A5E" w:rsidP="001F5C1F">
            <w:pPr>
              <w:spacing w:before="60" w:after="60"/>
            </w:pPr>
            <w:r>
              <w:t>Advice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BC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BD" w14:textId="77777777" w:rsidR="00C53A5E" w:rsidRDefault="00C53A5E" w:rsidP="001F5C1F">
            <w:pPr>
              <w:spacing w:before="60" w:after="60"/>
              <w:jc w:val="center"/>
            </w:pPr>
            <w:r>
              <w:t>65-66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BE" w14:textId="77777777" w:rsidR="00C53A5E" w:rsidRDefault="00C53A5E" w:rsidP="001F5C1F">
            <w:pPr>
              <w:spacing w:before="60" w:after="60"/>
            </w:pPr>
            <w:r>
              <w:t>Enter 3T to indicate to the ICP/IMM that the document has been edited by DAAS.  When code is not required, leave blank.</w:t>
            </w:r>
          </w:p>
        </w:tc>
      </w:tr>
      <w:tr w:rsidR="00C53A5E" w14:paraId="5E423FC4" w14:textId="263783F1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C0" w14:textId="107D68B5" w:rsidR="00C53A5E" w:rsidRDefault="00C53A5E" w:rsidP="001F5C1F">
            <w:pPr>
              <w:spacing w:before="60" w:after="60"/>
            </w:pPr>
            <w:r>
              <w:t>Routing Identifier</w:t>
            </w:r>
            <w:r w:rsidR="00746091">
              <w:t xml:space="preserve"> Code 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C1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C2" w14:textId="77777777" w:rsidR="00C53A5E" w:rsidRDefault="00C53A5E" w:rsidP="001F5C1F">
            <w:pPr>
              <w:spacing w:before="60" w:after="60"/>
              <w:jc w:val="center"/>
            </w:pPr>
            <w:r>
              <w:t>67-69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C3" w14:textId="3BFFBF0E" w:rsidR="00C53A5E" w:rsidRDefault="00C53A5E" w:rsidP="001F5C1F">
            <w:pPr>
              <w:spacing w:before="60" w:after="60"/>
            </w:pPr>
            <w:r>
              <w:t xml:space="preserve">Enter the </w:t>
            </w:r>
            <w:r w:rsidR="00FB3F95">
              <w:t>RIC</w:t>
            </w:r>
            <w:r>
              <w:t xml:space="preserve"> of the activity preparing the document, if assigned; otherwise, leave blank.</w:t>
            </w:r>
          </w:p>
        </w:tc>
      </w:tr>
      <w:tr w:rsidR="00C53A5E" w14:paraId="5E423FC9" w14:textId="5D516330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C5" w14:textId="77777777" w:rsidR="00C53A5E" w:rsidRDefault="00C53A5E" w:rsidP="001F5C1F">
            <w:pPr>
              <w:spacing w:before="60" w:after="60"/>
            </w:pPr>
            <w:r>
              <w:t>Blank or Intra-Air Force Use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C6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C7" w14:textId="77777777" w:rsidR="00C53A5E" w:rsidRDefault="00C53A5E" w:rsidP="001F5C1F">
            <w:pPr>
              <w:spacing w:before="60" w:after="60"/>
              <w:jc w:val="center"/>
            </w:pPr>
            <w:r>
              <w:t>70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C8" w14:textId="1C9E36B6" w:rsidR="00C53A5E" w:rsidRDefault="00C53A5E" w:rsidP="00746091">
            <w:pPr>
              <w:spacing w:before="60" w:after="60"/>
            </w:pPr>
            <w:r>
              <w:t xml:space="preserve">Leave blank or use for intra-Air Force to display </w:t>
            </w:r>
            <w:r w:rsidR="00746091">
              <w:t>a</w:t>
            </w:r>
            <w:r>
              <w:t xml:space="preserve">sset </w:t>
            </w:r>
            <w:r w:rsidR="00746091">
              <w:t>p</w:t>
            </w:r>
            <w:r>
              <w:t xml:space="preserve">osition </w:t>
            </w:r>
            <w:r w:rsidR="00746091">
              <w:t>c</w:t>
            </w:r>
            <w:r>
              <w:t>ode.</w:t>
            </w:r>
          </w:p>
        </w:tc>
      </w:tr>
      <w:tr w:rsidR="00C53A5E" w14:paraId="5E423FCE" w14:textId="1F8CCFDB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CA" w14:textId="77777777" w:rsidR="00C53A5E" w:rsidRDefault="00C53A5E" w:rsidP="001F5C1F">
            <w:pPr>
              <w:spacing w:before="60" w:after="60"/>
            </w:pPr>
            <w:r>
              <w:t>Supply Condition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CB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CC" w14:textId="77777777" w:rsidR="00C53A5E" w:rsidRDefault="00C53A5E" w:rsidP="001F5C1F">
            <w:pPr>
              <w:spacing w:before="60" w:after="60"/>
              <w:jc w:val="center"/>
            </w:pPr>
            <w:r>
              <w:t>71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CD" w14:textId="77777777" w:rsidR="00C53A5E" w:rsidRDefault="00C53A5E" w:rsidP="001F5C1F">
            <w:pPr>
              <w:spacing w:before="60" w:after="60"/>
            </w:pPr>
            <w:r>
              <w:t>Enter supply condition code.</w:t>
            </w:r>
          </w:p>
        </w:tc>
      </w:tr>
      <w:tr w:rsidR="00C53A5E" w14:paraId="5E423FD3" w14:textId="501153E4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CF" w14:textId="77777777" w:rsidR="00C53A5E" w:rsidRDefault="00C53A5E" w:rsidP="001F5C1F">
            <w:pPr>
              <w:spacing w:before="60" w:after="60"/>
            </w:pPr>
            <w:r>
              <w:t>Blank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D0" w14:textId="77777777" w:rsidR="00C53A5E" w:rsidRDefault="00C53A5E" w:rsidP="001F5C1F">
            <w:pPr>
              <w:spacing w:before="60" w:after="60"/>
              <w:jc w:val="center"/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D1" w14:textId="77777777" w:rsidR="00C53A5E" w:rsidRDefault="00C53A5E" w:rsidP="001F5C1F">
            <w:pPr>
              <w:spacing w:before="60" w:after="60"/>
              <w:jc w:val="center"/>
            </w:pPr>
            <w:r>
              <w:t>72-80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D2" w14:textId="77777777" w:rsidR="00C53A5E" w:rsidRDefault="00C53A5E" w:rsidP="001F5C1F">
            <w:pPr>
              <w:spacing w:before="60" w:after="60"/>
            </w:pPr>
            <w:r>
              <w:t>Leave blank.</w:t>
            </w:r>
          </w:p>
        </w:tc>
      </w:tr>
      <w:tr w:rsidR="00C53A5E" w14:paraId="5E423FD8" w14:textId="0109D340">
        <w:trPr>
          <w:cantSplit/>
          <w:trHeight w:val="403"/>
          <w:jc w:val="center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14:paraId="5E423FD4" w14:textId="77777777" w:rsidR="00C53A5E" w:rsidRDefault="00C53A5E" w:rsidP="001F5C1F">
            <w:pPr>
              <w:spacing w:before="60" w:after="60"/>
            </w:pPr>
            <w:r>
              <w:t>Remarks Field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5E423FD5" w14:textId="77777777" w:rsidR="00C53A5E" w:rsidRDefault="00C53A5E" w:rsidP="001F5C1F">
            <w:pPr>
              <w:spacing w:before="60" w:after="60"/>
              <w:jc w:val="center"/>
            </w:pPr>
            <w:r>
              <w:t>L-V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E423FD6" w14:textId="77777777" w:rsidR="00C53A5E" w:rsidRDefault="00C53A5E" w:rsidP="001F5C1F">
            <w:pPr>
              <w:spacing w:before="60" w:after="60"/>
              <w:jc w:val="center"/>
            </w:pPr>
            <w:r>
              <w:t>Not Applicable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5E423FD7" w14:textId="7EA27BAB" w:rsidR="00C53A5E" w:rsidRDefault="00C53A5E" w:rsidP="001F5C1F">
            <w:pPr>
              <w:spacing w:before="60" w:after="60"/>
            </w:pPr>
            <w:r>
              <w:t xml:space="preserve">This field </w:t>
            </w:r>
            <w:r w:rsidR="00C3401C">
              <w:t>shall</w:t>
            </w:r>
            <w:r>
              <w:t xml:space="preserve"> be used to convey any additionally required information not provided for in the report format.</w:t>
            </w:r>
          </w:p>
        </w:tc>
      </w:tr>
      <w:bookmarkEnd w:id="0"/>
    </w:tbl>
    <w:p w14:paraId="5E423FD9" w14:textId="77777777" w:rsidR="004A3E28" w:rsidRDefault="004A3E28" w:rsidP="004A3E28">
      <w:pPr>
        <w:jc w:val="center"/>
      </w:pPr>
    </w:p>
    <w:sectPr w:rsidR="004A3E28" w:rsidSect="00B52A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1C638F" w14:textId="77777777" w:rsidR="003F6A1F" w:rsidRDefault="003F6A1F">
      <w:r>
        <w:separator/>
      </w:r>
    </w:p>
  </w:endnote>
  <w:endnote w:type="continuationSeparator" w:id="0">
    <w:p w14:paraId="38DA9BF7" w14:textId="77777777" w:rsidR="003F6A1F" w:rsidRDefault="003F6A1F">
      <w:r>
        <w:continuationSeparator/>
      </w:r>
    </w:p>
  </w:endnote>
  <w:endnote w:type="continuationNotice" w:id="1">
    <w:p w14:paraId="3F5027C8" w14:textId="77777777" w:rsidR="003F6A1F" w:rsidRDefault="003F6A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3FE1" w14:textId="77777777" w:rsidR="003F6A1F" w:rsidRPr="001F608E" w:rsidRDefault="003F6A1F" w:rsidP="004A3E28">
    <w:pPr>
      <w:pStyle w:val="Footer"/>
      <w:framePr w:wrap="around" w:vAnchor="text" w:hAnchor="margin" w:xAlign="center" w:y="1"/>
      <w:rPr>
        <w:rStyle w:val="PageNumber"/>
        <w:b w:val="0"/>
      </w:rPr>
    </w:pPr>
    <w:r w:rsidRPr="001F608E">
      <w:rPr>
        <w:rStyle w:val="PageNumber"/>
        <w:b w:val="0"/>
      </w:rPr>
      <w:fldChar w:fldCharType="begin"/>
    </w:r>
    <w:r w:rsidRPr="001F608E">
      <w:rPr>
        <w:rStyle w:val="PageNumber"/>
        <w:b w:val="0"/>
      </w:rPr>
      <w:instrText xml:space="preserve">PAGE  </w:instrText>
    </w:r>
    <w:r w:rsidRPr="001F608E">
      <w:rPr>
        <w:rStyle w:val="PageNumber"/>
        <w:b w:val="0"/>
      </w:rPr>
      <w:fldChar w:fldCharType="separate"/>
    </w:r>
    <w:r w:rsidRPr="001F608E">
      <w:rPr>
        <w:rStyle w:val="PageNumber"/>
        <w:b w:val="0"/>
        <w:noProof/>
      </w:rPr>
      <w:t>3</w:t>
    </w:r>
    <w:r w:rsidRPr="001F608E">
      <w:rPr>
        <w:rStyle w:val="PageNumber"/>
        <w:b w:val="0"/>
      </w:rPr>
      <w:fldChar w:fldCharType="end"/>
    </w:r>
  </w:p>
  <w:p w14:paraId="5E423FE2" w14:textId="77777777" w:rsidR="003F6A1F" w:rsidRPr="00111976" w:rsidRDefault="003F6A1F" w:rsidP="00111976">
    <w:pPr>
      <w:pStyle w:val="Footer"/>
      <w:jc w:val="right"/>
      <w:rPr>
        <w:rStyle w:val="PageNumber"/>
        <w:b w:val="0"/>
      </w:rPr>
    </w:pPr>
    <w:r w:rsidRPr="00111976">
      <w:rPr>
        <w:rStyle w:val="PageNumber"/>
        <w:b w:val="0"/>
      </w:rPr>
      <w:t>APPENDIX 3</w:t>
    </w:r>
    <w:r>
      <w:rPr>
        <w:rStyle w:val="PageNumber"/>
        <w:b w:val="0"/>
      </w:rPr>
      <w:t>.33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3FE3" w14:textId="2126DF2F" w:rsidR="003F6A1F" w:rsidRPr="00B52ADC" w:rsidRDefault="003F6A1F" w:rsidP="004A3E28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AP8.33-</w:t>
    </w:r>
    <w:r w:rsidRPr="00B52ADC">
      <w:rPr>
        <w:rStyle w:val="PageNumber"/>
        <w:b w:val="0"/>
      </w:rPr>
      <w:fldChar w:fldCharType="begin"/>
    </w:r>
    <w:r w:rsidRPr="00B52ADC">
      <w:rPr>
        <w:rStyle w:val="PageNumber"/>
        <w:b w:val="0"/>
      </w:rPr>
      <w:instrText xml:space="preserve">PAGE  </w:instrText>
    </w:r>
    <w:r w:rsidRPr="00B52ADC">
      <w:rPr>
        <w:rStyle w:val="PageNumber"/>
        <w:b w:val="0"/>
      </w:rPr>
      <w:fldChar w:fldCharType="separate"/>
    </w:r>
    <w:r w:rsidR="00D7034C">
      <w:rPr>
        <w:rStyle w:val="PageNumber"/>
        <w:b w:val="0"/>
        <w:noProof/>
      </w:rPr>
      <w:t>1</w:t>
    </w:r>
    <w:r w:rsidRPr="00B52ADC">
      <w:rPr>
        <w:rStyle w:val="PageNumber"/>
        <w:b w:val="0"/>
      </w:rPr>
      <w:fldChar w:fldCharType="end"/>
    </w:r>
  </w:p>
  <w:p w14:paraId="5E423FE4" w14:textId="63280A6C" w:rsidR="003F6A1F" w:rsidRDefault="003F6A1F" w:rsidP="00D04798">
    <w:pPr>
      <w:pStyle w:val="Footer"/>
      <w:tabs>
        <w:tab w:val="clear" w:pos="4320"/>
        <w:tab w:val="clear" w:pos="8640"/>
      </w:tabs>
      <w:jc w:val="right"/>
    </w:pPr>
    <w:r>
      <w:t>APPENDIX 8.33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3FE9" w14:textId="77777777" w:rsidR="003F6A1F" w:rsidRDefault="003F6A1F">
    <w:pPr>
      <w:pStyle w:val="Footer"/>
      <w:jc w:val="center"/>
      <w:rPr>
        <w:rStyle w:val="PageNumber"/>
      </w:rPr>
    </w:pPr>
    <w:r>
      <w:rPr>
        <w:rStyle w:val="PageNumber"/>
      </w:rPr>
      <w:t>AP3.33-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5E408C" w14:textId="77777777" w:rsidR="003F6A1F" w:rsidRDefault="003F6A1F">
      <w:r>
        <w:separator/>
      </w:r>
    </w:p>
  </w:footnote>
  <w:footnote w:type="continuationSeparator" w:id="0">
    <w:p w14:paraId="71F961EA" w14:textId="77777777" w:rsidR="003F6A1F" w:rsidRDefault="003F6A1F">
      <w:r>
        <w:continuationSeparator/>
      </w:r>
    </w:p>
  </w:footnote>
  <w:footnote w:type="continuationNotice" w:id="1">
    <w:p w14:paraId="4B45C66C" w14:textId="77777777" w:rsidR="003F6A1F" w:rsidRDefault="003F6A1F"/>
  </w:footnote>
  <w:footnote w:id="2">
    <w:p w14:paraId="5E423FEA" w14:textId="56702516" w:rsidR="003F6A1F" w:rsidRPr="004A3E28" w:rsidRDefault="003F6A1F" w:rsidP="004A3E28">
      <w:r w:rsidRPr="004A3E28">
        <w:rPr>
          <w:rStyle w:val="FootnoteReference"/>
        </w:rPr>
        <w:footnoteRef/>
      </w:r>
      <w:r w:rsidRPr="004A3E28">
        <w:t xml:space="preserve"> </w:t>
      </w:r>
      <w:r w:rsidRPr="004A3E28">
        <w:rPr>
          <w:bCs/>
          <w:iCs/>
          <w:sz w:val="20"/>
        </w:rPr>
        <w:t xml:space="preserve">Use of part-numbers in the </w:t>
      </w:r>
      <w:r>
        <w:rPr>
          <w:bCs/>
          <w:iCs/>
          <w:sz w:val="20"/>
        </w:rPr>
        <w:t>m</w:t>
      </w:r>
      <w:r w:rsidRPr="004A3E28">
        <w:rPr>
          <w:bCs/>
          <w:iCs/>
          <w:sz w:val="20"/>
        </w:rPr>
        <w:t xml:space="preserve">aterial </w:t>
      </w:r>
      <w:r>
        <w:rPr>
          <w:bCs/>
          <w:iCs/>
          <w:sz w:val="20"/>
        </w:rPr>
        <w:t>r</w:t>
      </w:r>
      <w:r w:rsidRPr="004A3E28">
        <w:rPr>
          <w:bCs/>
          <w:iCs/>
          <w:sz w:val="20"/>
        </w:rPr>
        <w:t xml:space="preserve">eturns </w:t>
      </w:r>
      <w:r>
        <w:rPr>
          <w:bCs/>
          <w:iCs/>
          <w:sz w:val="20"/>
        </w:rPr>
        <w:t>p</w:t>
      </w:r>
      <w:r w:rsidRPr="004A3E28">
        <w:rPr>
          <w:bCs/>
          <w:iCs/>
          <w:sz w:val="20"/>
        </w:rPr>
        <w:t>rogram last reported as not implemented by USMC.  Refer to AMCL 167.</w:t>
      </w:r>
    </w:p>
  </w:footnote>
  <w:footnote w:id="3">
    <w:p w14:paraId="5E423FEB" w14:textId="4E18A730" w:rsidR="003F6A1F" w:rsidRPr="004A3E28" w:rsidRDefault="003F6A1F" w:rsidP="004A3E28">
      <w:r w:rsidRPr="004A3E28">
        <w:rPr>
          <w:rStyle w:val="FootnoteReference"/>
        </w:rPr>
        <w:footnoteRef/>
      </w:r>
      <w:r w:rsidRPr="004A3E28">
        <w:t xml:space="preserve"> </w:t>
      </w:r>
      <w:r w:rsidRPr="004A3E28">
        <w:rPr>
          <w:bCs/>
          <w:iCs/>
          <w:sz w:val="20"/>
        </w:rPr>
        <w:t xml:space="preserve">Requirement to use a single </w:t>
      </w:r>
      <w:r>
        <w:rPr>
          <w:bCs/>
          <w:iCs/>
          <w:sz w:val="20"/>
        </w:rPr>
        <w:t>RIC</w:t>
      </w:r>
      <w:r w:rsidRPr="004A3E28">
        <w:rPr>
          <w:bCs/>
          <w:iCs/>
          <w:sz w:val="20"/>
        </w:rPr>
        <w:t xml:space="preserve"> on </w:t>
      </w:r>
      <w:r>
        <w:rPr>
          <w:bCs/>
          <w:iCs/>
          <w:sz w:val="20"/>
        </w:rPr>
        <w:t>c</w:t>
      </w:r>
      <w:r w:rsidRPr="004A3E28">
        <w:rPr>
          <w:bCs/>
          <w:iCs/>
          <w:sz w:val="20"/>
        </w:rPr>
        <w:t xml:space="preserve">ustomer </w:t>
      </w:r>
      <w:r>
        <w:rPr>
          <w:bCs/>
          <w:iCs/>
          <w:sz w:val="20"/>
        </w:rPr>
        <w:t>a</w:t>
      </w:r>
      <w:r w:rsidRPr="004A3E28">
        <w:rPr>
          <w:bCs/>
          <w:iCs/>
          <w:sz w:val="20"/>
        </w:rPr>
        <w:t xml:space="preserve">sset </w:t>
      </w:r>
      <w:r>
        <w:rPr>
          <w:bCs/>
          <w:iCs/>
          <w:sz w:val="20"/>
        </w:rPr>
        <w:t>r</w:t>
      </w:r>
      <w:r w:rsidRPr="004A3E28">
        <w:rPr>
          <w:bCs/>
          <w:iCs/>
          <w:sz w:val="20"/>
        </w:rPr>
        <w:t>eports directed to the GSA last reported as not implemented by USA.  Refer to AMCL 26.</w:t>
      </w:r>
    </w:p>
  </w:footnote>
  <w:footnote w:id="4">
    <w:p w14:paraId="5E423FEC" w14:textId="7EA9F0AA" w:rsidR="003F6A1F" w:rsidRPr="001F608E" w:rsidRDefault="003F6A1F">
      <w:pPr>
        <w:pStyle w:val="FootnoteText"/>
        <w:rPr>
          <w:sz w:val="24"/>
        </w:rPr>
      </w:pPr>
      <w:r w:rsidRPr="004A3E28">
        <w:rPr>
          <w:rStyle w:val="FootnoteReference"/>
          <w:sz w:val="24"/>
        </w:rPr>
        <w:footnoteRef/>
      </w:r>
      <w:r w:rsidRPr="004A3E28">
        <w:rPr>
          <w:sz w:val="24"/>
        </w:rPr>
        <w:t xml:space="preserve"> </w:t>
      </w:r>
      <w:r w:rsidRPr="004A3E28">
        <w:rPr>
          <w:bCs/>
          <w:iCs/>
        </w:rPr>
        <w:t xml:space="preserve">Use of part-numbers in the </w:t>
      </w:r>
      <w:r>
        <w:rPr>
          <w:bCs/>
          <w:iCs/>
        </w:rPr>
        <w:t>m</w:t>
      </w:r>
      <w:r w:rsidRPr="004A3E28">
        <w:rPr>
          <w:bCs/>
          <w:iCs/>
        </w:rPr>
        <w:t xml:space="preserve">aterial </w:t>
      </w:r>
      <w:r>
        <w:rPr>
          <w:bCs/>
          <w:iCs/>
        </w:rPr>
        <w:t>r</w:t>
      </w:r>
      <w:r w:rsidRPr="004A3E28">
        <w:rPr>
          <w:bCs/>
          <w:iCs/>
        </w:rPr>
        <w:t xml:space="preserve">eturns </w:t>
      </w:r>
      <w:r>
        <w:rPr>
          <w:bCs/>
          <w:iCs/>
        </w:rPr>
        <w:t>p</w:t>
      </w:r>
      <w:r w:rsidRPr="004A3E28">
        <w:rPr>
          <w:bCs/>
          <w:iCs/>
        </w:rPr>
        <w:t>rogram last reported as not implemented by USMC.  Refer to AMCL 167.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3FDE" w14:textId="77777777" w:rsidR="003F6A1F" w:rsidRDefault="003F6A1F" w:rsidP="00033445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>
      <w:rPr>
        <w:i/>
        <w:u w:val="none"/>
      </w:rPr>
      <w:t>January, 2006</w:t>
    </w:r>
  </w:p>
  <w:p w14:paraId="5E423FDF" w14:textId="77777777" w:rsidR="003F6A1F" w:rsidRPr="00033445" w:rsidRDefault="003F6A1F" w:rsidP="006C31E2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F7C74" w14:textId="777D031A" w:rsidR="003F6A1F" w:rsidRDefault="003F6A1F" w:rsidP="00002E12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D7034C">
      <w:rPr>
        <w:i/>
      </w:rPr>
      <w:t>November 26</w:t>
    </w:r>
    <w:r>
      <w:rPr>
        <w:rFonts w:cs="Arial"/>
        <w:i/>
        <w:szCs w:val="24"/>
      </w:rPr>
      <w:t>, 2019</w:t>
    </w:r>
  </w:p>
  <w:p w14:paraId="5E423FE0" w14:textId="63546BA7" w:rsidR="003F6A1F" w:rsidRPr="00903715" w:rsidRDefault="003F6A1F" w:rsidP="00002E12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23FE5" w14:textId="77777777" w:rsidR="003F6A1F" w:rsidRPr="001F608E" w:rsidRDefault="003F6A1F" w:rsidP="00C407A8">
    <w:pPr>
      <w:pStyle w:val="Header"/>
      <w:tabs>
        <w:tab w:val="left" w:pos="7920"/>
        <w:tab w:val="left" w:pos="8010"/>
        <w:tab w:val="left" w:pos="8100"/>
      </w:tabs>
      <w:jc w:val="left"/>
      <w:rPr>
        <w:iCs/>
        <w:u w:val="none"/>
      </w:rPr>
    </w:pPr>
    <w:r w:rsidRPr="001F608E">
      <w:rPr>
        <w:iCs/>
        <w:u w:val="none"/>
      </w:rPr>
      <w:tab/>
    </w:r>
    <w:r w:rsidRPr="001F608E">
      <w:rPr>
        <w:iCs/>
        <w:u w:val="none"/>
      </w:rPr>
      <w:tab/>
      <w:t xml:space="preserve">   </w:t>
    </w:r>
    <w:r w:rsidRPr="001F608E">
      <w:rPr>
        <w:iCs/>
        <w:u w:val="none"/>
      </w:rPr>
      <w:tab/>
      <w:t xml:space="preserve"> IC 02-03</w:t>
    </w:r>
  </w:p>
  <w:p w14:paraId="5E423FE6" w14:textId="77777777" w:rsidR="003F6A1F" w:rsidRDefault="003F6A1F" w:rsidP="001304CA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E423FE7" w14:textId="77777777" w:rsidR="003F6A1F" w:rsidRPr="001F608E" w:rsidRDefault="003F6A1F" w:rsidP="00C407A8">
    <w:pPr>
      <w:tabs>
        <w:tab w:val="left" w:pos="7920"/>
        <w:tab w:val="left" w:pos="8100"/>
      </w:tabs>
    </w:pPr>
    <w:r w:rsidRPr="001F608E">
      <w:tab/>
    </w:r>
    <w:r w:rsidRPr="001F608E">
      <w:tab/>
      <w:t xml:space="preserve"> </w:t>
    </w:r>
  </w:p>
  <w:p w14:paraId="5E423FE8" w14:textId="77777777" w:rsidR="003F6A1F" w:rsidRDefault="003F6A1F" w:rsidP="00C407A8">
    <w:pPr>
      <w:tabs>
        <w:tab w:val="left" w:pos="7920"/>
        <w:tab w:val="left" w:pos="8100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D782199A"/>
    <w:lvl w:ilvl="0">
      <w:start w:val="34"/>
      <w:numFmt w:val="none"/>
      <w:pStyle w:val="Heading1"/>
      <w:suff w:val="nothing"/>
      <w:lvlText w:val="AP3.33 APPENDIX 3.33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33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33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33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33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33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33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33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33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B70881"/>
    <w:rsid w:val="00002E12"/>
    <w:rsid w:val="00033445"/>
    <w:rsid w:val="000A187D"/>
    <w:rsid w:val="000A266A"/>
    <w:rsid w:val="00111976"/>
    <w:rsid w:val="001304CA"/>
    <w:rsid w:val="001331DD"/>
    <w:rsid w:val="001B2E79"/>
    <w:rsid w:val="001C4140"/>
    <w:rsid w:val="001F5C1F"/>
    <w:rsid w:val="001F608E"/>
    <w:rsid w:val="002940E6"/>
    <w:rsid w:val="002A6698"/>
    <w:rsid w:val="00313D49"/>
    <w:rsid w:val="003B217B"/>
    <w:rsid w:val="003E18F7"/>
    <w:rsid w:val="003E457C"/>
    <w:rsid w:val="003F6A1F"/>
    <w:rsid w:val="00405645"/>
    <w:rsid w:val="004815B6"/>
    <w:rsid w:val="004A2839"/>
    <w:rsid w:val="004A3E28"/>
    <w:rsid w:val="004C75FC"/>
    <w:rsid w:val="004E36A0"/>
    <w:rsid w:val="00514187"/>
    <w:rsid w:val="00563F8C"/>
    <w:rsid w:val="0061200B"/>
    <w:rsid w:val="00646B58"/>
    <w:rsid w:val="00677BE7"/>
    <w:rsid w:val="006C31E2"/>
    <w:rsid w:val="00746091"/>
    <w:rsid w:val="00796ED5"/>
    <w:rsid w:val="007A330A"/>
    <w:rsid w:val="00836435"/>
    <w:rsid w:val="008A6E05"/>
    <w:rsid w:val="008D7332"/>
    <w:rsid w:val="008E5DE3"/>
    <w:rsid w:val="00903715"/>
    <w:rsid w:val="009105BA"/>
    <w:rsid w:val="00944BD7"/>
    <w:rsid w:val="0097350A"/>
    <w:rsid w:val="00983301"/>
    <w:rsid w:val="00A1258F"/>
    <w:rsid w:val="00A56611"/>
    <w:rsid w:val="00AB12A9"/>
    <w:rsid w:val="00B04E06"/>
    <w:rsid w:val="00B52ADC"/>
    <w:rsid w:val="00B61F88"/>
    <w:rsid w:val="00B70881"/>
    <w:rsid w:val="00BD532F"/>
    <w:rsid w:val="00C01490"/>
    <w:rsid w:val="00C3401C"/>
    <w:rsid w:val="00C407A8"/>
    <w:rsid w:val="00C53A5E"/>
    <w:rsid w:val="00C9170C"/>
    <w:rsid w:val="00CC2BAA"/>
    <w:rsid w:val="00D0012F"/>
    <w:rsid w:val="00D04798"/>
    <w:rsid w:val="00D312E7"/>
    <w:rsid w:val="00D43B9A"/>
    <w:rsid w:val="00D7034C"/>
    <w:rsid w:val="00DB2AAE"/>
    <w:rsid w:val="00E6500D"/>
    <w:rsid w:val="00E8141B"/>
    <w:rsid w:val="00EB6875"/>
    <w:rsid w:val="00ED1318"/>
    <w:rsid w:val="00ED7010"/>
    <w:rsid w:val="00FB3D5D"/>
    <w:rsid w:val="00FB3F95"/>
    <w:rsid w:val="00FB4137"/>
    <w:rsid w:val="00FB41C7"/>
    <w:rsid w:val="00FC39A0"/>
    <w:rsid w:val="00FF6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423F60"/>
  <w15:docId w15:val="{17984BC1-6CA5-4C17-B5E4-36244ECD1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5BA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105BA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105BA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105BA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105BA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105BA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105BA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105BA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105BA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105BA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9105BA"/>
    <w:rPr>
      <w:vertAlign w:val="superscript"/>
    </w:rPr>
  </w:style>
  <w:style w:type="character" w:styleId="FootnoteReference">
    <w:name w:val="footnote reference"/>
    <w:basedOn w:val="DefaultParagraphFont"/>
    <w:semiHidden/>
    <w:rsid w:val="009105BA"/>
    <w:rPr>
      <w:vertAlign w:val="superscript"/>
    </w:rPr>
  </w:style>
  <w:style w:type="character" w:styleId="PageNumber">
    <w:name w:val="page number"/>
    <w:basedOn w:val="DefaultParagraphFont"/>
    <w:rsid w:val="009105BA"/>
    <w:rPr>
      <w:rFonts w:ascii="Arial" w:hAnsi="Arial"/>
      <w:b/>
      <w:sz w:val="24"/>
    </w:rPr>
  </w:style>
  <w:style w:type="paragraph" w:styleId="Footer">
    <w:name w:val="footer"/>
    <w:basedOn w:val="Normal"/>
    <w:rsid w:val="009105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9105BA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9105BA"/>
    <w:rPr>
      <w:sz w:val="20"/>
    </w:rPr>
  </w:style>
  <w:style w:type="paragraph" w:customStyle="1" w:styleId="SubTitle">
    <w:name w:val="Sub Title"/>
    <w:basedOn w:val="Title"/>
    <w:rsid w:val="009105BA"/>
    <w:rPr>
      <w:u w:val="single"/>
    </w:rPr>
  </w:style>
  <w:style w:type="paragraph" w:styleId="Title">
    <w:name w:val="Title"/>
    <w:basedOn w:val="Normal"/>
    <w:next w:val="Header"/>
    <w:qFormat/>
    <w:rsid w:val="009105BA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105BA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105BA"/>
    <w:pPr>
      <w:spacing w:after="160"/>
      <w:ind w:left="1440"/>
    </w:pPr>
  </w:style>
  <w:style w:type="paragraph" w:styleId="BodyText">
    <w:name w:val="Body Text"/>
    <w:basedOn w:val="Normal"/>
    <w:rsid w:val="009105BA"/>
    <w:pPr>
      <w:spacing w:after="120"/>
    </w:pPr>
  </w:style>
  <w:style w:type="paragraph" w:styleId="ListBullet">
    <w:name w:val="List Bullet"/>
    <w:basedOn w:val="Normal"/>
    <w:rsid w:val="009105BA"/>
    <w:pPr>
      <w:spacing w:after="120"/>
      <w:ind w:left="360" w:hanging="360"/>
    </w:pPr>
  </w:style>
  <w:style w:type="paragraph" w:styleId="ListBullet2">
    <w:name w:val="List Bullet 2"/>
    <w:basedOn w:val="Normal"/>
    <w:rsid w:val="009105BA"/>
    <w:pPr>
      <w:ind w:left="720" w:hanging="360"/>
    </w:pPr>
  </w:style>
  <w:style w:type="paragraph" w:styleId="ListBullet3">
    <w:name w:val="List Bullet 3"/>
    <w:basedOn w:val="Normal"/>
    <w:rsid w:val="009105BA"/>
    <w:pPr>
      <w:ind w:left="1080" w:hanging="360"/>
    </w:pPr>
  </w:style>
  <w:style w:type="paragraph" w:styleId="ListNumber">
    <w:name w:val="List Number"/>
    <w:basedOn w:val="Normal"/>
    <w:rsid w:val="009105BA"/>
    <w:pPr>
      <w:ind w:left="360" w:hanging="360"/>
    </w:pPr>
  </w:style>
  <w:style w:type="paragraph" w:styleId="ListNumber2">
    <w:name w:val="List Number 2"/>
    <w:basedOn w:val="Normal"/>
    <w:rsid w:val="009105BA"/>
    <w:pPr>
      <w:ind w:left="720" w:hanging="360"/>
    </w:pPr>
  </w:style>
  <w:style w:type="paragraph" w:styleId="ListNumber3">
    <w:name w:val="List Number 3"/>
    <w:basedOn w:val="Normal"/>
    <w:rsid w:val="009105BA"/>
    <w:pPr>
      <w:ind w:left="1080" w:hanging="360"/>
    </w:pPr>
  </w:style>
  <w:style w:type="paragraph" w:styleId="DocumentMap">
    <w:name w:val="Document Map"/>
    <w:basedOn w:val="Normal"/>
    <w:semiHidden/>
    <w:rsid w:val="009105BA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105BA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9105B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9105B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9105BA"/>
    <w:rPr>
      <w:sz w:val="16"/>
      <w:szCs w:val="16"/>
    </w:rPr>
  </w:style>
  <w:style w:type="paragraph" w:styleId="CommentText">
    <w:name w:val="annotation text"/>
    <w:basedOn w:val="Normal"/>
    <w:semiHidden/>
    <w:rsid w:val="009105BA"/>
    <w:rPr>
      <w:sz w:val="20"/>
    </w:rPr>
  </w:style>
  <w:style w:type="paragraph" w:styleId="BalloonText">
    <w:name w:val="Balloon Text"/>
    <w:basedOn w:val="Normal"/>
    <w:semiHidden/>
    <w:rsid w:val="00ED1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9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94BE-E031-4BBE-9454-AB8BA526D221}"/>
</file>

<file path=customXml/itemProps2.xml><?xml version="1.0" encoding="utf-8"?>
<ds:datastoreItem xmlns:ds="http://schemas.openxmlformats.org/officeDocument/2006/customXml" ds:itemID="{2D6B78C8-A38C-4E13-868B-3A19BBE86D2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F57C8E-BFAA-4BD9-BF61-EDBAE8D347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574613-F5D3-49E7-8D55-7F231BB79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36</TotalTime>
  <Pages>3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8.33 - Customer Asset Report (Materiel Returns Program)</vt:lpstr>
    </vt:vector>
  </TitlesOfParts>
  <Company>DLA Logistics Management Standards Office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8.33 - Customer Asset Report (Materiel Returns Program)</dc:title>
  <dc:subject/>
  <dc:creator>Heidi Daverede</dc:creator>
  <cp:keywords/>
  <cp:lastModifiedBy>Nguyen, Bao X CTR DLA INFO OPERATIONS (USA)</cp:lastModifiedBy>
  <cp:revision>14</cp:revision>
  <cp:lastPrinted>2007-10-26T13:31:00Z</cp:lastPrinted>
  <dcterms:created xsi:type="dcterms:W3CDTF">2011-10-04T12:37:00Z</dcterms:created>
  <dcterms:modified xsi:type="dcterms:W3CDTF">2019-11-26T22:14:00Z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2303000</vt:r8>
  </property>
</Properties>
</file>