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C809" w14:textId="220B7BA4" w:rsidR="005A0DBD" w:rsidRPr="000347B3" w:rsidRDefault="00BB7315" w:rsidP="003E7FED">
      <w:pPr>
        <w:spacing w:after="240"/>
        <w:jc w:val="center"/>
        <w:rPr>
          <w:b/>
          <w:sz w:val="44"/>
          <w:szCs w:val="44"/>
          <w:u w:val="single"/>
        </w:rPr>
      </w:pPr>
      <w:r w:rsidRPr="000347B3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1D4B6A" w:rsidRPr="000347B3">
        <w:rPr>
          <w:b/>
          <w:sz w:val="44"/>
          <w:szCs w:val="44"/>
          <w:u w:val="single"/>
        </w:rPr>
        <w:t>.35</w:t>
      </w:r>
      <w:r w:rsidR="0024770E" w:rsidRPr="000347B3">
        <w:rPr>
          <w:b/>
          <w:sz w:val="44"/>
          <w:szCs w:val="44"/>
          <w:u w:val="single"/>
        </w:rPr>
        <w:t>.</w:t>
      </w:r>
      <w:r w:rsidR="001D4B6A" w:rsidRPr="000347B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1D4B6A" w:rsidRPr="000347B3">
        <w:rPr>
          <w:b/>
          <w:sz w:val="44"/>
          <w:szCs w:val="44"/>
          <w:u w:val="single"/>
        </w:rPr>
        <w:t>.35</w:t>
      </w:r>
      <w:bookmarkStart w:id="0" w:name="A2"/>
    </w:p>
    <w:p w14:paraId="57EEC80A" w14:textId="77777777" w:rsidR="00704AA0" w:rsidRPr="003E7FED" w:rsidRDefault="00704AA0" w:rsidP="003E7FED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DEFENSE AUTOMATIC ADDRESSING SYSTEM</w:t>
      </w:r>
      <w:r w:rsidR="005A0DBD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CUSTOMER ASSET REPORT STATUS</w:t>
      </w:r>
      <w:r w:rsidR="005A0DBD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800"/>
        <w:gridCol w:w="4770"/>
      </w:tblGrid>
      <w:tr w:rsidR="00704AA0" w:rsidRPr="007C753F" w14:paraId="57EEC80F" w14:textId="77777777">
        <w:trPr>
          <w:cantSplit/>
          <w:trHeight w:val="403"/>
          <w:tblHeader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C80B" w14:textId="77777777" w:rsidR="00704AA0" w:rsidRPr="007C753F" w:rsidRDefault="00704AA0" w:rsidP="007C753F">
            <w:pPr>
              <w:spacing w:before="60" w:after="120"/>
            </w:pPr>
            <w:r w:rsidRPr="007C753F"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0C" w14:textId="77777777" w:rsidR="00704AA0" w:rsidRPr="007C753F" w:rsidRDefault="00704AA0" w:rsidP="007C753F">
            <w:pPr>
              <w:spacing w:before="60" w:after="120"/>
              <w:jc w:val="center"/>
            </w:pPr>
            <w:r w:rsidRPr="007C753F">
              <w:t>RECORD</w:t>
            </w:r>
          </w:p>
          <w:p w14:paraId="57EEC80D" w14:textId="77777777" w:rsidR="00704AA0" w:rsidRPr="007C753F" w:rsidRDefault="00704AA0" w:rsidP="007C753F">
            <w:pPr>
              <w:spacing w:before="60" w:after="120"/>
              <w:jc w:val="center"/>
            </w:pPr>
            <w:r w:rsidRPr="007C753F"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EC80E" w14:textId="77777777" w:rsidR="00704AA0" w:rsidRPr="007C753F" w:rsidRDefault="00704AA0" w:rsidP="007C753F">
            <w:pPr>
              <w:spacing w:before="60" w:after="120"/>
            </w:pPr>
            <w:r w:rsidRPr="007C753F">
              <w:t>ENTRY AND INSTRUCTIONS</w:t>
            </w:r>
          </w:p>
        </w:tc>
      </w:tr>
      <w:tr w:rsidR="00704AA0" w:rsidRPr="007C753F" w14:paraId="57EEC813" w14:textId="77777777" w:rsidTr="00253873">
        <w:trPr>
          <w:cantSplit/>
          <w:trHeight w:val="51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10" w14:textId="051B7C8F" w:rsidR="00704AA0" w:rsidRPr="007C753F" w:rsidRDefault="00704AA0" w:rsidP="003E7FED">
            <w:pPr>
              <w:spacing w:before="60" w:after="60"/>
            </w:pPr>
            <w:r w:rsidRPr="007C753F">
              <w:t>Document Identifier</w:t>
            </w:r>
            <w:r w:rsidR="00B024F2" w:rsidRPr="007C753F"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11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12" w14:textId="17B37611" w:rsidR="00704AA0" w:rsidRPr="007C753F" w:rsidRDefault="00704AA0" w:rsidP="00B024F2">
            <w:pPr>
              <w:spacing w:before="60" w:after="60"/>
            </w:pPr>
            <w:r w:rsidRPr="007C753F">
              <w:t xml:space="preserve">Enter </w:t>
            </w:r>
            <w:r w:rsidR="00B958DD" w:rsidRPr="007C753F">
              <w:t>DIC</w:t>
            </w:r>
            <w:r w:rsidR="00B024F2" w:rsidRPr="007C753F">
              <w:t xml:space="preserve"> </w:t>
            </w:r>
            <w:r w:rsidRPr="007C753F">
              <w:t>FTQ.</w:t>
            </w:r>
          </w:p>
        </w:tc>
      </w:tr>
      <w:tr w:rsidR="00704AA0" w:rsidRPr="007C753F" w14:paraId="57EEC817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14" w14:textId="26BA8B43" w:rsidR="00704AA0" w:rsidRPr="007C753F" w:rsidRDefault="00704AA0" w:rsidP="003E7FED">
            <w:pPr>
              <w:spacing w:before="60" w:after="60"/>
            </w:pPr>
            <w:r w:rsidRPr="007C753F">
              <w:t>Routing Identifier</w:t>
            </w:r>
            <w:r w:rsidR="00B024F2" w:rsidRPr="007C753F"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15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16" w14:textId="5AC524FE" w:rsidR="00704AA0" w:rsidRPr="007C753F" w:rsidRDefault="00704AA0" w:rsidP="00B024F2">
            <w:pPr>
              <w:spacing w:before="60" w:after="60"/>
            </w:pPr>
            <w:r w:rsidRPr="007C753F">
              <w:t xml:space="preserve">Enter the </w:t>
            </w:r>
            <w:r w:rsidR="00E93C74" w:rsidRPr="007C753F">
              <w:t>RIC</w:t>
            </w:r>
            <w:bookmarkStart w:id="1" w:name="_GoBack"/>
            <w:bookmarkEnd w:id="1"/>
            <w:r w:rsidRPr="007C753F">
              <w:t xml:space="preserve"> </w:t>
            </w:r>
            <w:r w:rsidR="00B024F2" w:rsidRPr="007C753F">
              <w:t xml:space="preserve">for the </w:t>
            </w:r>
            <w:r w:rsidRPr="007C753F">
              <w:t>DAAS facility.</w:t>
            </w:r>
          </w:p>
        </w:tc>
      </w:tr>
      <w:tr w:rsidR="00704AA0" w:rsidRPr="007C753F" w14:paraId="57EEC81B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18" w14:textId="77777777" w:rsidR="00704AA0" w:rsidRPr="007C753F" w:rsidRDefault="00704AA0" w:rsidP="003E7FED">
            <w:pPr>
              <w:spacing w:before="60" w:after="60"/>
            </w:pPr>
            <w:r w:rsidRPr="007C753F"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19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1A" w14:textId="5C3B68F5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="007A2A77" w:rsidRPr="007C753F">
              <w:t xml:space="preserve"> </w:t>
            </w:r>
            <w:r w:rsidRPr="007C753F">
              <w:t xml:space="preserve">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1F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1C" w14:textId="77777777" w:rsidR="00704AA0" w:rsidRPr="007C753F" w:rsidRDefault="00704AA0" w:rsidP="003E7FED">
            <w:pPr>
              <w:spacing w:before="60" w:after="60"/>
            </w:pPr>
            <w:r w:rsidRPr="007C753F"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1D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1E" w14:textId="355FEF20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DI FTF.</w:t>
            </w:r>
          </w:p>
        </w:tc>
      </w:tr>
      <w:tr w:rsidR="00704AA0" w:rsidRPr="007C753F" w14:paraId="57EEC823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20" w14:textId="77777777" w:rsidR="00704AA0" w:rsidRPr="007C753F" w:rsidRDefault="00704AA0" w:rsidP="003E7FED">
            <w:pPr>
              <w:spacing w:before="60" w:after="60"/>
            </w:pPr>
            <w:r w:rsidRPr="007C753F"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21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22" w14:textId="77777777" w:rsidR="00704AA0" w:rsidRPr="007C753F" w:rsidRDefault="00704AA0" w:rsidP="003E7FED">
            <w:pPr>
              <w:spacing w:before="60" w:after="60"/>
            </w:pPr>
            <w:r w:rsidRPr="007C753F">
              <w:t>Enter data as contained in DI FTC, or DI FTF.</w:t>
            </w:r>
          </w:p>
        </w:tc>
      </w:tr>
      <w:tr w:rsidR="00704AA0" w:rsidRPr="007C753F" w14:paraId="57EEC82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24" w14:textId="77777777" w:rsidR="00704AA0" w:rsidRPr="007C753F" w:rsidRDefault="00704AA0" w:rsidP="003E7FED">
            <w:pPr>
              <w:spacing w:before="60" w:after="60"/>
            </w:pPr>
            <w:r w:rsidRPr="007C753F"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25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26" w14:textId="77777777" w:rsidR="00704AA0" w:rsidRPr="007C753F" w:rsidRDefault="00704AA0" w:rsidP="003E7FED">
            <w:pPr>
              <w:spacing w:before="60" w:after="60"/>
            </w:pPr>
            <w:r w:rsidRPr="007C753F">
              <w:t>a.  Enter the quantity.</w:t>
            </w:r>
          </w:p>
          <w:p w14:paraId="57EEC827" w14:textId="6D46A970" w:rsidR="00704AA0" w:rsidRPr="007C753F" w:rsidRDefault="00253873" w:rsidP="00FE5EF8">
            <w:pPr>
              <w:spacing w:before="60" w:after="60"/>
            </w:pPr>
            <w:r w:rsidRPr="007C753F">
              <w:t xml:space="preserve">b.  For ammunition </w:t>
            </w:r>
            <w:r w:rsidR="001C38E8" w:rsidRPr="007C753F">
              <w:t xml:space="preserve">and ammunition related items only (items in </w:t>
            </w:r>
            <w:r w:rsidR="00211E99" w:rsidRPr="007C753F">
              <w:t xml:space="preserve">Federal </w:t>
            </w:r>
            <w:r w:rsidR="00B024F2" w:rsidRPr="007C753F">
              <w:t xml:space="preserve">supply froup </w:t>
            </w:r>
            <w:r w:rsidR="00211E99" w:rsidRPr="007C753F">
              <w:t>(</w:t>
            </w:r>
            <w:r w:rsidRPr="007C753F">
              <w:t>FSG</w:t>
            </w:r>
            <w:r w:rsidR="00211E99" w:rsidRPr="007C753F">
              <w:t>)</w:t>
            </w:r>
            <w:r w:rsidRPr="007C753F">
              <w:t xml:space="preserve"> 13  and for </w:t>
            </w:r>
            <w:r w:rsidR="00211E99" w:rsidRPr="007C753F">
              <w:t xml:space="preserve">Federal </w:t>
            </w:r>
            <w:r w:rsidR="00B024F2" w:rsidRPr="007C753F">
              <w:t>supply class</w:t>
            </w:r>
            <w:r w:rsidR="00FE5EF8" w:rsidRPr="007C753F">
              <w:t>ification</w:t>
            </w:r>
            <w:r w:rsidR="00B024F2" w:rsidRPr="007C753F">
              <w:t xml:space="preserve"> </w:t>
            </w:r>
            <w:r w:rsidR="00211E99" w:rsidRPr="007C753F">
              <w:t>(</w:t>
            </w:r>
            <w:r w:rsidRPr="007C753F">
              <w:t>FSC</w:t>
            </w:r>
            <w:r w:rsidR="00211E99" w:rsidRPr="007C753F">
              <w:t>)</w:t>
            </w:r>
            <w:r w:rsidRPr="007C753F">
              <w:t xml:space="preserve"> 1410, 1420, 1427, 1440, 5330, 5865, </w:t>
            </w:r>
            <w:r w:rsidR="00FE5EF8" w:rsidRPr="007C753F">
              <w:t xml:space="preserve">6810 </w:t>
            </w:r>
            <w:r w:rsidRPr="007C753F">
              <w:t>or 8140</w:t>
            </w:r>
            <w:r w:rsidR="001C38E8" w:rsidRPr="007C753F">
              <w:t>)</w:t>
            </w:r>
            <w:r w:rsidR="00704AA0" w:rsidRPr="007C753F">
              <w:t>, enter an “M” in rp 29 to express in thousands any quantity exceeding 99,999.  Example:  Express a quantity of 1,950,000 as 1950M (1950 in rp 25-28 and an “M” in rp 29).</w:t>
            </w:r>
          </w:p>
        </w:tc>
      </w:tr>
      <w:tr w:rsidR="00704AA0" w:rsidRPr="007C753F" w14:paraId="57EEC82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29" w14:textId="77777777" w:rsidR="00704AA0" w:rsidRPr="007C753F" w:rsidRDefault="00704AA0" w:rsidP="003E7FED">
            <w:pPr>
              <w:spacing w:before="60" w:after="60"/>
            </w:pPr>
            <w:r w:rsidRPr="007C753F"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2A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2B" w14:textId="5881A547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3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2D" w14:textId="77777777" w:rsidR="00704AA0" w:rsidRPr="007C753F" w:rsidRDefault="00704AA0" w:rsidP="003E7FED">
            <w:pPr>
              <w:spacing w:before="60" w:after="60"/>
            </w:pPr>
            <w:r w:rsidRPr="007C753F"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2E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2F" w14:textId="0AADFD1A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3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31" w14:textId="77777777" w:rsidR="00704AA0" w:rsidRPr="007C753F" w:rsidRDefault="00704AA0" w:rsidP="003E7FED">
            <w:pPr>
              <w:spacing w:before="60" w:after="60"/>
            </w:pPr>
            <w:r w:rsidRPr="007C753F"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32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33" w14:textId="51E89C8E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3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35" w14:textId="77777777" w:rsidR="00704AA0" w:rsidRPr="007C753F" w:rsidRDefault="00704AA0" w:rsidP="003E7FED">
            <w:pPr>
              <w:spacing w:before="60" w:after="60"/>
            </w:pPr>
            <w:r w:rsidRPr="007C753F"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36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37" w14:textId="05483298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3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39" w14:textId="77777777" w:rsidR="00704AA0" w:rsidRPr="007C753F" w:rsidRDefault="00704AA0" w:rsidP="003E7FED">
            <w:pPr>
              <w:spacing w:before="60" w:after="60"/>
            </w:pPr>
            <w:r w:rsidRPr="007C753F"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3A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3B" w14:textId="5D7EA169" w:rsidR="00704AA0" w:rsidRPr="007C753F" w:rsidRDefault="00704AA0" w:rsidP="003E7FED">
            <w:pPr>
              <w:spacing w:before="60" w:after="60"/>
            </w:pPr>
            <w:r w:rsidRPr="007C753F">
              <w:t xml:space="preserve">Enter data as contained in </w:t>
            </w:r>
            <w:r w:rsidR="00B958DD" w:rsidRPr="007C753F">
              <w:t>DIC</w:t>
            </w:r>
            <w:r w:rsidRPr="007C753F">
              <w:t xml:space="preserve"> FTC, </w:t>
            </w:r>
            <w:r w:rsidR="00B958DD" w:rsidRPr="007C753F">
              <w:t>DIC</w:t>
            </w:r>
            <w:r w:rsidRPr="007C753F">
              <w:t xml:space="preserve"> FTE, or </w:t>
            </w:r>
            <w:r w:rsidR="00B958DD" w:rsidRPr="007C753F">
              <w:t>DIC</w:t>
            </w:r>
            <w:r w:rsidRPr="007C753F">
              <w:t xml:space="preserve"> FTF.</w:t>
            </w:r>
          </w:p>
        </w:tc>
      </w:tr>
      <w:tr w:rsidR="00704AA0" w:rsidRPr="007C753F" w14:paraId="57EEC840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3D" w14:textId="77777777" w:rsidR="00704AA0" w:rsidRPr="007C753F" w:rsidRDefault="00704AA0" w:rsidP="003E7FED">
            <w:pPr>
              <w:spacing w:before="60" w:after="60"/>
            </w:pPr>
            <w:r w:rsidRPr="007C753F">
              <w:lastRenderedPageBreak/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3E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60-64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3F" w14:textId="77777777" w:rsidR="00704AA0" w:rsidRPr="007C753F" w:rsidRDefault="00704AA0" w:rsidP="003E7FED">
            <w:pPr>
              <w:spacing w:before="60" w:after="60"/>
            </w:pPr>
            <w:r w:rsidRPr="007C753F">
              <w:t>Leave blank.</w:t>
            </w:r>
          </w:p>
        </w:tc>
      </w:tr>
      <w:tr w:rsidR="00704AA0" w:rsidRPr="007C753F" w14:paraId="57EEC844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41" w14:textId="77777777" w:rsidR="00704AA0" w:rsidRPr="007C753F" w:rsidRDefault="00704AA0" w:rsidP="003E7FED">
            <w:pPr>
              <w:spacing w:before="60" w:after="60"/>
            </w:pPr>
            <w:r w:rsidRPr="007C753F">
              <w:t>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42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65-66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43" w14:textId="77777777" w:rsidR="00704AA0" w:rsidRPr="007C753F" w:rsidRDefault="00704AA0" w:rsidP="003E7FED">
            <w:pPr>
              <w:spacing w:before="60" w:after="60"/>
            </w:pPr>
            <w:r w:rsidRPr="007C753F">
              <w:t>Enter status code.</w:t>
            </w:r>
          </w:p>
        </w:tc>
      </w:tr>
      <w:tr w:rsidR="00704AA0" w:rsidRPr="007C753F" w14:paraId="57EEC848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45" w14:textId="5D7D6341" w:rsidR="00704AA0" w:rsidRPr="007C753F" w:rsidRDefault="00704AA0" w:rsidP="003E7FED">
            <w:pPr>
              <w:spacing w:before="60" w:after="60"/>
            </w:pPr>
            <w:r w:rsidRPr="007C753F">
              <w:t>Routing Identifier</w:t>
            </w:r>
            <w:r w:rsidR="00B024F2" w:rsidRPr="007C753F"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46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67-69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47" w14:textId="6C20B0D1" w:rsidR="00704AA0" w:rsidRPr="007C753F" w:rsidRDefault="00704AA0" w:rsidP="003E7FED">
            <w:pPr>
              <w:spacing w:before="60" w:after="60"/>
            </w:pPr>
            <w:r w:rsidRPr="007C753F">
              <w:t xml:space="preserve">Enter the </w:t>
            </w:r>
            <w:r w:rsidR="00E93C74" w:rsidRPr="007C753F">
              <w:t>RIC</w:t>
            </w:r>
            <w:r w:rsidRPr="007C753F">
              <w:t xml:space="preserve"> of ICP to which all future </w:t>
            </w:r>
            <w:r w:rsidR="00B958DD" w:rsidRPr="007C753F">
              <w:t>DIC</w:t>
            </w:r>
            <w:r w:rsidRPr="007C753F">
              <w:t xml:space="preserve"> FT_ transactions </w:t>
            </w:r>
            <w:r w:rsidR="00E93C74" w:rsidRPr="007C753F">
              <w:t>shall</w:t>
            </w:r>
            <w:r w:rsidRPr="007C753F">
              <w:t xml:space="preserve"> be directed.</w:t>
            </w:r>
          </w:p>
        </w:tc>
      </w:tr>
      <w:tr w:rsidR="00704AA0" w:rsidRPr="007C753F" w14:paraId="57EEC84C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7EEC849" w14:textId="77777777" w:rsidR="00704AA0" w:rsidRPr="007C753F" w:rsidRDefault="00704AA0" w:rsidP="003E7FED">
            <w:pPr>
              <w:spacing w:before="60" w:after="60"/>
            </w:pPr>
            <w:r w:rsidRPr="007C753F"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7EEC84A" w14:textId="77777777" w:rsidR="00704AA0" w:rsidRPr="007C753F" w:rsidRDefault="00704AA0" w:rsidP="003E7FED">
            <w:pPr>
              <w:spacing w:before="60" w:after="60"/>
              <w:jc w:val="center"/>
            </w:pPr>
            <w:r w:rsidRPr="007C753F">
              <w:t>70-80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EEC84B" w14:textId="77777777" w:rsidR="00704AA0" w:rsidRPr="007C753F" w:rsidRDefault="00704AA0" w:rsidP="003E7FED">
            <w:pPr>
              <w:spacing w:before="60" w:after="60"/>
            </w:pPr>
            <w:r w:rsidRPr="007C753F">
              <w:t>Leave blank.</w:t>
            </w:r>
          </w:p>
        </w:tc>
      </w:tr>
      <w:bookmarkEnd w:id="0"/>
    </w:tbl>
    <w:p w14:paraId="57EEC84D" w14:textId="77777777" w:rsidR="002F7249" w:rsidRDefault="002F7249" w:rsidP="002F7249">
      <w:pPr>
        <w:spacing w:before="60" w:after="60"/>
      </w:pPr>
    </w:p>
    <w:sectPr w:rsidR="002F7249" w:rsidSect="00231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C850" w14:textId="77777777" w:rsidR="00114BB6" w:rsidRDefault="00114BB6">
      <w:r>
        <w:separator/>
      </w:r>
    </w:p>
  </w:endnote>
  <w:endnote w:type="continuationSeparator" w:id="0">
    <w:p w14:paraId="57EEC851" w14:textId="77777777" w:rsidR="00114BB6" w:rsidRDefault="0011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C855" w14:textId="77777777" w:rsidR="002F7249" w:rsidRPr="005F6B71" w:rsidRDefault="00DD6CD2" w:rsidP="00704AA0">
    <w:pPr>
      <w:pStyle w:val="Footer"/>
      <w:framePr w:wrap="around" w:vAnchor="text" w:hAnchor="margin" w:xAlign="center" w:y="1"/>
      <w:rPr>
        <w:rStyle w:val="PageNumber"/>
        <w:b w:val="0"/>
      </w:rPr>
    </w:pPr>
    <w:r w:rsidRPr="005F6B71">
      <w:rPr>
        <w:rStyle w:val="PageNumber"/>
        <w:b w:val="0"/>
      </w:rPr>
      <w:fldChar w:fldCharType="begin"/>
    </w:r>
    <w:r w:rsidR="002F7249" w:rsidRPr="005F6B71">
      <w:rPr>
        <w:rStyle w:val="PageNumber"/>
        <w:b w:val="0"/>
      </w:rPr>
      <w:instrText xml:space="preserve">PAGE  </w:instrText>
    </w:r>
    <w:r w:rsidRPr="005F6B71">
      <w:rPr>
        <w:rStyle w:val="PageNumber"/>
        <w:b w:val="0"/>
      </w:rPr>
      <w:fldChar w:fldCharType="separate"/>
    </w:r>
    <w:r w:rsidR="00BC1744" w:rsidRPr="005F6B71">
      <w:rPr>
        <w:rStyle w:val="PageNumber"/>
        <w:b w:val="0"/>
        <w:noProof/>
      </w:rPr>
      <w:t>2</w:t>
    </w:r>
    <w:r w:rsidRPr="005F6B71">
      <w:rPr>
        <w:rStyle w:val="PageNumber"/>
        <w:b w:val="0"/>
      </w:rPr>
      <w:fldChar w:fldCharType="end"/>
    </w:r>
  </w:p>
  <w:p w14:paraId="57EEC856" w14:textId="77777777" w:rsidR="00704AA0" w:rsidRPr="001D4B6A" w:rsidRDefault="001D4B6A" w:rsidP="001D4B6A">
    <w:pPr>
      <w:pStyle w:val="Footer"/>
      <w:jc w:val="right"/>
      <w:rPr>
        <w:rStyle w:val="PageNumber"/>
        <w:b w:val="0"/>
      </w:rPr>
    </w:pPr>
    <w:r w:rsidRPr="001D4B6A">
      <w:rPr>
        <w:rStyle w:val="PageNumber"/>
        <w:b w:val="0"/>
      </w:rPr>
      <w:t>APPENDIX 3</w:t>
    </w:r>
    <w:r w:rsidR="00CD62B4">
      <w:rPr>
        <w:rStyle w:val="PageNumber"/>
        <w:b w:val="0"/>
      </w:rPr>
      <w:t>.35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C857" w14:textId="05F97C71" w:rsidR="002F7249" w:rsidRPr="00231039" w:rsidRDefault="00BB7315" w:rsidP="00704AA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231039">
      <w:rPr>
        <w:rStyle w:val="PageNumber"/>
        <w:b w:val="0"/>
      </w:rPr>
      <w:t>.35-</w:t>
    </w:r>
    <w:r w:rsidR="00DD6CD2" w:rsidRPr="00231039">
      <w:rPr>
        <w:rStyle w:val="PageNumber"/>
        <w:b w:val="0"/>
      </w:rPr>
      <w:fldChar w:fldCharType="begin"/>
    </w:r>
    <w:r w:rsidR="002F7249" w:rsidRPr="00231039">
      <w:rPr>
        <w:rStyle w:val="PageNumber"/>
        <w:b w:val="0"/>
      </w:rPr>
      <w:instrText xml:space="preserve">PAGE  </w:instrText>
    </w:r>
    <w:r w:rsidR="00DD6CD2" w:rsidRPr="00231039">
      <w:rPr>
        <w:rStyle w:val="PageNumber"/>
        <w:b w:val="0"/>
      </w:rPr>
      <w:fldChar w:fldCharType="separate"/>
    </w:r>
    <w:r w:rsidR="00B5704A">
      <w:rPr>
        <w:rStyle w:val="PageNumber"/>
        <w:b w:val="0"/>
        <w:noProof/>
      </w:rPr>
      <w:t>1</w:t>
    </w:r>
    <w:r w:rsidR="00DD6CD2" w:rsidRPr="00231039">
      <w:rPr>
        <w:rStyle w:val="PageNumber"/>
        <w:b w:val="0"/>
      </w:rPr>
      <w:fldChar w:fldCharType="end"/>
    </w:r>
  </w:p>
  <w:p w14:paraId="57EEC858" w14:textId="7A130776" w:rsidR="002F7249" w:rsidRDefault="001D4B6A" w:rsidP="00600115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BB7315">
      <w:t>8</w:t>
    </w:r>
    <w:r w:rsidR="00CD62B4">
      <w:t>.35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C85C" w14:textId="77777777" w:rsidR="00704AA0" w:rsidRDefault="00704AA0">
    <w:pPr>
      <w:pStyle w:val="Footer"/>
      <w:jc w:val="center"/>
      <w:rPr>
        <w:rStyle w:val="PageNumber"/>
      </w:rPr>
    </w:pPr>
    <w:r>
      <w:rPr>
        <w:rStyle w:val="PageNumber"/>
      </w:rPr>
      <w:t>AP3.35-</w:t>
    </w:r>
    <w:r w:rsidR="00DD6CD2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D6CD2">
      <w:rPr>
        <w:rStyle w:val="PageNumber"/>
      </w:rPr>
      <w:fldChar w:fldCharType="separate"/>
    </w:r>
    <w:r w:rsidR="00BC1744">
      <w:rPr>
        <w:rStyle w:val="PageNumber"/>
        <w:noProof/>
      </w:rPr>
      <w:t>2</w:t>
    </w:r>
    <w:r w:rsidR="00DD6CD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EC84E" w14:textId="77777777" w:rsidR="00114BB6" w:rsidRDefault="00114BB6">
      <w:r>
        <w:separator/>
      </w:r>
    </w:p>
  </w:footnote>
  <w:footnote w:type="continuationSeparator" w:id="0">
    <w:p w14:paraId="57EEC84F" w14:textId="77777777" w:rsidR="00114BB6" w:rsidRDefault="0011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C852" w14:textId="77777777" w:rsidR="00A1256E" w:rsidRDefault="00A1256E" w:rsidP="00A1256E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143FBB">
      <w:rPr>
        <w:i/>
        <w:u w:val="none"/>
      </w:rPr>
      <w:t>January, 2006</w:t>
    </w:r>
  </w:p>
  <w:p w14:paraId="57EEC853" w14:textId="77777777" w:rsidR="00704AA0" w:rsidRPr="00A1256E" w:rsidRDefault="00A1256E" w:rsidP="00162422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1615" w14:textId="763085F4" w:rsidR="00BB7315" w:rsidRDefault="00BB7315" w:rsidP="00BB731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B5704A">
      <w:rPr>
        <w:i/>
      </w:rPr>
      <w:t>November 26</w:t>
    </w:r>
    <w:r>
      <w:rPr>
        <w:rFonts w:cs="Arial"/>
        <w:i/>
        <w:szCs w:val="24"/>
      </w:rPr>
      <w:t>, 2019</w:t>
    </w:r>
  </w:p>
  <w:p w14:paraId="57EEC854" w14:textId="406BB765" w:rsidR="002F7249" w:rsidRPr="00B024F2" w:rsidRDefault="00BB7315" w:rsidP="00BB7315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C859" w14:textId="77777777" w:rsidR="00704AA0" w:rsidRDefault="00704AA0">
    <w:pPr>
      <w:pStyle w:val="Header"/>
      <w:jc w:val="right"/>
      <w:rPr>
        <w:b/>
        <w:u w:val="none"/>
      </w:rPr>
    </w:pPr>
    <w:r>
      <w:rPr>
        <w:b/>
        <w:u w:val="none"/>
      </w:rPr>
      <w:t>CHIC 01-04</w:t>
    </w:r>
  </w:p>
  <w:p w14:paraId="57EEC85A" w14:textId="77777777" w:rsidR="00704AA0" w:rsidRDefault="00704AA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7EEC85B" w14:textId="77777777" w:rsidR="00704AA0" w:rsidRDefault="00704AA0">
    <w:pPr>
      <w:jc w:val="right"/>
      <w:rPr>
        <w:b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AEE2B5D6"/>
    <w:lvl w:ilvl="0">
      <w:start w:val="34"/>
      <w:numFmt w:val="none"/>
      <w:pStyle w:val="Heading1"/>
      <w:suff w:val="nothing"/>
      <w:lvlText w:val="AP3.35 APPENDIX 3.3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249"/>
    <w:rsid w:val="000347B3"/>
    <w:rsid w:val="000738B3"/>
    <w:rsid w:val="00114BB6"/>
    <w:rsid w:val="00143FBB"/>
    <w:rsid w:val="0015032B"/>
    <w:rsid w:val="00155F8D"/>
    <w:rsid w:val="00162422"/>
    <w:rsid w:val="001C38E8"/>
    <w:rsid w:val="001D4B6A"/>
    <w:rsid w:val="00211E99"/>
    <w:rsid w:val="00231039"/>
    <w:rsid w:val="00242ECB"/>
    <w:rsid w:val="0024770E"/>
    <w:rsid w:val="00253873"/>
    <w:rsid w:val="002F7249"/>
    <w:rsid w:val="00303615"/>
    <w:rsid w:val="003B6E3D"/>
    <w:rsid w:val="003E7FED"/>
    <w:rsid w:val="004C1FC7"/>
    <w:rsid w:val="005060C4"/>
    <w:rsid w:val="005A0DBD"/>
    <w:rsid w:val="005F0E2E"/>
    <w:rsid w:val="005F2F26"/>
    <w:rsid w:val="005F6B71"/>
    <w:rsid w:val="00600115"/>
    <w:rsid w:val="00602767"/>
    <w:rsid w:val="006356F3"/>
    <w:rsid w:val="00704AA0"/>
    <w:rsid w:val="0070776E"/>
    <w:rsid w:val="00745B0D"/>
    <w:rsid w:val="0076768C"/>
    <w:rsid w:val="007A2A77"/>
    <w:rsid w:val="007C753F"/>
    <w:rsid w:val="00812EDB"/>
    <w:rsid w:val="008421D7"/>
    <w:rsid w:val="00857A36"/>
    <w:rsid w:val="008E4343"/>
    <w:rsid w:val="009F7BC6"/>
    <w:rsid w:val="00A1256E"/>
    <w:rsid w:val="00A55B16"/>
    <w:rsid w:val="00A75BB2"/>
    <w:rsid w:val="00AC63D1"/>
    <w:rsid w:val="00AC750E"/>
    <w:rsid w:val="00B00522"/>
    <w:rsid w:val="00B024F2"/>
    <w:rsid w:val="00B11E1E"/>
    <w:rsid w:val="00B13CCE"/>
    <w:rsid w:val="00B5704A"/>
    <w:rsid w:val="00B958DD"/>
    <w:rsid w:val="00BA6653"/>
    <w:rsid w:val="00BB7315"/>
    <w:rsid w:val="00BC1744"/>
    <w:rsid w:val="00BF0BD3"/>
    <w:rsid w:val="00CD62B4"/>
    <w:rsid w:val="00D13DE0"/>
    <w:rsid w:val="00DD6CD2"/>
    <w:rsid w:val="00E2232C"/>
    <w:rsid w:val="00E5317A"/>
    <w:rsid w:val="00E93C74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EC809"/>
  <w15:docId w15:val="{A05F62C5-5C93-429F-AC98-773EAA12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2C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2232C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2232C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2232C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2232C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2232C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2232C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2232C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2232C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2232C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2232C"/>
    <w:rPr>
      <w:vertAlign w:val="superscript"/>
    </w:rPr>
  </w:style>
  <w:style w:type="character" w:styleId="FootnoteReference">
    <w:name w:val="footnote reference"/>
    <w:basedOn w:val="DefaultParagraphFont"/>
    <w:semiHidden/>
    <w:rsid w:val="00E2232C"/>
    <w:rPr>
      <w:vertAlign w:val="superscript"/>
    </w:rPr>
  </w:style>
  <w:style w:type="character" w:styleId="PageNumber">
    <w:name w:val="page number"/>
    <w:basedOn w:val="DefaultParagraphFont"/>
    <w:rsid w:val="00E2232C"/>
    <w:rPr>
      <w:rFonts w:ascii="Arial" w:hAnsi="Arial"/>
      <w:b/>
      <w:sz w:val="24"/>
    </w:rPr>
  </w:style>
  <w:style w:type="paragraph" w:styleId="Footer">
    <w:name w:val="footer"/>
    <w:basedOn w:val="Normal"/>
    <w:rsid w:val="00E223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2232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2232C"/>
    <w:rPr>
      <w:sz w:val="20"/>
    </w:rPr>
  </w:style>
  <w:style w:type="paragraph" w:customStyle="1" w:styleId="SubTitle">
    <w:name w:val="Sub Title"/>
    <w:basedOn w:val="Title"/>
    <w:rsid w:val="00E2232C"/>
    <w:rPr>
      <w:u w:val="single"/>
    </w:rPr>
  </w:style>
  <w:style w:type="paragraph" w:styleId="Title">
    <w:name w:val="Title"/>
    <w:basedOn w:val="Normal"/>
    <w:next w:val="Header"/>
    <w:qFormat/>
    <w:rsid w:val="00E2232C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2232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2232C"/>
    <w:pPr>
      <w:spacing w:after="160"/>
      <w:ind w:left="1440"/>
    </w:pPr>
  </w:style>
  <w:style w:type="paragraph" w:styleId="BodyText">
    <w:name w:val="Body Text"/>
    <w:basedOn w:val="Normal"/>
    <w:rsid w:val="00E2232C"/>
    <w:pPr>
      <w:spacing w:after="120"/>
    </w:pPr>
  </w:style>
  <w:style w:type="paragraph" w:styleId="ListBullet">
    <w:name w:val="List Bullet"/>
    <w:basedOn w:val="Normal"/>
    <w:rsid w:val="00E2232C"/>
    <w:pPr>
      <w:spacing w:after="120"/>
      <w:ind w:left="360" w:hanging="360"/>
    </w:pPr>
  </w:style>
  <w:style w:type="paragraph" w:styleId="ListBullet2">
    <w:name w:val="List Bullet 2"/>
    <w:basedOn w:val="Normal"/>
    <w:rsid w:val="00E2232C"/>
    <w:pPr>
      <w:ind w:left="720" w:hanging="360"/>
    </w:pPr>
  </w:style>
  <w:style w:type="paragraph" w:styleId="ListBullet3">
    <w:name w:val="List Bullet 3"/>
    <w:basedOn w:val="Normal"/>
    <w:rsid w:val="00E2232C"/>
    <w:pPr>
      <w:ind w:left="1080" w:hanging="360"/>
    </w:pPr>
  </w:style>
  <w:style w:type="paragraph" w:styleId="ListNumber">
    <w:name w:val="List Number"/>
    <w:basedOn w:val="Normal"/>
    <w:rsid w:val="00E2232C"/>
    <w:pPr>
      <w:ind w:left="360" w:hanging="360"/>
    </w:pPr>
  </w:style>
  <w:style w:type="paragraph" w:styleId="ListNumber2">
    <w:name w:val="List Number 2"/>
    <w:basedOn w:val="Normal"/>
    <w:rsid w:val="00E2232C"/>
    <w:pPr>
      <w:ind w:left="720" w:hanging="360"/>
    </w:pPr>
  </w:style>
  <w:style w:type="paragraph" w:styleId="ListNumber3">
    <w:name w:val="List Number 3"/>
    <w:basedOn w:val="Normal"/>
    <w:rsid w:val="00E2232C"/>
    <w:pPr>
      <w:ind w:left="1080" w:hanging="360"/>
    </w:pPr>
  </w:style>
  <w:style w:type="paragraph" w:styleId="DocumentMap">
    <w:name w:val="Document Map"/>
    <w:basedOn w:val="Normal"/>
    <w:semiHidden/>
    <w:rsid w:val="00E2232C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2232C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2232C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2232C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E2232C"/>
    <w:rPr>
      <w:sz w:val="16"/>
      <w:szCs w:val="16"/>
    </w:rPr>
  </w:style>
  <w:style w:type="paragraph" w:styleId="CommentText">
    <w:name w:val="annotation text"/>
    <w:basedOn w:val="Normal"/>
    <w:semiHidden/>
    <w:rsid w:val="00E2232C"/>
    <w:rPr>
      <w:sz w:val="20"/>
    </w:rPr>
  </w:style>
  <w:style w:type="paragraph" w:styleId="BalloonText">
    <w:name w:val="Balloon Text"/>
    <w:basedOn w:val="Normal"/>
    <w:semiHidden/>
    <w:rsid w:val="002F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64A69-04F2-4615-8CC0-B5987498ECC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AE3159-7623-4779-96AC-8D01CA0C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3C71F-8EA2-4EB2-B54B-052CF5DA6E3E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3.35 - DAAS Customer Asset Report Status (Materiel Returns Program)</vt:lpstr>
    </vt:vector>
  </TitlesOfParts>
  <Company>DLA Logistics Management Standards Office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8.35 - DAAS Customer Asset Report Status (Materiel Returns Program)</dc:title>
  <dc:subject/>
  <dc:creator>Heidi Daverede</dc:creator>
  <cp:keywords/>
  <cp:lastModifiedBy>Nguyen, Bao X CTR DLA INFO OPERATIONS (USA)</cp:lastModifiedBy>
  <cp:revision>14</cp:revision>
  <cp:lastPrinted>2007-10-26T13:30:00Z</cp:lastPrinted>
  <dcterms:created xsi:type="dcterms:W3CDTF">2011-10-04T12:41:00Z</dcterms:created>
  <dcterms:modified xsi:type="dcterms:W3CDTF">2019-11-26T22:15:00Z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2303200</vt:r8>
  </property>
</Properties>
</file>