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1640" w14:textId="77777777" w:rsidR="00071FF3" w:rsidRPr="00341E3A" w:rsidRDefault="00D83412" w:rsidP="00341E3A">
      <w:pPr>
        <w:pStyle w:val="Heading1"/>
      </w:pPr>
      <w:r w:rsidRPr="00341E3A">
        <w:t xml:space="preserve">C1. </w:t>
      </w:r>
      <w:r w:rsidR="00024B28" w:rsidRPr="00341E3A">
        <w:t>CHAPTER 1</w:t>
      </w:r>
    </w:p>
    <w:p w14:paraId="6D961641" w14:textId="77777777" w:rsidR="00071FF3" w:rsidRPr="00341E3A" w:rsidRDefault="00D44DF6" w:rsidP="00341E3A">
      <w:pPr>
        <w:pStyle w:val="Title"/>
      </w:pPr>
      <w:r w:rsidRPr="00341E3A">
        <w:t>INTRODUCTION</w:t>
      </w:r>
    </w:p>
    <w:p w14:paraId="6D961642" w14:textId="472466F4" w:rsidR="00D44DF6" w:rsidRPr="00D44DF6" w:rsidRDefault="00D44DF6" w:rsidP="00FA1351">
      <w:pPr>
        <w:pStyle w:val="Heading2"/>
        <w:shd w:val="clear" w:color="auto" w:fill="FFFFFF"/>
        <w:spacing w:before="0" w:after="240"/>
        <w:rPr>
          <w:rFonts w:cs="Arial"/>
          <w:szCs w:val="24"/>
          <w:u w:val="none"/>
        </w:rPr>
      </w:pPr>
      <w:r w:rsidRPr="00F97ED9">
        <w:rPr>
          <w:u w:val="none"/>
        </w:rPr>
        <w:t xml:space="preserve">C1.1.  </w:t>
      </w:r>
      <w:r w:rsidRPr="00426EDD">
        <w:t>GENERAL</w:t>
      </w:r>
    </w:p>
    <w:p w14:paraId="6D961643" w14:textId="26D356CE" w:rsidR="00D44DF6" w:rsidRPr="00D44DF6" w:rsidRDefault="00D44DF6" w:rsidP="00D55E41">
      <w:pPr>
        <w:pStyle w:val="Header"/>
        <w:tabs>
          <w:tab w:val="clear" w:pos="4320"/>
          <w:tab w:val="clear" w:pos="8640"/>
          <w:tab w:val="left" w:pos="540"/>
          <w:tab w:val="left" w:pos="1080"/>
          <w:tab w:val="left" w:pos="1620"/>
        </w:tabs>
        <w:spacing w:after="240"/>
        <w:jc w:val="left"/>
        <w:rPr>
          <w:u w:val="none"/>
        </w:rPr>
      </w:pPr>
      <w:r>
        <w:rPr>
          <w:u w:val="none"/>
        </w:rPr>
        <w:tab/>
      </w:r>
      <w:r w:rsidRPr="00585D82">
        <w:rPr>
          <w:rStyle w:val="Heading3Char"/>
          <w:rFonts w:cs="Arial"/>
          <w:bCs/>
          <w:szCs w:val="26"/>
          <w:u w:val="none"/>
        </w:rPr>
        <w:t>C</w:t>
      </w:r>
      <w:r w:rsidR="00DA486F" w:rsidRPr="00585D82">
        <w:rPr>
          <w:rStyle w:val="Heading3Char"/>
          <w:rFonts w:cs="Arial"/>
          <w:bCs/>
          <w:szCs w:val="26"/>
          <w:u w:val="none"/>
        </w:rPr>
        <w:t>1</w:t>
      </w:r>
      <w:r w:rsidRPr="00585D82">
        <w:rPr>
          <w:rStyle w:val="Heading3Char"/>
          <w:rFonts w:cs="Arial"/>
          <w:bCs/>
          <w:szCs w:val="26"/>
          <w:u w:val="none"/>
        </w:rPr>
        <w:t xml:space="preserve">.1.1.  </w:t>
      </w:r>
      <w:r w:rsidRPr="00585D82">
        <w:rPr>
          <w:rStyle w:val="Heading3Char"/>
          <w:rFonts w:cs="Arial"/>
          <w:bCs/>
          <w:szCs w:val="26"/>
        </w:rPr>
        <w:t>Purpose</w:t>
      </w:r>
      <w:r w:rsidRPr="00D44DF6">
        <w:rPr>
          <w:u w:val="none"/>
        </w:rPr>
        <w:t>.  This volume provides DoD standard procedures, data and transactions for the interchange of information between the logistics and transportation domains.  Electronic Data Interchange</w:t>
      </w:r>
      <w:r w:rsidR="00585D82">
        <w:rPr>
          <w:u w:val="none"/>
        </w:rPr>
        <w:t xml:space="preserve"> (EDI)</w:t>
      </w:r>
      <w:r w:rsidRPr="00D44DF6">
        <w:rPr>
          <w:u w:val="none"/>
        </w:rPr>
        <w:t xml:space="preserve"> Implementation Conventions </w:t>
      </w:r>
      <w:r w:rsidR="00585D82">
        <w:rPr>
          <w:u w:val="none"/>
        </w:rPr>
        <w:t>(ICs)</w:t>
      </w:r>
      <w:r w:rsidR="009B6CB1">
        <w:rPr>
          <w:u w:val="none"/>
        </w:rPr>
        <w:t xml:space="preserve"> </w:t>
      </w:r>
      <w:r w:rsidRPr="00D44DF6">
        <w:rPr>
          <w:u w:val="none"/>
        </w:rPr>
        <w:t xml:space="preserve">use American National Standards Institute (ANSI) Accredited Standards Committee (ASC) X12 transactions.  Implementation of these guidelines facilitates seamless entry of </w:t>
      </w:r>
      <w:r w:rsidR="004C0A18">
        <w:rPr>
          <w:u w:val="none"/>
        </w:rPr>
        <w:t>materiel</w:t>
      </w:r>
      <w:r w:rsidRPr="00D44DF6">
        <w:rPr>
          <w:u w:val="none"/>
        </w:rPr>
        <w:t xml:space="preserve"> from the supply domain into the Defense Transportation System (DTS).  It also enhances In</w:t>
      </w:r>
      <w:r w:rsidR="00DA486F">
        <w:rPr>
          <w:u w:val="none"/>
        </w:rPr>
        <w:t>-T</w:t>
      </w:r>
      <w:r w:rsidRPr="00D44DF6">
        <w:rPr>
          <w:u w:val="none"/>
        </w:rPr>
        <w:t>ransit Visibility (I</w:t>
      </w:r>
      <w:r>
        <w:rPr>
          <w:u w:val="none"/>
        </w:rPr>
        <w:t>TV) and improves data quality.</w:t>
      </w:r>
    </w:p>
    <w:p w14:paraId="6D961644" w14:textId="7B4D38EF" w:rsidR="00D44DF6" w:rsidRPr="00345968" w:rsidRDefault="00D44DF6">
      <w:pPr>
        <w:tabs>
          <w:tab w:val="left" w:pos="540"/>
          <w:tab w:val="left" w:pos="1080"/>
          <w:tab w:val="left" w:pos="1620"/>
        </w:tabs>
        <w:spacing w:after="240"/>
        <w:rPr>
          <w:rFonts w:cs="Arial"/>
          <w:szCs w:val="24"/>
        </w:rPr>
      </w:pPr>
      <w:r>
        <w:rPr>
          <w:rFonts w:cs="Arial"/>
        </w:rPr>
        <w:tab/>
      </w:r>
      <w:r w:rsidRPr="00585D82">
        <w:rPr>
          <w:rStyle w:val="Heading3Char"/>
          <w:rFonts w:cs="Arial"/>
          <w:bCs/>
          <w:szCs w:val="26"/>
        </w:rPr>
        <w:t xml:space="preserve">C1.1.2.  </w:t>
      </w:r>
      <w:r w:rsidRPr="00585D82">
        <w:rPr>
          <w:rStyle w:val="Heading3Char"/>
          <w:rFonts w:cs="Arial"/>
          <w:bCs/>
          <w:szCs w:val="26"/>
          <w:u w:val="single"/>
        </w:rPr>
        <w:t xml:space="preserve">Defense Logistics Management </w:t>
      </w:r>
      <w:r w:rsidR="001631A7">
        <w:rPr>
          <w:rStyle w:val="Heading3Char"/>
          <w:rFonts w:cs="Arial"/>
          <w:bCs/>
          <w:szCs w:val="26"/>
          <w:u w:val="single"/>
        </w:rPr>
        <w:t>Standards</w:t>
      </w:r>
      <w:r w:rsidRPr="00585D82">
        <w:rPr>
          <w:rStyle w:val="Heading3Char"/>
          <w:rFonts w:cs="Arial"/>
          <w:bCs/>
          <w:szCs w:val="26"/>
          <w:u w:val="single"/>
        </w:rPr>
        <w:t xml:space="preserve"> (DLMS) Volume Access</w:t>
      </w:r>
      <w:r w:rsidRPr="00345968">
        <w:rPr>
          <w:rFonts w:cs="Arial"/>
          <w:szCs w:val="24"/>
        </w:rPr>
        <w:t xml:space="preserve">.  Use of this volume requires simultaneous access to </w:t>
      </w:r>
      <w:r w:rsidR="00031775">
        <w:rPr>
          <w:rFonts w:cs="Arial"/>
          <w:szCs w:val="24"/>
        </w:rPr>
        <w:t xml:space="preserve">the </w:t>
      </w:r>
      <w:r w:rsidRPr="00345968">
        <w:rPr>
          <w:rFonts w:cs="Arial"/>
          <w:szCs w:val="24"/>
        </w:rPr>
        <w:t xml:space="preserve">DLMS Manual </w:t>
      </w:r>
      <w:r w:rsidR="00971C5A">
        <w:rPr>
          <w:rFonts w:cs="Arial"/>
          <w:szCs w:val="24"/>
        </w:rPr>
        <w:t xml:space="preserve">Volume 1 </w:t>
      </w:r>
      <w:r w:rsidR="00031775">
        <w:rPr>
          <w:rFonts w:cs="Arial"/>
          <w:szCs w:val="24"/>
        </w:rPr>
        <w:t xml:space="preserve">administrative items such as the </w:t>
      </w:r>
      <w:r w:rsidRPr="00345968">
        <w:rPr>
          <w:rFonts w:cs="Arial"/>
          <w:szCs w:val="24"/>
        </w:rPr>
        <w:t>list</w:t>
      </w:r>
      <w:r w:rsidR="00031775">
        <w:rPr>
          <w:rFonts w:cs="Arial"/>
          <w:szCs w:val="24"/>
        </w:rPr>
        <w:t xml:space="preserve">s </w:t>
      </w:r>
      <w:r w:rsidRPr="00345968">
        <w:rPr>
          <w:rFonts w:cs="Arial"/>
          <w:szCs w:val="24"/>
        </w:rPr>
        <w:t>of</w:t>
      </w:r>
      <w:r w:rsidR="00031775">
        <w:rPr>
          <w:rFonts w:cs="Arial"/>
          <w:szCs w:val="24"/>
        </w:rPr>
        <w:t xml:space="preserve">, </w:t>
      </w:r>
      <w:r w:rsidRPr="00345968">
        <w:rPr>
          <w:rFonts w:cs="Arial"/>
          <w:szCs w:val="24"/>
        </w:rPr>
        <w:t xml:space="preserve">acronyms and abbreviations, </w:t>
      </w:r>
      <w:r w:rsidR="00031775">
        <w:rPr>
          <w:rFonts w:cs="Arial"/>
          <w:szCs w:val="24"/>
        </w:rPr>
        <w:t>terms and definitions</w:t>
      </w:r>
      <w:r w:rsidRPr="00345968">
        <w:rPr>
          <w:rFonts w:cs="Arial"/>
          <w:szCs w:val="24"/>
        </w:rPr>
        <w:t xml:space="preserve">, </w:t>
      </w:r>
      <w:r w:rsidR="00971C5A">
        <w:rPr>
          <w:rFonts w:cs="Arial"/>
          <w:szCs w:val="24"/>
        </w:rPr>
        <w:t xml:space="preserve">and references; </w:t>
      </w:r>
      <w:r w:rsidRPr="00345968">
        <w:rPr>
          <w:rFonts w:cs="Arial"/>
          <w:szCs w:val="24"/>
        </w:rPr>
        <w:t>instructions for acquiring access to the DLMS standards data base; DLMS</w:t>
      </w:r>
      <w:r w:rsidR="00DA486F">
        <w:rPr>
          <w:rFonts w:cs="Arial"/>
          <w:szCs w:val="24"/>
        </w:rPr>
        <w:t>-</w:t>
      </w:r>
      <w:r w:rsidRPr="00345968">
        <w:rPr>
          <w:rFonts w:cs="Arial"/>
          <w:szCs w:val="24"/>
        </w:rPr>
        <w:t>to</w:t>
      </w:r>
      <w:r w:rsidR="00DA486F">
        <w:rPr>
          <w:rFonts w:cs="Arial"/>
          <w:szCs w:val="24"/>
        </w:rPr>
        <w:t>-</w:t>
      </w:r>
      <w:r w:rsidRPr="00345968">
        <w:rPr>
          <w:rFonts w:cs="Arial"/>
          <w:szCs w:val="24"/>
        </w:rPr>
        <w:t xml:space="preserve">Defense Logistics Standard System (DLSS) cross-references and </w:t>
      </w:r>
      <w:r w:rsidR="0055772D">
        <w:rPr>
          <w:rFonts w:cs="Arial"/>
          <w:b/>
          <w:i/>
          <w:szCs w:val="24"/>
        </w:rPr>
        <w:t>DoD/ASC X12 C</w:t>
      </w:r>
      <w:r w:rsidRPr="00345968">
        <w:rPr>
          <w:rFonts w:cs="Arial"/>
          <w:szCs w:val="24"/>
        </w:rPr>
        <w:t xml:space="preserve">onversion </w:t>
      </w:r>
      <w:r w:rsidR="0055772D">
        <w:rPr>
          <w:rFonts w:cs="Arial"/>
          <w:b/>
          <w:i/>
          <w:szCs w:val="24"/>
        </w:rPr>
        <w:t>G</w:t>
      </w:r>
      <w:r w:rsidRPr="00345968">
        <w:rPr>
          <w:rFonts w:cs="Arial"/>
          <w:szCs w:val="24"/>
        </w:rPr>
        <w:t>uides; specific guidance that applies to all implementation conventions; and functional and technical information that is relatively stable and applies to the DLMS as a whole.</w:t>
      </w:r>
    </w:p>
    <w:p w14:paraId="6D961645" w14:textId="58DF077A" w:rsidR="00D44DF6" w:rsidRPr="00581C6B" w:rsidRDefault="00D44DF6" w:rsidP="00D55E41">
      <w:pPr>
        <w:pStyle w:val="Heading2"/>
        <w:spacing w:before="0" w:after="240"/>
        <w:rPr>
          <w:rFonts w:cs="Arial"/>
          <w:szCs w:val="24"/>
          <w:u w:val="none"/>
        </w:rPr>
      </w:pPr>
      <w:r w:rsidRPr="00D37BFF">
        <w:rPr>
          <w:u w:val="none"/>
        </w:rPr>
        <w:t xml:space="preserve">C1.2.  </w:t>
      </w:r>
      <w:r w:rsidRPr="00A3547E">
        <w:t>POLICY</w:t>
      </w:r>
      <w:r w:rsidRPr="00A3547E">
        <w:rPr>
          <w:u w:val="none"/>
        </w:rPr>
        <w:t>.  The corresponding DoD Directives, DoD Instructions, D</w:t>
      </w:r>
      <w:r w:rsidR="00D55E41">
        <w:rPr>
          <w:u w:val="none"/>
        </w:rPr>
        <w:t xml:space="preserve">efense </w:t>
      </w:r>
      <w:r w:rsidRPr="00A3547E">
        <w:rPr>
          <w:u w:val="none"/>
        </w:rPr>
        <w:t>L</w:t>
      </w:r>
      <w:r w:rsidR="00D55E41">
        <w:rPr>
          <w:u w:val="none"/>
        </w:rPr>
        <w:t xml:space="preserve">ogistics </w:t>
      </w:r>
      <w:r w:rsidRPr="00A3547E">
        <w:rPr>
          <w:u w:val="none"/>
        </w:rPr>
        <w:t>Manuals</w:t>
      </w:r>
      <w:r w:rsidR="00D55E41">
        <w:rPr>
          <w:u w:val="none"/>
        </w:rPr>
        <w:t xml:space="preserve"> (DLMs)</w:t>
      </w:r>
      <w:r w:rsidRPr="00A3547E">
        <w:rPr>
          <w:u w:val="none"/>
        </w:rPr>
        <w:t xml:space="preserve">, Defense Transportation Regulation, and any other applicable references will be cited in the individual Transportation Volume chapters as </w:t>
      </w:r>
      <w:r w:rsidRPr="00581C6B">
        <w:rPr>
          <w:u w:val="none"/>
        </w:rPr>
        <w:t>appropriate.  At a minimum, these references include:</w:t>
      </w:r>
    </w:p>
    <w:p w14:paraId="6D961646" w14:textId="56874476" w:rsidR="00D44DF6" w:rsidRPr="00581C6B" w:rsidRDefault="00D44DF6" w:rsidP="00D55E41">
      <w:pPr>
        <w:tabs>
          <w:tab w:val="left" w:pos="540"/>
          <w:tab w:val="left" w:pos="1080"/>
          <w:tab w:val="left" w:pos="1620"/>
        </w:tabs>
        <w:spacing w:after="240"/>
        <w:rPr>
          <w:rFonts w:cs="Arial"/>
          <w:szCs w:val="24"/>
        </w:rPr>
      </w:pPr>
      <w:r w:rsidRPr="00581C6B">
        <w:rPr>
          <w:rFonts w:cs="Arial"/>
          <w:szCs w:val="24"/>
        </w:rPr>
        <w:tab/>
      </w:r>
      <w:r w:rsidRPr="00581C6B">
        <w:t xml:space="preserve">C1.2.1.  </w:t>
      </w:r>
      <w:r w:rsidR="00C26B90" w:rsidRPr="00581C6B">
        <w:rPr>
          <w:rStyle w:val="Heading3Char"/>
          <w:bCs/>
          <w:szCs w:val="26"/>
        </w:rPr>
        <w:t>DoD Instruction</w:t>
      </w:r>
      <w:r w:rsidRPr="00581C6B">
        <w:rPr>
          <w:rStyle w:val="Heading3Char"/>
          <w:bCs/>
          <w:szCs w:val="26"/>
        </w:rPr>
        <w:t xml:space="preserve"> 4140.</w:t>
      </w:r>
      <w:r w:rsidR="005C62EB" w:rsidRPr="00581C6B">
        <w:rPr>
          <w:rStyle w:val="Heading3Char"/>
          <w:bCs/>
          <w:szCs w:val="26"/>
        </w:rPr>
        <w:t>0</w:t>
      </w:r>
      <w:r w:rsidRPr="00581C6B">
        <w:rPr>
          <w:rStyle w:val="Heading3Char"/>
          <w:bCs/>
          <w:szCs w:val="26"/>
        </w:rPr>
        <w:t>1,</w:t>
      </w:r>
      <w:r w:rsidRPr="00581C6B">
        <w:rPr>
          <w:rFonts w:cs="Arial"/>
          <w:szCs w:val="24"/>
        </w:rPr>
        <w:t xml:space="preserve"> </w:t>
      </w:r>
      <w:r w:rsidR="005C62EB" w:rsidRPr="00581C6B">
        <w:rPr>
          <w:rFonts w:cs="Arial"/>
          <w:szCs w:val="24"/>
        </w:rPr>
        <w:t>“</w:t>
      </w:r>
      <w:r w:rsidR="00174D0F" w:rsidRPr="00581C6B">
        <w:rPr>
          <w:rFonts w:cs="Arial"/>
          <w:szCs w:val="24"/>
        </w:rPr>
        <w:t xml:space="preserve">DoD </w:t>
      </w:r>
      <w:r w:rsidRPr="00581C6B">
        <w:rPr>
          <w:rFonts w:cs="Arial"/>
          <w:szCs w:val="24"/>
        </w:rPr>
        <w:t>Supply Chain Materiel Management Policy</w:t>
      </w:r>
      <w:r w:rsidR="005C62EB" w:rsidRPr="00581C6B">
        <w:rPr>
          <w:rFonts w:cs="Arial"/>
          <w:szCs w:val="24"/>
        </w:rPr>
        <w:t>”</w:t>
      </w:r>
      <w:r w:rsidR="00174D0F" w:rsidRPr="00581C6B">
        <w:rPr>
          <w:rFonts w:cs="Arial"/>
          <w:szCs w:val="24"/>
        </w:rPr>
        <w:t>, December 14, 2011.</w:t>
      </w:r>
    </w:p>
    <w:p w14:paraId="6D961647" w14:textId="4809F792" w:rsidR="00D44DF6" w:rsidRPr="00581C6B" w:rsidRDefault="00D44DF6" w:rsidP="00D55E41">
      <w:pPr>
        <w:tabs>
          <w:tab w:val="left" w:pos="540"/>
          <w:tab w:val="left" w:pos="1080"/>
          <w:tab w:val="left" w:pos="1620"/>
        </w:tabs>
        <w:spacing w:after="240"/>
        <w:rPr>
          <w:rFonts w:cs="Arial"/>
          <w:szCs w:val="24"/>
        </w:rPr>
      </w:pPr>
      <w:r w:rsidRPr="00581C6B">
        <w:rPr>
          <w:rFonts w:cs="Arial"/>
          <w:szCs w:val="24"/>
        </w:rPr>
        <w:tab/>
      </w:r>
      <w:r w:rsidRPr="00581C6B">
        <w:rPr>
          <w:szCs w:val="24"/>
        </w:rPr>
        <w:t>C1.2.2</w:t>
      </w:r>
      <w:r w:rsidRPr="00581C6B">
        <w:rPr>
          <w:rFonts w:cs="Arial"/>
          <w:szCs w:val="24"/>
        </w:rPr>
        <w:t xml:space="preserve">.  </w:t>
      </w:r>
      <w:r w:rsidRPr="00581C6B">
        <w:rPr>
          <w:rStyle w:val="Heading3Char"/>
          <w:bCs/>
          <w:szCs w:val="26"/>
        </w:rPr>
        <w:t xml:space="preserve">DoD </w:t>
      </w:r>
      <w:r w:rsidR="002B5EC7">
        <w:rPr>
          <w:rStyle w:val="Heading3Char"/>
          <w:bCs/>
          <w:szCs w:val="26"/>
        </w:rPr>
        <w:t xml:space="preserve">Manual </w:t>
      </w:r>
      <w:r w:rsidRPr="00581C6B">
        <w:rPr>
          <w:rStyle w:val="Heading3Char"/>
          <w:bCs/>
          <w:szCs w:val="26"/>
        </w:rPr>
        <w:t>4140.</w:t>
      </w:r>
      <w:r w:rsidR="00F742C1">
        <w:rPr>
          <w:rStyle w:val="Heading3Char"/>
          <w:bCs/>
          <w:szCs w:val="26"/>
        </w:rPr>
        <w:t>0</w:t>
      </w:r>
      <w:r w:rsidRPr="00581C6B">
        <w:rPr>
          <w:rStyle w:val="Heading3Char"/>
          <w:bCs/>
          <w:szCs w:val="26"/>
        </w:rPr>
        <w:t>1</w:t>
      </w:r>
      <w:r w:rsidRPr="00581C6B">
        <w:rPr>
          <w:rFonts w:cs="Arial"/>
          <w:szCs w:val="24"/>
        </w:rPr>
        <w:t xml:space="preserve">, </w:t>
      </w:r>
      <w:r w:rsidR="005C62EB" w:rsidRPr="00581C6B">
        <w:rPr>
          <w:rFonts w:cs="Arial"/>
          <w:szCs w:val="24"/>
        </w:rPr>
        <w:t>“</w:t>
      </w:r>
      <w:r w:rsidRPr="00581C6B">
        <w:rPr>
          <w:rFonts w:cs="Arial"/>
          <w:szCs w:val="24"/>
        </w:rPr>
        <w:t xml:space="preserve">DoD Supply Chain Materiel Management </w:t>
      </w:r>
      <w:r w:rsidR="002B5EC7">
        <w:rPr>
          <w:rFonts w:cs="Arial"/>
          <w:szCs w:val="24"/>
        </w:rPr>
        <w:t>Procedures</w:t>
      </w:r>
      <w:r w:rsidR="005C62EB" w:rsidRPr="00581C6B">
        <w:rPr>
          <w:rFonts w:cs="Arial"/>
          <w:szCs w:val="24"/>
        </w:rPr>
        <w:t>”</w:t>
      </w:r>
      <w:r w:rsidR="006F026A" w:rsidRPr="00581C6B">
        <w:rPr>
          <w:rFonts w:cs="Arial"/>
          <w:szCs w:val="24"/>
        </w:rPr>
        <w:t>.</w:t>
      </w:r>
    </w:p>
    <w:p w14:paraId="6D961648" w14:textId="741161D4" w:rsidR="00D44DF6" w:rsidRPr="00345968" w:rsidRDefault="00D44DF6" w:rsidP="00D55E41">
      <w:pPr>
        <w:tabs>
          <w:tab w:val="left" w:pos="540"/>
          <w:tab w:val="left" w:pos="1080"/>
          <w:tab w:val="left" w:pos="1620"/>
        </w:tabs>
        <w:spacing w:after="240"/>
        <w:rPr>
          <w:rFonts w:cs="Arial"/>
          <w:szCs w:val="24"/>
        </w:rPr>
      </w:pPr>
      <w:r w:rsidRPr="00581C6B">
        <w:rPr>
          <w:rFonts w:cs="Arial"/>
          <w:szCs w:val="24"/>
        </w:rPr>
        <w:tab/>
      </w:r>
      <w:r w:rsidRPr="00581C6B">
        <w:rPr>
          <w:szCs w:val="24"/>
        </w:rPr>
        <w:t>C1.2.</w:t>
      </w:r>
      <w:r w:rsidR="000C29E8" w:rsidRPr="00581C6B">
        <w:rPr>
          <w:szCs w:val="24"/>
        </w:rPr>
        <w:t>3</w:t>
      </w:r>
      <w:r w:rsidRPr="00581C6B">
        <w:rPr>
          <w:rFonts w:cs="Arial"/>
          <w:szCs w:val="24"/>
        </w:rPr>
        <w:t xml:space="preserve">.  </w:t>
      </w:r>
      <w:r w:rsidRPr="00581C6B">
        <w:rPr>
          <w:rStyle w:val="Heading3Char"/>
          <w:bCs/>
          <w:szCs w:val="26"/>
        </w:rPr>
        <w:t>DTR 4500.9-R</w:t>
      </w:r>
      <w:r w:rsidRPr="00581C6B">
        <w:rPr>
          <w:rFonts w:cs="Arial"/>
          <w:szCs w:val="24"/>
        </w:rPr>
        <w:t xml:space="preserve">, </w:t>
      </w:r>
      <w:r w:rsidR="005C62EB" w:rsidRPr="00581C6B">
        <w:rPr>
          <w:rFonts w:cs="Arial"/>
          <w:szCs w:val="24"/>
        </w:rPr>
        <w:t>“</w:t>
      </w:r>
      <w:r w:rsidRPr="00581C6B">
        <w:rPr>
          <w:rFonts w:cs="Arial"/>
          <w:szCs w:val="24"/>
        </w:rPr>
        <w:t>Defense</w:t>
      </w:r>
      <w:r w:rsidRPr="00345968">
        <w:rPr>
          <w:rFonts w:cs="Arial"/>
          <w:szCs w:val="24"/>
        </w:rPr>
        <w:t xml:space="preserve"> Tr</w:t>
      </w:r>
      <w:r w:rsidR="005C62EB">
        <w:rPr>
          <w:rFonts w:cs="Arial"/>
          <w:szCs w:val="24"/>
        </w:rPr>
        <w:t>ansportation Regulation (DTR).”</w:t>
      </w:r>
    </w:p>
    <w:p w14:paraId="6D961649" w14:textId="177FCB4A" w:rsidR="00D44DF6" w:rsidRPr="00345968" w:rsidRDefault="00D44DF6" w:rsidP="00D55E41">
      <w:pPr>
        <w:pStyle w:val="Heading2"/>
        <w:shd w:val="clear" w:color="auto" w:fill="FFFFFF"/>
        <w:spacing w:before="0" w:after="240"/>
        <w:rPr>
          <w:rFonts w:cs="Arial"/>
          <w:szCs w:val="24"/>
        </w:rPr>
      </w:pPr>
      <w:r w:rsidRPr="00A3547E">
        <w:rPr>
          <w:u w:val="none"/>
        </w:rPr>
        <w:t xml:space="preserve">C1.3.  </w:t>
      </w:r>
      <w:r w:rsidRPr="00A3547E">
        <w:t>APPLICABILITY</w:t>
      </w:r>
      <w:r w:rsidRPr="00A3547E">
        <w:rPr>
          <w:u w:val="none"/>
        </w:rPr>
        <w:t xml:space="preserve">.  </w:t>
      </w:r>
      <w:r w:rsidR="00031775">
        <w:rPr>
          <w:u w:val="none"/>
        </w:rPr>
        <w:t xml:space="preserve">This volume </w:t>
      </w:r>
      <w:r w:rsidR="00031775" w:rsidRPr="00031775">
        <w:rPr>
          <w:u w:val="none"/>
        </w:rPr>
        <w:t>appl</w:t>
      </w:r>
      <w:r w:rsidR="00031775">
        <w:rPr>
          <w:u w:val="none"/>
        </w:rPr>
        <w:t xml:space="preserve">ies </w:t>
      </w:r>
      <w:r w:rsidR="00031775" w:rsidRPr="00031775">
        <w:rPr>
          <w:u w:val="none"/>
        </w:rPr>
        <w:t>to the Office of the Secretary of Defense, the Military Departments, the Joint Staff, the Combatant Commands, and Defense Agencies.  The manual applies, by agreement, to external organizations conducting logistics business operations with DoD including (a) non-Government organizations, both commercial and nonprofit; (b) Federal agencies of the U.S. Government other than DoD; (c) foreign national governments; and (d) international government organizations.</w:t>
      </w:r>
      <w:r w:rsidR="00031775">
        <w:rPr>
          <w:u w:val="none"/>
        </w:rPr>
        <w:t xml:space="preserve">  The p</w:t>
      </w:r>
      <w:r w:rsidRPr="00A3547E">
        <w:rPr>
          <w:u w:val="none"/>
        </w:rPr>
        <w:t xml:space="preserve">rocedures in this volume apply in those instances when DoD logistics and transportation systems need to exchange standardized business information about </w:t>
      </w:r>
      <w:r w:rsidR="004C0A18" w:rsidRPr="00A3547E">
        <w:rPr>
          <w:u w:val="none"/>
        </w:rPr>
        <w:t>materiel</w:t>
      </w:r>
      <w:r w:rsidRPr="00A3547E">
        <w:rPr>
          <w:u w:val="none"/>
        </w:rPr>
        <w:t xml:space="preserve"> and shipments.  This includes, for example, warehouse operations, vendor shipments, and reference tables where electronic transactions are exchanged “across </w:t>
      </w:r>
      <w:r w:rsidRPr="00A3547E">
        <w:rPr>
          <w:u w:val="none"/>
        </w:rPr>
        <w:lastRenderedPageBreak/>
        <w:t>the seams” of the logistics and transportation domains.  The use of standardized DLMS transactions in this interchange process, where supply and transportation business processes intersect, helps improve asset visibility and communications related to cargo movement operations.</w:t>
      </w:r>
    </w:p>
    <w:p w14:paraId="6D96164A" w14:textId="77777777" w:rsidR="00D44DF6" w:rsidRPr="00345968" w:rsidRDefault="00D44DF6" w:rsidP="00D55E41">
      <w:pPr>
        <w:pStyle w:val="Heading2"/>
        <w:spacing w:before="0" w:after="240"/>
        <w:rPr>
          <w:rFonts w:cs="Arial"/>
          <w:szCs w:val="24"/>
        </w:rPr>
      </w:pPr>
      <w:r w:rsidRPr="00725D69">
        <w:rPr>
          <w:u w:val="none"/>
        </w:rPr>
        <w:t>C1.4.</w:t>
      </w:r>
      <w:r w:rsidRPr="00D37BFF">
        <w:rPr>
          <w:u w:val="none"/>
        </w:rPr>
        <w:t xml:space="preserve">  </w:t>
      </w:r>
      <w:r w:rsidRPr="00725D69">
        <w:t>COMMITTEES</w:t>
      </w:r>
      <w:r w:rsidRPr="00725D69">
        <w:rPr>
          <w:u w:val="none"/>
        </w:rPr>
        <w:t>.  A coordination process will be conducted for the implementation and use of electronic transactions exchanged between the supply and transportation domains.  The committees listed below, in addition to any others as required, will participate in the coordination and subsequent standardization process.  Each of the committees below has a designated member serving as a representative on the other committee.</w:t>
      </w:r>
    </w:p>
    <w:p w14:paraId="6D96164B" w14:textId="360B2B12" w:rsidR="00D44DF6" w:rsidRPr="00345968" w:rsidRDefault="00D44DF6" w:rsidP="00D55E41">
      <w:pPr>
        <w:tabs>
          <w:tab w:val="left" w:pos="540"/>
          <w:tab w:val="left" w:pos="1080"/>
          <w:tab w:val="left" w:pos="1620"/>
        </w:tabs>
        <w:autoSpaceDE w:val="0"/>
        <w:autoSpaceDN w:val="0"/>
        <w:adjustRightInd w:val="0"/>
        <w:spacing w:after="240"/>
        <w:rPr>
          <w:rFonts w:cs="Arial"/>
          <w:szCs w:val="24"/>
        </w:rPr>
      </w:pPr>
      <w:r w:rsidRPr="00345968">
        <w:rPr>
          <w:rFonts w:cs="Arial"/>
          <w:szCs w:val="24"/>
        </w:rPr>
        <w:tab/>
      </w:r>
      <w:r w:rsidRPr="00FA1351">
        <w:rPr>
          <w:rStyle w:val="Heading3Char"/>
          <w:rFonts w:cs="Arial"/>
          <w:bCs/>
          <w:szCs w:val="26"/>
        </w:rPr>
        <w:t xml:space="preserve">C1.4.1.  </w:t>
      </w:r>
      <w:r w:rsidRPr="00D55E41">
        <w:rPr>
          <w:rStyle w:val="Heading3Char"/>
          <w:bCs/>
          <w:szCs w:val="26"/>
          <w:u w:val="single"/>
        </w:rPr>
        <w:t>The Defense Transportation Electronic Business (DTEB)</w:t>
      </w:r>
      <w:r w:rsidR="00BF490E" w:rsidRPr="00D55E41">
        <w:rPr>
          <w:rStyle w:val="Heading3Char"/>
          <w:bCs/>
          <w:szCs w:val="26"/>
          <w:u w:val="single"/>
        </w:rPr>
        <w:t xml:space="preserve"> Committee</w:t>
      </w:r>
      <w:r w:rsidRPr="00345968">
        <w:rPr>
          <w:rFonts w:cs="Arial"/>
          <w:szCs w:val="24"/>
        </w:rPr>
        <w:t xml:space="preserve">.  The DTEB </w:t>
      </w:r>
      <w:r w:rsidR="00BF490E">
        <w:rPr>
          <w:rFonts w:cs="Arial"/>
          <w:szCs w:val="24"/>
        </w:rPr>
        <w:t>Committee</w:t>
      </w:r>
      <w:r w:rsidR="00B76A99">
        <w:rPr>
          <w:rFonts w:cs="Arial"/>
          <w:szCs w:val="24"/>
        </w:rPr>
        <w:t xml:space="preserve">, usually referred to as “the DTEB”, </w:t>
      </w:r>
      <w:r w:rsidRPr="00345968">
        <w:rPr>
          <w:rFonts w:cs="Arial"/>
          <w:szCs w:val="24"/>
        </w:rPr>
        <w:t>identifies and resolves issues and recommends management actions that support the accelerated implementation of electronic business information</w:t>
      </w:r>
      <w:r w:rsidR="009543C9">
        <w:rPr>
          <w:rFonts w:cs="Arial"/>
          <w:szCs w:val="24"/>
        </w:rPr>
        <w:t xml:space="preserve"> exchange</w:t>
      </w:r>
      <w:r w:rsidRPr="00345968">
        <w:rPr>
          <w:rFonts w:cs="Arial"/>
          <w:szCs w:val="24"/>
        </w:rPr>
        <w:t xml:space="preserve">. </w:t>
      </w:r>
      <w:r w:rsidR="00C26B90">
        <w:rPr>
          <w:rFonts w:cs="Arial"/>
          <w:szCs w:val="24"/>
        </w:rPr>
        <w:t xml:space="preserve"> </w:t>
      </w:r>
      <w:r w:rsidRPr="00345968">
        <w:rPr>
          <w:rFonts w:cs="Arial"/>
          <w:szCs w:val="24"/>
        </w:rPr>
        <w:t>As the focal point for all defense transportation e-business development efforts, it coordinates e-business standards and requirements with defense and federal organization</w:t>
      </w:r>
      <w:r w:rsidR="009543C9">
        <w:rPr>
          <w:rFonts w:cs="Arial"/>
          <w:szCs w:val="24"/>
        </w:rPr>
        <w:t>s</w:t>
      </w:r>
      <w:r w:rsidRPr="00345968">
        <w:rPr>
          <w:rFonts w:cs="Arial"/>
          <w:szCs w:val="24"/>
        </w:rPr>
        <w:t xml:space="preserve"> and commercial industry. </w:t>
      </w:r>
      <w:r w:rsidR="00C26B90">
        <w:rPr>
          <w:rFonts w:cs="Arial"/>
          <w:szCs w:val="24"/>
        </w:rPr>
        <w:t xml:space="preserve"> </w:t>
      </w:r>
      <w:r w:rsidRPr="00345968">
        <w:rPr>
          <w:rFonts w:cs="Arial"/>
          <w:szCs w:val="24"/>
        </w:rPr>
        <w:t xml:space="preserve">The committee represents transportation interests at all levels of the </w:t>
      </w:r>
      <w:r w:rsidR="009543C9">
        <w:rPr>
          <w:rFonts w:cs="Arial"/>
          <w:szCs w:val="24"/>
        </w:rPr>
        <w:t>F</w:t>
      </w:r>
      <w:r w:rsidRPr="00345968">
        <w:rPr>
          <w:rFonts w:cs="Arial"/>
          <w:szCs w:val="24"/>
        </w:rPr>
        <w:t xml:space="preserve">ederal </w:t>
      </w:r>
      <w:r w:rsidR="009543C9">
        <w:rPr>
          <w:rFonts w:cs="Arial"/>
          <w:szCs w:val="24"/>
        </w:rPr>
        <w:t>G</w:t>
      </w:r>
      <w:r w:rsidRPr="00345968">
        <w:rPr>
          <w:rFonts w:cs="Arial"/>
          <w:szCs w:val="24"/>
        </w:rPr>
        <w:t xml:space="preserve">overnment.  The United States Transportation Command (USTRANSCOM) serves as chair of the DTEB; Defense </w:t>
      </w:r>
      <w:r w:rsidR="00DC49FD">
        <w:rPr>
          <w:rFonts w:cs="Arial"/>
          <w:szCs w:val="24"/>
        </w:rPr>
        <w:t xml:space="preserve">Logistics Management Standards </w:t>
      </w:r>
      <w:r w:rsidRPr="00345968">
        <w:rPr>
          <w:rFonts w:cs="Arial"/>
          <w:szCs w:val="24"/>
        </w:rPr>
        <w:t>is a member of the DTEB.</w:t>
      </w:r>
    </w:p>
    <w:p w14:paraId="6D96164C" w14:textId="334E9DFA" w:rsidR="00D44DF6" w:rsidRPr="00345968" w:rsidRDefault="00D44DF6" w:rsidP="00D55E41">
      <w:pPr>
        <w:tabs>
          <w:tab w:val="left" w:pos="540"/>
          <w:tab w:val="left" w:pos="1080"/>
          <w:tab w:val="left" w:pos="1620"/>
        </w:tabs>
        <w:spacing w:after="240"/>
        <w:rPr>
          <w:rFonts w:cs="Arial"/>
          <w:szCs w:val="24"/>
        </w:rPr>
      </w:pPr>
      <w:r w:rsidRPr="00345968">
        <w:rPr>
          <w:rFonts w:cs="Arial"/>
          <w:szCs w:val="24"/>
        </w:rPr>
        <w:tab/>
      </w:r>
      <w:r w:rsidRPr="00FA1351">
        <w:rPr>
          <w:rStyle w:val="Heading3Char"/>
          <w:rFonts w:cs="Arial"/>
          <w:bCs/>
          <w:szCs w:val="26"/>
        </w:rPr>
        <w:t>C1.4.2.</w:t>
      </w:r>
      <w:r w:rsidR="009543C9" w:rsidRPr="00FA1351">
        <w:rPr>
          <w:rStyle w:val="Heading3Char"/>
          <w:rFonts w:cs="Arial"/>
          <w:bCs/>
          <w:szCs w:val="26"/>
        </w:rPr>
        <w:t xml:space="preserve"> </w:t>
      </w:r>
      <w:r w:rsidRPr="00FA1351">
        <w:rPr>
          <w:rStyle w:val="Heading3Char"/>
          <w:rFonts w:cs="Arial"/>
          <w:bCs/>
          <w:szCs w:val="26"/>
        </w:rPr>
        <w:t xml:space="preserve"> </w:t>
      </w:r>
      <w:r w:rsidRPr="00D55E41">
        <w:rPr>
          <w:rStyle w:val="Heading3Char"/>
          <w:bCs/>
          <w:szCs w:val="26"/>
          <w:u w:val="single"/>
        </w:rPr>
        <w:t>The Supply Process Review Committee (PRC)</w:t>
      </w:r>
      <w:r w:rsidRPr="00345968">
        <w:rPr>
          <w:rFonts w:cs="Arial"/>
          <w:szCs w:val="24"/>
        </w:rPr>
        <w:t xml:space="preserve">.  The Supply PRC is the forum through which the DoD Components and other participating organizations participate in the development, expansion, improvement, maintenance, and administration of supply requirements for the DLMS.  </w:t>
      </w:r>
      <w:r w:rsidRPr="00DC49FD">
        <w:rPr>
          <w:rFonts w:cs="Arial"/>
          <w:szCs w:val="24"/>
        </w:rPr>
        <w:t>DL</w:t>
      </w:r>
      <w:r w:rsidR="00DC49FD" w:rsidRPr="00DC49FD">
        <w:rPr>
          <w:rFonts w:cs="Arial"/>
          <w:szCs w:val="24"/>
        </w:rPr>
        <w:t xml:space="preserve">A Logistics Management Standards </w:t>
      </w:r>
      <w:r w:rsidRPr="00345968">
        <w:rPr>
          <w:rFonts w:cs="Arial"/>
          <w:szCs w:val="24"/>
        </w:rPr>
        <w:t xml:space="preserve">serves as chair of the Supply PRC; USTRANSCOM/DTEB </w:t>
      </w:r>
      <w:r w:rsidR="00341AFE">
        <w:rPr>
          <w:rFonts w:cs="Arial"/>
          <w:szCs w:val="24"/>
        </w:rPr>
        <w:t>is a member of the Supply PRC.</w:t>
      </w:r>
    </w:p>
    <w:p w14:paraId="6D96164D" w14:textId="1AD0F5D3" w:rsidR="00071FF3" w:rsidRPr="00D83412" w:rsidRDefault="00D44DF6" w:rsidP="00D55E41">
      <w:pPr>
        <w:pStyle w:val="Heading2"/>
        <w:spacing w:before="0" w:after="240"/>
      </w:pPr>
      <w:r w:rsidRPr="00D37BFF">
        <w:rPr>
          <w:u w:val="none"/>
        </w:rPr>
        <w:t xml:space="preserve">C1.5.  </w:t>
      </w:r>
      <w:r w:rsidRPr="007138F8">
        <w:t>NONCOMPLIANCE</w:t>
      </w:r>
      <w:r w:rsidRPr="00725D69">
        <w:rPr>
          <w:u w:val="none"/>
        </w:rPr>
        <w:t xml:space="preserve">.  If reasonable attempts to obtain </w:t>
      </w:r>
      <w:r w:rsidR="003A6D3B" w:rsidRPr="00725D69">
        <w:rPr>
          <w:u w:val="none"/>
        </w:rPr>
        <w:t xml:space="preserve">1) </w:t>
      </w:r>
      <w:r w:rsidRPr="00725D69">
        <w:rPr>
          <w:u w:val="none"/>
        </w:rPr>
        <w:t xml:space="preserve">compliance with prescribed procedures or </w:t>
      </w:r>
      <w:r w:rsidR="003A6D3B" w:rsidRPr="00725D69">
        <w:rPr>
          <w:u w:val="none"/>
        </w:rPr>
        <w:t xml:space="preserve">2) </w:t>
      </w:r>
      <w:r w:rsidRPr="00725D69">
        <w:rPr>
          <w:u w:val="none"/>
        </w:rPr>
        <w:t xml:space="preserve">resolution of DLMS supply-related problems are unsatisfactory, the </w:t>
      </w:r>
      <w:r w:rsidR="00C26B90" w:rsidRPr="00725D69">
        <w:rPr>
          <w:u w:val="none"/>
        </w:rPr>
        <w:t xml:space="preserve">activity having the problem </w:t>
      </w:r>
      <w:r w:rsidR="00341AFE" w:rsidRPr="00341AFE">
        <w:rPr>
          <w:b/>
          <w:i/>
          <w:u w:val="none"/>
        </w:rPr>
        <w:t>wi</w:t>
      </w:r>
      <w:r w:rsidR="00C26B90" w:rsidRPr="00341AFE">
        <w:rPr>
          <w:b/>
          <w:i/>
          <w:u w:val="none"/>
        </w:rPr>
        <w:t>ll</w:t>
      </w:r>
      <w:r w:rsidRPr="00725D69">
        <w:rPr>
          <w:u w:val="none"/>
        </w:rPr>
        <w:t xml:space="preserve"> request assistance from either</w:t>
      </w:r>
      <w:r w:rsidR="00B76A99" w:rsidRPr="00725D69">
        <w:rPr>
          <w:u w:val="none"/>
        </w:rPr>
        <w:t xml:space="preserve"> its</w:t>
      </w:r>
      <w:r w:rsidRPr="00725D69">
        <w:rPr>
          <w:u w:val="none"/>
        </w:rPr>
        <w:t xml:space="preserve"> DLMS Supply PRC representative or DTEB representative, depending on the nature of the problem.  For transportation issues, contact the DTEB representative; for supply issues, contact the Supply PRC r</w:t>
      </w:r>
      <w:r w:rsidR="00C26B90" w:rsidRPr="00725D69">
        <w:rPr>
          <w:u w:val="none"/>
        </w:rPr>
        <w:t>epresentative.  The req</w:t>
      </w:r>
      <w:r w:rsidR="00341AFE">
        <w:rPr>
          <w:u w:val="none"/>
        </w:rPr>
        <w:t xml:space="preserve">uest </w:t>
      </w:r>
      <w:r w:rsidR="00341AFE" w:rsidRPr="00341AFE">
        <w:rPr>
          <w:b/>
          <w:i/>
          <w:u w:val="none"/>
        </w:rPr>
        <w:t>wi</w:t>
      </w:r>
      <w:r w:rsidR="00C26B90" w:rsidRPr="00341AFE">
        <w:rPr>
          <w:b/>
          <w:i/>
          <w:u w:val="none"/>
        </w:rPr>
        <w:t>ll</w:t>
      </w:r>
      <w:r w:rsidRPr="00725D69">
        <w:rPr>
          <w:u w:val="none"/>
        </w:rPr>
        <w:t xml:space="preserve"> include information and copies of all correspondence pertinent to the problem; including the transaction set number, the transaction number, the date of the transaction involved, and any applicable DLMS Manual and DTR references.  The representative will take the necessary actions to resolve the issue or problem.  The actions may include requesting assistance from the DTEB chairperson </w:t>
      </w:r>
      <w:r w:rsidR="003A6D3B" w:rsidRPr="00725D69">
        <w:rPr>
          <w:u w:val="none"/>
        </w:rPr>
        <w:t>(</w:t>
      </w:r>
      <w:r w:rsidRPr="00725D69">
        <w:rPr>
          <w:u w:val="none"/>
        </w:rPr>
        <w:t>for transportation issues</w:t>
      </w:r>
      <w:r w:rsidR="003A6D3B" w:rsidRPr="00725D69">
        <w:rPr>
          <w:u w:val="none"/>
        </w:rPr>
        <w:t>)</w:t>
      </w:r>
      <w:r w:rsidRPr="00725D69">
        <w:rPr>
          <w:u w:val="none"/>
        </w:rPr>
        <w:t xml:space="preserve"> or the Supply PRC chairperson </w:t>
      </w:r>
      <w:r w:rsidR="003A6D3B" w:rsidRPr="00725D69">
        <w:rPr>
          <w:u w:val="none"/>
        </w:rPr>
        <w:t>(</w:t>
      </w:r>
      <w:r w:rsidRPr="00725D69">
        <w:rPr>
          <w:u w:val="none"/>
        </w:rPr>
        <w:t>for supply issues</w:t>
      </w:r>
      <w:r w:rsidR="003A6D3B" w:rsidRPr="00725D69">
        <w:rPr>
          <w:u w:val="none"/>
        </w:rPr>
        <w:t>)</w:t>
      </w:r>
      <w:r w:rsidR="00B76A99" w:rsidRPr="00725D69">
        <w:rPr>
          <w:u w:val="none"/>
        </w:rPr>
        <w:t>.</w:t>
      </w:r>
    </w:p>
    <w:sectPr w:rsidR="00071FF3" w:rsidRPr="00D83412" w:rsidSect="00886E9F">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1655" w14:textId="77777777" w:rsidR="00886E9F" w:rsidRDefault="00886E9F">
      <w:r>
        <w:separator/>
      </w:r>
    </w:p>
  </w:endnote>
  <w:endnote w:type="continuationSeparator" w:id="0">
    <w:p w14:paraId="6D961656" w14:textId="77777777" w:rsidR="00886E9F" w:rsidRDefault="008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65A" w14:textId="77777777" w:rsidR="00886E9F" w:rsidRDefault="00886E9F" w:rsidP="007F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96165B" w14:textId="77777777" w:rsidR="00886E9F" w:rsidRDefault="00886E9F">
    <w:pPr>
      <w:pStyle w:val="Footer"/>
      <w:jc w:val="center"/>
      <w:rPr>
        <w:b/>
      </w:rPr>
    </w:pPr>
    <w:r>
      <w:rPr>
        <w:b/>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133" w14:textId="614C43FA" w:rsidR="00581C6B" w:rsidRDefault="00581C6B">
    <w:pPr>
      <w:pStyle w:val="Footer"/>
      <w:jc w:val="right"/>
    </w:pPr>
    <w:r>
      <w:t>C1-</w:t>
    </w:r>
    <w:sdt>
      <w:sdtPr>
        <w:id w:val="-585379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70D4">
          <w:rPr>
            <w:noProof/>
          </w:rPr>
          <w:t>1</w:t>
        </w:r>
        <w:r>
          <w:rPr>
            <w:noProof/>
          </w:rPr>
          <w:fldChar w:fldCharType="end"/>
        </w:r>
        <w:r>
          <w:rPr>
            <w:noProof/>
          </w:rPr>
          <w:tab/>
          <w:t>CHAPTER 1</w:t>
        </w:r>
      </w:sdtContent>
    </w:sdt>
  </w:p>
  <w:p w14:paraId="6D96165D" w14:textId="76DB6E8F" w:rsidR="00886E9F" w:rsidRPr="007F1F09" w:rsidRDefault="00886E9F" w:rsidP="007F1F09">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1653" w14:textId="77777777" w:rsidR="00886E9F" w:rsidRDefault="00886E9F">
      <w:r>
        <w:separator/>
      </w:r>
    </w:p>
  </w:footnote>
  <w:footnote w:type="continuationSeparator" w:id="0">
    <w:p w14:paraId="6D961654" w14:textId="77777777" w:rsidR="00886E9F" w:rsidRDefault="0088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657" w14:textId="77777777" w:rsidR="00886E9F" w:rsidRDefault="00886E9F">
    <w:pPr>
      <w:pStyle w:val="Header"/>
      <w:jc w:val="left"/>
      <w:rPr>
        <w:b/>
        <w:u w:val="none"/>
      </w:rPr>
    </w:pPr>
    <w:r>
      <w:rPr>
        <w:b/>
        <w:u w:val="none"/>
      </w:rPr>
      <w:t>DoD 4000.25-M, Vol 3</w:t>
    </w:r>
  </w:p>
  <w:p w14:paraId="6D961658" w14:textId="77777777" w:rsidR="00886E9F" w:rsidRDefault="00886E9F">
    <w:pPr>
      <w:rPr>
        <w:b/>
      </w:rPr>
    </w:pPr>
    <w:r>
      <w:rPr>
        <w:b/>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659" w14:textId="3E841F6E" w:rsidR="00886E9F" w:rsidRPr="00884E9C" w:rsidRDefault="00886E9F" w:rsidP="00F945DC">
    <w:pPr>
      <w:pStyle w:val="Header"/>
      <w:tabs>
        <w:tab w:val="clear" w:pos="4320"/>
        <w:tab w:val="clear" w:pos="8640"/>
      </w:tabs>
      <w:jc w:val="right"/>
      <w:rPr>
        <w:i/>
        <w:u w:val="none"/>
      </w:rPr>
    </w:pPr>
    <w:r w:rsidRPr="00884E9C">
      <w:rPr>
        <w:i/>
        <w:u w:val="none"/>
      </w:rPr>
      <w:t>DLM 4000.25</w:t>
    </w:r>
    <w:r w:rsidR="00F91316" w:rsidRPr="00884E9C">
      <w:rPr>
        <w:i/>
        <w:u w:val="none"/>
      </w:rPr>
      <w:t>,</w:t>
    </w:r>
    <w:r w:rsidRPr="00884E9C">
      <w:rPr>
        <w:i/>
        <w:u w:val="none"/>
      </w:rPr>
      <w:t xml:space="preserve"> Volume 3, </w:t>
    </w:r>
    <w:r w:rsidR="00D970D4">
      <w:rPr>
        <w:i/>
        <w:u w:val="none"/>
      </w:rPr>
      <w:t>April 2</w:t>
    </w:r>
    <w:r w:rsidRPr="00884E9C">
      <w:rPr>
        <w:i/>
        <w:u w:val="none"/>
      </w:rPr>
      <w:t>, 201</w:t>
    </w:r>
    <w:r w:rsidR="0055772D" w:rsidRPr="00884E9C">
      <w:rPr>
        <w:i/>
        <w:u w:val="none"/>
      </w:rPr>
      <w:t>9</w:t>
    </w:r>
  </w:p>
  <w:p w14:paraId="343AE265" w14:textId="5F7AD7B7" w:rsidR="0055772D" w:rsidRPr="00884E9C" w:rsidRDefault="00341AFE" w:rsidP="00F945DC">
    <w:pPr>
      <w:pStyle w:val="Header"/>
      <w:tabs>
        <w:tab w:val="clear" w:pos="4320"/>
        <w:tab w:val="clear" w:pos="8640"/>
      </w:tabs>
      <w:jc w:val="right"/>
      <w:rPr>
        <w:i/>
        <w:u w:val="none"/>
      </w:rPr>
    </w:pPr>
    <w:r>
      <w:rPr>
        <w:i/>
        <w:u w:val="none"/>
      </w:rPr>
      <w:t>Change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5A8154"/>
    <w:lvl w:ilvl="0">
      <w:start w:val="1"/>
      <w:numFmt w:val="decimal"/>
      <w:suff w:val="nothing"/>
      <w:lvlText w:val="C%1. CHAPTER 1"/>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auto"/>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BE251A"/>
    <w:multiLevelType w:val="multilevel"/>
    <w:tmpl w:val="412810C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num w:numId="1" w16cid:durableId="1914661152">
    <w:abstractNumId w:val="0"/>
  </w:num>
  <w:num w:numId="2" w16cid:durableId="151458351">
    <w:abstractNumId w:val="1"/>
  </w:num>
  <w:num w:numId="3" w16cid:durableId="1511331463">
    <w:abstractNumId w:val="0"/>
  </w:num>
  <w:num w:numId="4" w16cid:durableId="366568931">
    <w:abstractNumId w:val="0"/>
  </w:num>
  <w:num w:numId="5" w16cid:durableId="20321393">
    <w:abstractNumId w:val="0"/>
  </w:num>
  <w:num w:numId="6" w16cid:durableId="389620905">
    <w:abstractNumId w:val="0"/>
  </w:num>
  <w:num w:numId="7" w16cid:durableId="439642048">
    <w:abstractNumId w:val="0"/>
  </w:num>
  <w:num w:numId="8" w16cid:durableId="468519406">
    <w:abstractNumId w:val="0"/>
  </w:num>
  <w:num w:numId="9" w16cid:durableId="777986753">
    <w:abstractNumId w:val="0"/>
  </w:num>
  <w:num w:numId="10" w16cid:durableId="900021602">
    <w:abstractNumId w:val="0"/>
  </w:num>
  <w:num w:numId="11" w16cid:durableId="871578264">
    <w:abstractNumId w:val="0"/>
  </w:num>
  <w:num w:numId="12" w16cid:durableId="2065987019">
    <w:abstractNumId w:val="0"/>
  </w:num>
  <w:num w:numId="13" w16cid:durableId="295337897">
    <w:abstractNumId w:val="0"/>
  </w:num>
  <w:num w:numId="14" w16cid:durableId="762799802">
    <w:abstractNumId w:val="0"/>
  </w:num>
  <w:num w:numId="15" w16cid:durableId="640773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4F"/>
    <w:rsid w:val="00024B28"/>
    <w:rsid w:val="00031775"/>
    <w:rsid w:val="00071FF3"/>
    <w:rsid w:val="000907C8"/>
    <w:rsid w:val="000A442F"/>
    <w:rsid w:val="000A7C22"/>
    <w:rsid w:val="000C29E8"/>
    <w:rsid w:val="000D53B9"/>
    <w:rsid w:val="000E62BE"/>
    <w:rsid w:val="00103F9E"/>
    <w:rsid w:val="001110DA"/>
    <w:rsid w:val="00150AF5"/>
    <w:rsid w:val="001631A7"/>
    <w:rsid w:val="00174D0F"/>
    <w:rsid w:val="00196FE3"/>
    <w:rsid w:val="001F3ACA"/>
    <w:rsid w:val="00277ACD"/>
    <w:rsid w:val="00290CDF"/>
    <w:rsid w:val="002B1C72"/>
    <w:rsid w:val="002B5EC7"/>
    <w:rsid w:val="002C108B"/>
    <w:rsid w:val="002E6025"/>
    <w:rsid w:val="002F0328"/>
    <w:rsid w:val="002F05CE"/>
    <w:rsid w:val="00317A27"/>
    <w:rsid w:val="00321461"/>
    <w:rsid w:val="00341AFE"/>
    <w:rsid w:val="00341E3A"/>
    <w:rsid w:val="003713D1"/>
    <w:rsid w:val="003A1D6F"/>
    <w:rsid w:val="003A6D3B"/>
    <w:rsid w:val="003C7A88"/>
    <w:rsid w:val="003E1C6E"/>
    <w:rsid w:val="0040710B"/>
    <w:rsid w:val="00426EDD"/>
    <w:rsid w:val="00432DB3"/>
    <w:rsid w:val="004A6E28"/>
    <w:rsid w:val="004B14BA"/>
    <w:rsid w:val="004B483F"/>
    <w:rsid w:val="004C0A18"/>
    <w:rsid w:val="004D556B"/>
    <w:rsid w:val="00532D77"/>
    <w:rsid w:val="005453FC"/>
    <w:rsid w:val="0055772D"/>
    <w:rsid w:val="005604B9"/>
    <w:rsid w:val="00581C6B"/>
    <w:rsid w:val="0058240F"/>
    <w:rsid w:val="00585D82"/>
    <w:rsid w:val="005957B4"/>
    <w:rsid w:val="005C62EB"/>
    <w:rsid w:val="005F511B"/>
    <w:rsid w:val="006275C3"/>
    <w:rsid w:val="00670403"/>
    <w:rsid w:val="00674C3B"/>
    <w:rsid w:val="006F026A"/>
    <w:rsid w:val="007138F8"/>
    <w:rsid w:val="00725D69"/>
    <w:rsid w:val="00732C30"/>
    <w:rsid w:val="007B0583"/>
    <w:rsid w:val="007F1F09"/>
    <w:rsid w:val="0083408A"/>
    <w:rsid w:val="00857290"/>
    <w:rsid w:val="0087205B"/>
    <w:rsid w:val="00884E9C"/>
    <w:rsid w:val="00886E9F"/>
    <w:rsid w:val="008927C2"/>
    <w:rsid w:val="00896053"/>
    <w:rsid w:val="008C02CB"/>
    <w:rsid w:val="008F601B"/>
    <w:rsid w:val="009543C9"/>
    <w:rsid w:val="0095774A"/>
    <w:rsid w:val="00971C5A"/>
    <w:rsid w:val="009776AF"/>
    <w:rsid w:val="009B6CB1"/>
    <w:rsid w:val="00A1009E"/>
    <w:rsid w:val="00A34B6F"/>
    <w:rsid w:val="00A3547E"/>
    <w:rsid w:val="00AA05F5"/>
    <w:rsid w:val="00AC327D"/>
    <w:rsid w:val="00AC79E6"/>
    <w:rsid w:val="00AF0A01"/>
    <w:rsid w:val="00B70CB7"/>
    <w:rsid w:val="00B76A99"/>
    <w:rsid w:val="00B9424F"/>
    <w:rsid w:val="00BF490E"/>
    <w:rsid w:val="00C240CE"/>
    <w:rsid w:val="00C26B90"/>
    <w:rsid w:val="00CB65CE"/>
    <w:rsid w:val="00D37BFF"/>
    <w:rsid w:val="00D44DF6"/>
    <w:rsid w:val="00D55E41"/>
    <w:rsid w:val="00D6448F"/>
    <w:rsid w:val="00D83412"/>
    <w:rsid w:val="00D96EC5"/>
    <w:rsid w:val="00D970D4"/>
    <w:rsid w:val="00DA486F"/>
    <w:rsid w:val="00DC49FD"/>
    <w:rsid w:val="00E33A95"/>
    <w:rsid w:val="00E81863"/>
    <w:rsid w:val="00EB4E9F"/>
    <w:rsid w:val="00EF3DEE"/>
    <w:rsid w:val="00F13588"/>
    <w:rsid w:val="00F44642"/>
    <w:rsid w:val="00F56037"/>
    <w:rsid w:val="00F742C1"/>
    <w:rsid w:val="00F91316"/>
    <w:rsid w:val="00F945DC"/>
    <w:rsid w:val="00F97ED9"/>
    <w:rsid w:val="00FA1351"/>
    <w:rsid w:val="00FC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D961640"/>
  <w15:docId w15:val="{2A03740F-1E4C-4E70-9C12-54533932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ACA"/>
    <w:rPr>
      <w:rFonts w:ascii="Arial" w:hAnsi="Arial"/>
      <w:sz w:val="24"/>
    </w:rPr>
  </w:style>
  <w:style w:type="paragraph" w:styleId="Heading1">
    <w:name w:val="heading 1"/>
    <w:basedOn w:val="Normal"/>
    <w:autoRedefine/>
    <w:qFormat/>
    <w:rsid w:val="00341E3A"/>
    <w:pPr>
      <w:tabs>
        <w:tab w:val="left" w:pos="540"/>
        <w:tab w:val="left" w:pos="1080"/>
        <w:tab w:val="left" w:pos="1620"/>
      </w:tabs>
      <w:spacing w:after="240"/>
      <w:jc w:val="center"/>
      <w:outlineLvl w:val="0"/>
    </w:pPr>
    <w:rPr>
      <w:b/>
      <w:caps/>
      <w:sz w:val="44"/>
      <w:u w:val="single"/>
    </w:rPr>
  </w:style>
  <w:style w:type="paragraph" w:styleId="Heading2">
    <w:name w:val="heading 2"/>
    <w:basedOn w:val="Normal"/>
    <w:autoRedefine/>
    <w:qFormat/>
    <w:rsid w:val="001F3ACA"/>
    <w:pPr>
      <w:spacing w:before="240" w:after="60"/>
      <w:outlineLvl w:val="1"/>
    </w:pPr>
    <w:rPr>
      <w:u w:val="single"/>
    </w:rPr>
  </w:style>
  <w:style w:type="paragraph" w:styleId="Heading3">
    <w:name w:val="heading 3"/>
    <w:basedOn w:val="Normal"/>
    <w:link w:val="Heading3Char"/>
    <w:autoRedefine/>
    <w:qFormat/>
    <w:rsid w:val="00071FF3"/>
    <w:pPr>
      <w:numPr>
        <w:ilvl w:val="2"/>
        <w:numId w:val="14"/>
      </w:numPr>
      <w:tabs>
        <w:tab w:val="left" w:pos="1530"/>
      </w:tabs>
      <w:spacing w:before="240" w:after="60"/>
      <w:outlineLvl w:val="2"/>
    </w:pPr>
  </w:style>
  <w:style w:type="paragraph" w:styleId="Heading4">
    <w:name w:val="heading 4"/>
    <w:basedOn w:val="Normal"/>
    <w:autoRedefine/>
    <w:qFormat/>
    <w:rsid w:val="001F3ACA"/>
    <w:pPr>
      <w:numPr>
        <w:ilvl w:val="3"/>
        <w:numId w:val="14"/>
      </w:numPr>
      <w:spacing w:before="60" w:after="120"/>
      <w:outlineLvl w:val="3"/>
    </w:pPr>
  </w:style>
  <w:style w:type="paragraph" w:styleId="Heading5">
    <w:name w:val="heading 5"/>
    <w:basedOn w:val="Normal"/>
    <w:autoRedefine/>
    <w:qFormat/>
    <w:rsid w:val="001F3ACA"/>
    <w:pPr>
      <w:numPr>
        <w:ilvl w:val="4"/>
        <w:numId w:val="14"/>
      </w:numPr>
      <w:spacing w:before="60" w:after="120"/>
      <w:outlineLvl w:val="4"/>
    </w:pPr>
  </w:style>
  <w:style w:type="paragraph" w:styleId="Heading6">
    <w:name w:val="heading 6"/>
    <w:basedOn w:val="Normal"/>
    <w:autoRedefine/>
    <w:qFormat/>
    <w:rsid w:val="001F3ACA"/>
    <w:pPr>
      <w:numPr>
        <w:ilvl w:val="5"/>
        <w:numId w:val="14"/>
      </w:numPr>
      <w:tabs>
        <w:tab w:val="left" w:pos="3150"/>
      </w:tabs>
      <w:spacing w:before="60" w:after="120"/>
      <w:outlineLvl w:val="5"/>
    </w:pPr>
  </w:style>
  <w:style w:type="paragraph" w:styleId="Heading7">
    <w:name w:val="heading 7"/>
    <w:basedOn w:val="Normal"/>
    <w:autoRedefine/>
    <w:qFormat/>
    <w:rsid w:val="001F3ACA"/>
    <w:pPr>
      <w:numPr>
        <w:ilvl w:val="6"/>
        <w:numId w:val="14"/>
      </w:numPr>
      <w:spacing w:before="60" w:after="120"/>
      <w:outlineLvl w:val="6"/>
    </w:pPr>
  </w:style>
  <w:style w:type="paragraph" w:styleId="Heading8">
    <w:name w:val="heading 8"/>
    <w:basedOn w:val="Normal"/>
    <w:next w:val="Heading9"/>
    <w:autoRedefine/>
    <w:qFormat/>
    <w:rsid w:val="001F3ACA"/>
    <w:pPr>
      <w:numPr>
        <w:ilvl w:val="7"/>
        <w:numId w:val="14"/>
      </w:numPr>
      <w:spacing w:before="60" w:after="120"/>
      <w:outlineLvl w:val="7"/>
    </w:pPr>
  </w:style>
  <w:style w:type="paragraph" w:styleId="Heading9">
    <w:name w:val="heading 9"/>
    <w:basedOn w:val="Normal"/>
    <w:autoRedefine/>
    <w:qFormat/>
    <w:rsid w:val="001F3ACA"/>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F3ACA"/>
    <w:rPr>
      <w:vertAlign w:val="superscript"/>
    </w:rPr>
  </w:style>
  <w:style w:type="character" w:styleId="FootnoteReference">
    <w:name w:val="footnote reference"/>
    <w:basedOn w:val="DefaultParagraphFont"/>
    <w:semiHidden/>
    <w:rsid w:val="001F3ACA"/>
    <w:rPr>
      <w:vertAlign w:val="superscript"/>
    </w:rPr>
  </w:style>
  <w:style w:type="character" w:styleId="PageNumber">
    <w:name w:val="page number"/>
    <w:basedOn w:val="DefaultParagraphFont"/>
    <w:rsid w:val="001F3ACA"/>
    <w:rPr>
      <w:rFonts w:ascii="Arial" w:hAnsi="Arial"/>
      <w:b/>
      <w:sz w:val="24"/>
    </w:rPr>
  </w:style>
  <w:style w:type="paragraph" w:styleId="Footer">
    <w:name w:val="footer"/>
    <w:basedOn w:val="Normal"/>
    <w:link w:val="FooterChar"/>
    <w:uiPriority w:val="99"/>
    <w:rsid w:val="001F3ACA"/>
    <w:pPr>
      <w:tabs>
        <w:tab w:val="center" w:pos="4320"/>
        <w:tab w:val="right" w:pos="8640"/>
      </w:tabs>
    </w:pPr>
  </w:style>
  <w:style w:type="paragraph" w:styleId="Header">
    <w:name w:val="header"/>
    <w:basedOn w:val="Normal"/>
    <w:rsid w:val="001F3ACA"/>
    <w:pPr>
      <w:tabs>
        <w:tab w:val="center" w:pos="4320"/>
        <w:tab w:val="right" w:pos="8640"/>
      </w:tabs>
      <w:jc w:val="center"/>
    </w:pPr>
    <w:rPr>
      <w:u w:val="single"/>
    </w:rPr>
  </w:style>
  <w:style w:type="paragraph" w:styleId="FootnoteText">
    <w:name w:val="footnote text"/>
    <w:basedOn w:val="Normal"/>
    <w:semiHidden/>
    <w:rsid w:val="001F3ACA"/>
    <w:rPr>
      <w:sz w:val="20"/>
    </w:rPr>
  </w:style>
  <w:style w:type="paragraph" w:customStyle="1" w:styleId="SubTitle">
    <w:name w:val="Sub Title"/>
    <w:basedOn w:val="Title"/>
    <w:rsid w:val="001F3ACA"/>
    <w:rPr>
      <w:sz w:val="28"/>
    </w:rPr>
  </w:style>
  <w:style w:type="paragraph" w:styleId="Title">
    <w:name w:val="Title"/>
    <w:basedOn w:val="Normal"/>
    <w:next w:val="Header"/>
    <w:autoRedefine/>
    <w:qFormat/>
    <w:rsid w:val="00341E3A"/>
    <w:pPr>
      <w:tabs>
        <w:tab w:val="left" w:pos="540"/>
        <w:tab w:val="left" w:pos="1080"/>
        <w:tab w:val="left" w:pos="1620"/>
      </w:tabs>
      <w:spacing w:after="360"/>
      <w:jc w:val="center"/>
    </w:pPr>
    <w:rPr>
      <w:b/>
      <w:caps/>
      <w:kern w:val="28"/>
      <w:sz w:val="36"/>
      <w:szCs w:val="44"/>
      <w:u w:val="single"/>
    </w:rPr>
  </w:style>
  <w:style w:type="paragraph" w:styleId="Subtitle0">
    <w:name w:val="Subtitle"/>
    <w:basedOn w:val="Normal"/>
    <w:qFormat/>
    <w:rsid w:val="001F3ACA"/>
    <w:pPr>
      <w:spacing w:after="240"/>
      <w:jc w:val="center"/>
    </w:pPr>
    <w:rPr>
      <w:b/>
      <w:caps/>
      <w:sz w:val="28"/>
      <w:u w:val="single"/>
    </w:rPr>
  </w:style>
  <w:style w:type="paragraph" w:customStyle="1" w:styleId="BodyTextHanging">
    <w:name w:val="Body Text Hanging"/>
    <w:basedOn w:val="Normal"/>
    <w:rsid w:val="001F3ACA"/>
    <w:pPr>
      <w:spacing w:after="160"/>
      <w:ind w:left="1440"/>
    </w:pPr>
  </w:style>
  <w:style w:type="paragraph" w:styleId="BodyText">
    <w:name w:val="Body Text"/>
    <w:basedOn w:val="Normal"/>
    <w:rsid w:val="001F3ACA"/>
    <w:pPr>
      <w:spacing w:after="120"/>
    </w:pPr>
  </w:style>
  <w:style w:type="paragraph" w:styleId="ListBullet">
    <w:name w:val="List Bullet"/>
    <w:basedOn w:val="Normal"/>
    <w:rsid w:val="001F3ACA"/>
    <w:pPr>
      <w:spacing w:after="120"/>
      <w:ind w:left="360" w:hanging="360"/>
    </w:pPr>
  </w:style>
  <w:style w:type="paragraph" w:styleId="ListBullet2">
    <w:name w:val="List Bullet 2"/>
    <w:basedOn w:val="Normal"/>
    <w:rsid w:val="001F3ACA"/>
    <w:pPr>
      <w:ind w:left="720" w:hanging="360"/>
    </w:pPr>
  </w:style>
  <w:style w:type="paragraph" w:styleId="ListBullet3">
    <w:name w:val="List Bullet 3"/>
    <w:basedOn w:val="Normal"/>
    <w:rsid w:val="001F3ACA"/>
    <w:pPr>
      <w:ind w:left="1080" w:hanging="360"/>
    </w:pPr>
  </w:style>
  <w:style w:type="paragraph" w:styleId="ListNumber">
    <w:name w:val="List Number"/>
    <w:basedOn w:val="Normal"/>
    <w:rsid w:val="001F3ACA"/>
    <w:pPr>
      <w:ind w:left="360" w:hanging="360"/>
    </w:pPr>
  </w:style>
  <w:style w:type="paragraph" w:styleId="ListNumber2">
    <w:name w:val="List Number 2"/>
    <w:basedOn w:val="Normal"/>
    <w:rsid w:val="001F3ACA"/>
    <w:pPr>
      <w:ind w:left="720" w:hanging="360"/>
    </w:pPr>
  </w:style>
  <w:style w:type="paragraph" w:styleId="ListNumber3">
    <w:name w:val="List Number 3"/>
    <w:basedOn w:val="Normal"/>
    <w:rsid w:val="001F3ACA"/>
    <w:pPr>
      <w:ind w:left="1080" w:hanging="360"/>
    </w:pPr>
  </w:style>
  <w:style w:type="paragraph" w:styleId="DocumentMap">
    <w:name w:val="Document Map"/>
    <w:basedOn w:val="Normal"/>
    <w:semiHidden/>
    <w:rsid w:val="001F3ACA"/>
    <w:pPr>
      <w:shd w:val="clear" w:color="auto" w:fill="000080"/>
    </w:pPr>
    <w:rPr>
      <w:rFonts w:ascii="Tahoma" w:hAnsi="Tahoma"/>
    </w:rPr>
  </w:style>
  <w:style w:type="character" w:styleId="Hyperlink">
    <w:name w:val="Hyperlink"/>
    <w:basedOn w:val="DefaultParagraphFont"/>
    <w:rsid w:val="00D83412"/>
    <w:rPr>
      <w:color w:val="0000FF"/>
      <w:u w:val="single"/>
    </w:rPr>
  </w:style>
  <w:style w:type="character" w:styleId="FollowedHyperlink">
    <w:name w:val="FollowedHyperlink"/>
    <w:basedOn w:val="DefaultParagraphFont"/>
    <w:rsid w:val="007B0583"/>
    <w:rPr>
      <w:color w:val="800080"/>
      <w:u w:val="single"/>
    </w:rPr>
  </w:style>
  <w:style w:type="paragraph" w:styleId="BalloonText">
    <w:name w:val="Balloon Text"/>
    <w:basedOn w:val="Normal"/>
    <w:link w:val="BalloonTextChar"/>
    <w:rsid w:val="00DC49FD"/>
    <w:rPr>
      <w:rFonts w:ascii="Tahoma" w:hAnsi="Tahoma" w:cs="Tahoma"/>
      <w:sz w:val="16"/>
      <w:szCs w:val="16"/>
    </w:rPr>
  </w:style>
  <w:style w:type="character" w:customStyle="1" w:styleId="BalloonTextChar">
    <w:name w:val="Balloon Text Char"/>
    <w:basedOn w:val="DefaultParagraphFont"/>
    <w:link w:val="BalloonText"/>
    <w:rsid w:val="00DC49FD"/>
    <w:rPr>
      <w:rFonts w:ascii="Tahoma" w:hAnsi="Tahoma" w:cs="Tahoma"/>
      <w:sz w:val="16"/>
      <w:szCs w:val="16"/>
    </w:rPr>
  </w:style>
  <w:style w:type="character" w:styleId="CommentReference">
    <w:name w:val="annotation reference"/>
    <w:basedOn w:val="DefaultParagraphFont"/>
    <w:rsid w:val="00DC49FD"/>
    <w:rPr>
      <w:sz w:val="16"/>
      <w:szCs w:val="16"/>
    </w:rPr>
  </w:style>
  <w:style w:type="paragraph" w:styleId="CommentText">
    <w:name w:val="annotation text"/>
    <w:basedOn w:val="Normal"/>
    <w:link w:val="CommentTextChar"/>
    <w:rsid w:val="00DC49FD"/>
    <w:rPr>
      <w:sz w:val="20"/>
    </w:rPr>
  </w:style>
  <w:style w:type="character" w:customStyle="1" w:styleId="CommentTextChar">
    <w:name w:val="Comment Text Char"/>
    <w:basedOn w:val="DefaultParagraphFont"/>
    <w:link w:val="CommentText"/>
    <w:rsid w:val="00DC49FD"/>
    <w:rPr>
      <w:rFonts w:ascii="Arial" w:hAnsi="Arial"/>
    </w:rPr>
  </w:style>
  <w:style w:type="paragraph" w:styleId="CommentSubject">
    <w:name w:val="annotation subject"/>
    <w:basedOn w:val="CommentText"/>
    <w:next w:val="CommentText"/>
    <w:link w:val="CommentSubjectChar"/>
    <w:rsid w:val="00DC49FD"/>
    <w:rPr>
      <w:b/>
      <w:bCs/>
    </w:rPr>
  </w:style>
  <w:style w:type="character" w:customStyle="1" w:styleId="CommentSubjectChar">
    <w:name w:val="Comment Subject Char"/>
    <w:basedOn w:val="CommentTextChar"/>
    <w:link w:val="CommentSubject"/>
    <w:rsid w:val="00DC49FD"/>
    <w:rPr>
      <w:rFonts w:ascii="Arial" w:hAnsi="Arial"/>
      <w:b/>
      <w:bCs/>
    </w:rPr>
  </w:style>
  <w:style w:type="paragraph" w:styleId="Revision">
    <w:name w:val="Revision"/>
    <w:hidden/>
    <w:uiPriority w:val="99"/>
    <w:semiHidden/>
    <w:rsid w:val="00DA486F"/>
    <w:rPr>
      <w:rFonts w:ascii="Arial" w:hAnsi="Arial"/>
      <w:sz w:val="24"/>
    </w:rPr>
  </w:style>
  <w:style w:type="character" w:customStyle="1" w:styleId="Heading3Char">
    <w:name w:val="Heading 3 Char"/>
    <w:basedOn w:val="DefaultParagraphFont"/>
    <w:link w:val="Heading3"/>
    <w:rsid w:val="00426EDD"/>
    <w:rPr>
      <w:rFonts w:ascii="Arial" w:hAnsi="Arial"/>
      <w:sz w:val="24"/>
    </w:rPr>
  </w:style>
  <w:style w:type="character" w:customStyle="1" w:styleId="FooterChar">
    <w:name w:val="Footer Char"/>
    <w:basedOn w:val="DefaultParagraphFont"/>
    <w:link w:val="Footer"/>
    <w:uiPriority w:val="99"/>
    <w:rsid w:val="00581C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7380B-2D7B-42E2-B4E0-D699BD5ABCB6}">
  <ds:schemaRefs>
    <ds:schemaRef ds:uri="http://schemas.openxmlformats.org/officeDocument/2006/bibliography"/>
  </ds:schemaRefs>
</ds:datastoreItem>
</file>

<file path=customXml/itemProps2.xml><?xml version="1.0" encoding="utf-8"?>
<ds:datastoreItem xmlns:ds="http://schemas.openxmlformats.org/officeDocument/2006/customXml" ds:itemID="{CEA50DD7-B76D-4636-9548-A5D980B12D3F}">
  <ds:schemaRef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20c6e9ec-10ab-44a3-a789-2f95b600109b"/>
    <ds:schemaRef ds:uri="http://schemas.microsoft.com/office/2006/documentManagement/types"/>
    <ds:schemaRef ds:uri="http://schemas.openxmlformats.org/package/2006/metadata/core-properties"/>
    <ds:schemaRef ds:uri="170b14b1-392f-4d39-a1e6-499c1f95e431"/>
    <ds:schemaRef ds:uri="http://purl.org/dc/terms/"/>
  </ds:schemaRefs>
</ds:datastoreItem>
</file>

<file path=customXml/itemProps3.xml><?xml version="1.0" encoding="utf-8"?>
<ds:datastoreItem xmlns:ds="http://schemas.openxmlformats.org/officeDocument/2006/customXml" ds:itemID="{A166EA8E-BA4C-402A-B823-2CA5AA8A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AED5F-614E-460F-89B8-A0AB93585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Chapter-X.dot</Template>
  <TotalTime>0</TotalTime>
  <Pages>2</Pages>
  <Words>710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Defense Logistics Agency</Company>
  <LinksUpToDate>false</LinksUpToDate>
  <CharactersWithSpaces>5323</CharactersWithSpaces>
  <SharedDoc>false</SharedDoc>
  <HLinks>
    <vt:vector size="18" baseType="variant">
      <vt:variant>
        <vt:i4>3997740</vt:i4>
      </vt:variant>
      <vt:variant>
        <vt:i4>6</vt:i4>
      </vt:variant>
      <vt:variant>
        <vt:i4>0</vt:i4>
      </vt:variant>
      <vt:variant>
        <vt:i4>5</vt:i4>
      </vt:variant>
      <vt:variant>
        <vt:lpwstr>http://www.dla.mil/j-6/dlmso/eLibrary/manuals/regulations.asp</vt:lpwstr>
      </vt:variant>
      <vt:variant>
        <vt:lpwstr>45009r</vt:lpwstr>
      </vt:variant>
      <vt:variant>
        <vt:i4>2621565</vt:i4>
      </vt:variant>
      <vt:variant>
        <vt:i4>3</vt:i4>
      </vt:variant>
      <vt:variant>
        <vt:i4>0</vt:i4>
      </vt:variant>
      <vt:variant>
        <vt:i4>5</vt:i4>
      </vt:variant>
      <vt:variant>
        <vt:lpwstr>http://www.dla.mil/j-6/dlmso/eLibrary/manuals/regulations.asp</vt:lpwstr>
      </vt:variant>
      <vt:variant>
        <vt:lpwstr>41401r.asp</vt:lpwstr>
      </vt:variant>
      <vt:variant>
        <vt:i4>786501</vt:i4>
      </vt:variant>
      <vt:variant>
        <vt:i4>0</vt:i4>
      </vt:variant>
      <vt:variant>
        <vt:i4>0</vt:i4>
      </vt:variant>
      <vt:variant>
        <vt:i4>5</vt:i4>
      </vt:variant>
      <vt:variant>
        <vt:lpwstr>http://www.dla.mil/j-6/dlmso/eLibrary/manuals/directives.asp</vt:lpwstr>
      </vt:variant>
      <vt:variant>
        <vt:lpwstr>41401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Introduction</dc:subject>
  <dc:creator>DLA Logistics Management Standards</dc:creator>
  <cp:lastModifiedBy>Nguyen, Bao X CTR DLA INFO OPERATIONS (USA)</cp:lastModifiedBy>
  <cp:revision>2</cp:revision>
  <cp:lastPrinted>2012-01-13T14:56:00Z</cp:lastPrinted>
  <dcterms:created xsi:type="dcterms:W3CDTF">2024-01-27T19:28:00Z</dcterms:created>
  <dcterms:modified xsi:type="dcterms:W3CDTF">2024-01-27T19:28:00Z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2284600</vt:r8>
  </property>
</Properties>
</file>