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1F827" w14:textId="77777777" w:rsidR="00232F1E" w:rsidRDefault="002048D3" w:rsidP="007C64DA">
      <w:pPr>
        <w:spacing w:after="240"/>
        <w:jc w:val="center"/>
        <w:outlineLvl w:val="0"/>
        <w:rPr>
          <w:b/>
          <w:sz w:val="44"/>
          <w:szCs w:val="44"/>
          <w:u w:val="single"/>
        </w:rPr>
      </w:pPr>
      <w:r w:rsidRPr="00E82764">
        <w:rPr>
          <w:b/>
          <w:sz w:val="44"/>
          <w:szCs w:val="44"/>
          <w:u w:val="single"/>
        </w:rPr>
        <w:t>C5. CHAPTER 5</w:t>
      </w:r>
    </w:p>
    <w:p w14:paraId="14C1F828" w14:textId="77777777" w:rsidR="002048D3" w:rsidRPr="00E82764" w:rsidRDefault="002048D3" w:rsidP="008B1955">
      <w:pPr>
        <w:spacing w:after="360"/>
        <w:jc w:val="center"/>
        <w:rPr>
          <w:rFonts w:cs="Arial"/>
          <w:b/>
          <w:bCs/>
          <w:sz w:val="36"/>
          <w:szCs w:val="36"/>
          <w:u w:val="single"/>
        </w:rPr>
      </w:pPr>
      <w:r w:rsidRPr="00E82764">
        <w:rPr>
          <w:rFonts w:cs="Arial"/>
          <w:b/>
          <w:bCs/>
          <w:sz w:val="36"/>
          <w:szCs w:val="36"/>
          <w:u w:val="single"/>
        </w:rPr>
        <w:t>INTERFUND BILLING SYSTEM PROCEDURES</w:t>
      </w:r>
    </w:p>
    <w:p w14:paraId="14C1F829" w14:textId="77777777" w:rsidR="002048D3" w:rsidRPr="00E82764" w:rsidRDefault="002048D3" w:rsidP="00FD6E7A">
      <w:pPr>
        <w:tabs>
          <w:tab w:val="left" w:pos="540"/>
          <w:tab w:val="left" w:pos="1080"/>
          <w:tab w:val="left" w:pos="1620"/>
          <w:tab w:val="left" w:pos="2160"/>
        </w:tabs>
        <w:spacing w:after="240"/>
        <w:rPr>
          <w:u w:val="single"/>
        </w:rPr>
      </w:pPr>
      <w:bookmarkStart w:id="0" w:name="BM_1_"/>
      <w:bookmarkEnd w:id="0"/>
      <w:r w:rsidRPr="00E82764">
        <w:t xml:space="preserve">C5.1.  </w:t>
      </w:r>
      <w:r w:rsidRPr="00E82764">
        <w:rPr>
          <w:u w:val="single"/>
        </w:rPr>
        <w:t>POLICY</w:t>
      </w:r>
    </w:p>
    <w:p w14:paraId="14C1F82A" w14:textId="71234207" w:rsidR="002048D3" w:rsidRPr="00E82764" w:rsidRDefault="002048D3" w:rsidP="00FD6E7A">
      <w:pPr>
        <w:tabs>
          <w:tab w:val="left" w:pos="540"/>
          <w:tab w:val="left" w:pos="1080"/>
          <w:tab w:val="left" w:pos="1620"/>
          <w:tab w:val="left" w:pos="2160"/>
        </w:tabs>
        <w:spacing w:after="240"/>
      </w:pPr>
      <w:r w:rsidRPr="00E82764">
        <w:tab/>
        <w:t xml:space="preserve">C5.1.1.  </w:t>
      </w:r>
      <w:r w:rsidRPr="00E82764">
        <w:rPr>
          <w:u w:val="single"/>
        </w:rPr>
        <w:t>General</w:t>
      </w:r>
      <w:r w:rsidRPr="00E82764">
        <w:t xml:space="preserve">.  It is DoD policy that DoD customers authorize suppliers to use the </w:t>
      </w:r>
      <w:proofErr w:type="spellStart"/>
      <w:r w:rsidRPr="00E82764">
        <w:t>interfund</w:t>
      </w:r>
      <w:proofErr w:type="spellEnd"/>
      <w:r w:rsidRPr="00E82764">
        <w:t xml:space="preserve"> billing system to reimburse themselves for materiel, hazardous </w:t>
      </w:r>
      <w:proofErr w:type="spellStart"/>
      <w:r w:rsidRPr="00E82764">
        <w:t>materiel</w:t>
      </w:r>
      <w:proofErr w:type="spellEnd"/>
      <w:r w:rsidRPr="00E82764">
        <w:t xml:space="preserve"> and waste services, and services related to materiel shipments.</w:t>
      </w:r>
    </w:p>
    <w:p w14:paraId="14C1F82B" w14:textId="77777777" w:rsidR="002048D3" w:rsidRPr="00E82764" w:rsidRDefault="002048D3" w:rsidP="00FD6E7A">
      <w:pPr>
        <w:tabs>
          <w:tab w:val="left" w:pos="540"/>
          <w:tab w:val="left" w:pos="1080"/>
          <w:tab w:val="left" w:pos="1620"/>
          <w:tab w:val="left" w:pos="2160"/>
        </w:tabs>
        <w:spacing w:after="240"/>
        <w:outlineLvl w:val="0"/>
      </w:pPr>
      <w:r w:rsidRPr="00E82764">
        <w:tab/>
        <w:t xml:space="preserve">C5.1.2.  </w:t>
      </w:r>
      <w:r w:rsidRPr="00E82764">
        <w:rPr>
          <w:u w:val="single"/>
        </w:rPr>
        <w:t>Exclusions</w:t>
      </w:r>
    </w:p>
    <w:p w14:paraId="14C1F82C" w14:textId="77777777" w:rsidR="002048D3" w:rsidRPr="00E82764" w:rsidRDefault="002048D3" w:rsidP="00FD6E7A">
      <w:pPr>
        <w:tabs>
          <w:tab w:val="left" w:pos="540"/>
          <w:tab w:val="left" w:pos="1080"/>
          <w:tab w:val="left" w:pos="1620"/>
          <w:tab w:val="left" w:pos="2160"/>
        </w:tabs>
        <w:spacing w:after="240"/>
      </w:pPr>
      <w:r w:rsidRPr="00E82764">
        <w:tab/>
      </w:r>
      <w:r w:rsidRPr="00E82764">
        <w:tab/>
        <w:t xml:space="preserve">C5.1.2.1.  The </w:t>
      </w:r>
      <w:proofErr w:type="spellStart"/>
      <w:r w:rsidRPr="00E82764">
        <w:t>interfund</w:t>
      </w:r>
      <w:proofErr w:type="spellEnd"/>
      <w:r w:rsidRPr="00E82764">
        <w:t xml:space="preserve"> billing system is not mandatory for use when the </w:t>
      </w:r>
      <w:r w:rsidR="002B768D">
        <w:t xml:space="preserve">involved </w:t>
      </w:r>
      <w:r w:rsidRPr="00E82764">
        <w:t>funds are Military Assistance Grant Aid or where only limited sales occur between the DoD Components.</w:t>
      </w:r>
    </w:p>
    <w:p w14:paraId="14C1F82D" w14:textId="77777777" w:rsidR="002048D3" w:rsidRPr="00E82764" w:rsidRDefault="002048D3" w:rsidP="00FD6E7A">
      <w:pPr>
        <w:tabs>
          <w:tab w:val="left" w:pos="540"/>
          <w:tab w:val="left" w:pos="1080"/>
          <w:tab w:val="left" w:pos="1620"/>
          <w:tab w:val="left" w:pos="2160"/>
        </w:tabs>
        <w:spacing w:after="240"/>
      </w:pPr>
      <w:r w:rsidRPr="00E82764">
        <w:tab/>
      </w:r>
      <w:r w:rsidRPr="00E82764">
        <w:tab/>
        <w:t xml:space="preserve">C5.1.2.2.  The </w:t>
      </w:r>
      <w:proofErr w:type="spellStart"/>
      <w:r w:rsidRPr="00E82764">
        <w:t>interfund</w:t>
      </w:r>
      <w:proofErr w:type="spellEnd"/>
      <w:r w:rsidRPr="00E82764">
        <w:t xml:space="preserve"> billing system may not be used to bill non-DoD customers (e.g., state or local governments, private contractors, individuals, or </w:t>
      </w:r>
      <w:proofErr w:type="spellStart"/>
      <w:r w:rsidRPr="00E82764">
        <w:t>nonappropriated</w:t>
      </w:r>
      <w:proofErr w:type="spellEnd"/>
      <w:r w:rsidRPr="00E82764">
        <w:t xml:space="preserve"> fund instrumentalities) or </w:t>
      </w:r>
      <w:r w:rsidRPr="00E82764">
        <w:rPr>
          <w:rFonts w:cs="Arial"/>
          <w:szCs w:val="24"/>
        </w:rPr>
        <w:t xml:space="preserve">for </w:t>
      </w:r>
      <w:r w:rsidRPr="00E82764">
        <w:t>major end items such as complete aircraft, ships, tanks, space vehicles, and missiles.</w:t>
      </w:r>
    </w:p>
    <w:p w14:paraId="14C1F82E" w14:textId="77777777" w:rsidR="002048D3" w:rsidRPr="00E82764" w:rsidRDefault="002048D3" w:rsidP="00FD6E7A">
      <w:pPr>
        <w:tabs>
          <w:tab w:val="left" w:pos="540"/>
          <w:tab w:val="left" w:pos="1080"/>
          <w:tab w:val="left" w:pos="1620"/>
          <w:tab w:val="left" w:pos="2160"/>
        </w:tabs>
        <w:spacing w:after="240"/>
      </w:pPr>
      <w:r w:rsidRPr="00E82764">
        <w:tab/>
      </w:r>
      <w:r w:rsidRPr="00E82764">
        <w:tab/>
        <w:t xml:space="preserve">C5.1.2.3.  Except for </w:t>
      </w:r>
      <w:r w:rsidR="002B768D">
        <w:t xml:space="preserve">the </w:t>
      </w:r>
      <w:r>
        <w:t>General Services Administration (</w:t>
      </w:r>
      <w:r w:rsidRPr="00E82764">
        <w:t>GSA</w:t>
      </w:r>
      <w:r>
        <w:t>)</w:t>
      </w:r>
      <w:r w:rsidRPr="00E82764">
        <w:t xml:space="preserve">, </w:t>
      </w:r>
      <w:r w:rsidR="002B768D">
        <w:t xml:space="preserve">the </w:t>
      </w:r>
      <w:r w:rsidRPr="00E82764">
        <w:rPr>
          <w:rFonts w:cs="Arial"/>
          <w:szCs w:val="24"/>
        </w:rPr>
        <w:t xml:space="preserve">Federal Aviation </w:t>
      </w:r>
      <w:r w:rsidR="002B768D">
        <w:rPr>
          <w:rFonts w:cs="Arial"/>
          <w:szCs w:val="24"/>
        </w:rPr>
        <w:t>Administration</w:t>
      </w:r>
      <w:r w:rsidRPr="00E82764">
        <w:rPr>
          <w:rFonts w:cs="Arial"/>
          <w:szCs w:val="24"/>
        </w:rPr>
        <w:t xml:space="preserve"> (FAA), and </w:t>
      </w:r>
      <w:r w:rsidR="002B768D">
        <w:rPr>
          <w:rFonts w:cs="Arial"/>
          <w:szCs w:val="24"/>
        </w:rPr>
        <w:t xml:space="preserve">the </w:t>
      </w:r>
      <w:r w:rsidRPr="00E82764">
        <w:rPr>
          <w:rFonts w:cs="Arial"/>
          <w:szCs w:val="24"/>
        </w:rPr>
        <w:t>National Oceanic and Atmospheric Administration (NOAA),</w:t>
      </w:r>
      <w:r w:rsidRPr="00E82764">
        <w:t xml:space="preserve"> non-DoD suppliers may not use the </w:t>
      </w:r>
      <w:proofErr w:type="spellStart"/>
      <w:r w:rsidRPr="00E82764">
        <w:t>interfund</w:t>
      </w:r>
      <w:proofErr w:type="spellEnd"/>
      <w:r w:rsidRPr="00E82764">
        <w:t xml:space="preserve"> billing system to bill DoD customers.</w:t>
      </w:r>
    </w:p>
    <w:p w14:paraId="14C1F82F" w14:textId="77777777" w:rsidR="002048D3" w:rsidRPr="00E82764" w:rsidRDefault="002048D3" w:rsidP="00FD6E7A">
      <w:pPr>
        <w:tabs>
          <w:tab w:val="left" w:pos="540"/>
          <w:tab w:val="left" w:pos="1080"/>
          <w:tab w:val="left" w:pos="1620"/>
          <w:tab w:val="left" w:pos="2160"/>
        </w:tabs>
        <w:spacing w:after="240"/>
        <w:outlineLvl w:val="0"/>
      </w:pPr>
      <w:r w:rsidRPr="00E82764">
        <w:t xml:space="preserve">C5.2.  </w:t>
      </w:r>
      <w:r w:rsidRPr="00E82764">
        <w:rPr>
          <w:u w:val="single"/>
        </w:rPr>
        <w:t>PRINCIPLES OF THE INTERFUND BILLING SYSTEM</w:t>
      </w:r>
    </w:p>
    <w:p w14:paraId="14C1F830" w14:textId="77777777" w:rsidR="002048D3" w:rsidRPr="00E82764" w:rsidRDefault="002048D3" w:rsidP="00FD6E7A">
      <w:pPr>
        <w:tabs>
          <w:tab w:val="left" w:pos="540"/>
          <w:tab w:val="left" w:pos="1080"/>
          <w:tab w:val="left" w:pos="1620"/>
          <w:tab w:val="left" w:pos="2160"/>
        </w:tabs>
        <w:spacing w:after="240"/>
      </w:pPr>
      <w:r w:rsidRPr="00E82764">
        <w:tab/>
        <w:t xml:space="preserve">C5.2.1.  The </w:t>
      </w:r>
      <w:proofErr w:type="spellStart"/>
      <w:r w:rsidRPr="00E82764">
        <w:t>interfund</w:t>
      </w:r>
      <w:proofErr w:type="spellEnd"/>
      <w:r w:rsidRPr="00E82764">
        <w:t xml:space="preserve"> billing system allows suppliers to reimburse themselves, from appropriations designated by the customer, at the time of billing.  The supplier forwards an automated billing to the billed office and reports to the Treasury Department a reimbursement of the supplying funds, with an offsetting charge to the customer’s fund.</w:t>
      </w:r>
    </w:p>
    <w:p w14:paraId="14C1F831" w14:textId="77777777" w:rsidR="002048D3" w:rsidRPr="00E82764" w:rsidRDefault="002048D3" w:rsidP="00FD6E7A">
      <w:pPr>
        <w:tabs>
          <w:tab w:val="left" w:pos="540"/>
          <w:tab w:val="left" w:pos="1080"/>
          <w:tab w:val="left" w:pos="1620"/>
          <w:tab w:val="left" w:pos="2160"/>
        </w:tabs>
        <w:spacing w:after="240"/>
      </w:pPr>
      <w:r w:rsidRPr="00E82764">
        <w:tab/>
        <w:t xml:space="preserve">C5.2.2.  </w:t>
      </w:r>
      <w:proofErr w:type="spellStart"/>
      <w:r w:rsidRPr="00E82764">
        <w:t>Interfund</w:t>
      </w:r>
      <w:proofErr w:type="spellEnd"/>
      <w:r w:rsidRPr="00E82764">
        <w:t xml:space="preserve"> bills are both “bills” and “notices” to a customer that its funds have been charged and the “bill” paid.</w:t>
      </w:r>
    </w:p>
    <w:p w14:paraId="14C1F832" w14:textId="32E1541E" w:rsidR="002048D3" w:rsidRPr="008B1955" w:rsidRDefault="002048D3" w:rsidP="00FD6E7A">
      <w:pPr>
        <w:tabs>
          <w:tab w:val="left" w:pos="540"/>
          <w:tab w:val="left" w:pos="1080"/>
          <w:tab w:val="left" w:pos="1620"/>
          <w:tab w:val="left" w:pos="2160"/>
        </w:tabs>
        <w:spacing w:after="240"/>
      </w:pPr>
      <w:r w:rsidRPr="00E82764">
        <w:tab/>
        <w:t xml:space="preserve">C5.2.3.  Billed offices </w:t>
      </w:r>
      <w:r w:rsidR="00555984">
        <w:t>will</w:t>
      </w:r>
      <w:r w:rsidRPr="00E82764">
        <w:t xml:space="preserve">, upon receipt of the “bill”, either accept and record the charge </w:t>
      </w:r>
      <w:r>
        <w:t>f</w:t>
      </w:r>
      <w:r w:rsidRPr="00E82764">
        <w:rPr>
          <w:rFonts w:cs="Arial"/>
          <w:szCs w:val="24"/>
        </w:rPr>
        <w:t>or</w:t>
      </w:r>
      <w:r w:rsidRPr="00E82764">
        <w:t xml:space="preserve"> the complete or partial bill or, when the charge</w:t>
      </w:r>
      <w:r w:rsidR="002B768D">
        <w:t xml:space="preserve"> is questionable or erroneous</w:t>
      </w:r>
      <w:r w:rsidRPr="00E82764">
        <w:t xml:space="preserve"> at </w:t>
      </w:r>
      <w:r w:rsidR="002B768D">
        <w:t xml:space="preserve">the </w:t>
      </w:r>
      <w:r w:rsidRPr="00E82764">
        <w:t>detail bill level</w:t>
      </w:r>
      <w:r w:rsidR="007C64DA">
        <w:t xml:space="preserve"> </w:t>
      </w:r>
      <w:r w:rsidR="002B768D">
        <w:rPr>
          <w:rFonts w:cs="Arial"/>
          <w:szCs w:val="24"/>
        </w:rPr>
        <w:t>or</w:t>
      </w:r>
      <w:r w:rsidRPr="00E82764">
        <w:t xml:space="preserve"> in dispute, record the charge into the designated default account for further research.  Charges </w:t>
      </w:r>
      <w:r w:rsidR="00555984">
        <w:t>will</w:t>
      </w:r>
      <w:r w:rsidRPr="00E82764">
        <w:t xml:space="preserve"> remain </w:t>
      </w:r>
      <w:proofErr w:type="spellStart"/>
      <w:r w:rsidRPr="00E82764">
        <w:t>uncleared</w:t>
      </w:r>
      <w:proofErr w:type="spellEnd"/>
      <w:r w:rsidRPr="00E82764">
        <w:t xml:space="preserve"> pending completion of research and resolution</w:t>
      </w:r>
      <w:r w:rsidR="00783EC1">
        <w:rPr>
          <w:rFonts w:cs="Arial"/>
        </w:rPr>
        <w:t>.</w:t>
      </w:r>
    </w:p>
    <w:p w14:paraId="14C1F833" w14:textId="77777777" w:rsidR="002048D3" w:rsidRPr="00E82764" w:rsidRDefault="002048D3" w:rsidP="00FD6E7A">
      <w:pPr>
        <w:tabs>
          <w:tab w:val="left" w:pos="540"/>
          <w:tab w:val="left" w:pos="1080"/>
          <w:tab w:val="left" w:pos="1620"/>
          <w:tab w:val="left" w:pos="2160"/>
        </w:tabs>
        <w:spacing w:after="240"/>
      </w:pPr>
      <w:r w:rsidRPr="00E82764">
        <w:lastRenderedPageBreak/>
        <w:tab/>
        <w:t>C5.2.4.  Only the billing office or Central Accounts Office (CAO) is authorized to adjust or otherwise reverse reimbursements reported to the Treasury Department on behalf of the billing office.</w:t>
      </w:r>
    </w:p>
    <w:p w14:paraId="14C1F834" w14:textId="77777777" w:rsidR="002048D3" w:rsidRPr="00E82764" w:rsidRDefault="002048D3" w:rsidP="00FD6E7A">
      <w:pPr>
        <w:tabs>
          <w:tab w:val="left" w:pos="540"/>
          <w:tab w:val="left" w:pos="1080"/>
          <w:tab w:val="left" w:pos="1620"/>
          <w:tab w:val="left" w:pos="2160"/>
        </w:tabs>
        <w:spacing w:after="240"/>
        <w:outlineLvl w:val="0"/>
      </w:pPr>
      <w:r w:rsidRPr="00E82764">
        <w:t xml:space="preserve">C5.3.  </w:t>
      </w:r>
      <w:r w:rsidRPr="00E82764">
        <w:rPr>
          <w:u w:val="single"/>
        </w:rPr>
        <w:t>PREPARATION OF INTERFUND BILLS</w:t>
      </w:r>
    </w:p>
    <w:p w14:paraId="14C1F835" w14:textId="77777777" w:rsidR="002048D3" w:rsidRPr="00E82764" w:rsidRDefault="002048D3" w:rsidP="00FD6E7A">
      <w:pPr>
        <w:tabs>
          <w:tab w:val="left" w:pos="540"/>
          <w:tab w:val="left" w:pos="1080"/>
          <w:tab w:val="left" w:pos="1620"/>
          <w:tab w:val="left" w:pos="2160"/>
        </w:tabs>
        <w:spacing w:after="240"/>
      </w:pPr>
      <w:r w:rsidRPr="00E82764">
        <w:tab/>
        <w:t xml:space="preserve">C5.3.1.  </w:t>
      </w:r>
      <w:proofErr w:type="spellStart"/>
      <w:r w:rsidRPr="00E82764">
        <w:t>Interfund</w:t>
      </w:r>
      <w:proofErr w:type="spellEnd"/>
      <w:r w:rsidRPr="00E82764">
        <w:t xml:space="preserve"> bills are made up of one or more detail billing records with the same fund code, and a single summary billing record.  The summary billing record represents a summary of the supporting detail billing records.</w:t>
      </w:r>
    </w:p>
    <w:p w14:paraId="14C1F836" w14:textId="3384BA7E" w:rsidR="002048D3" w:rsidRPr="00E82764" w:rsidRDefault="002048D3" w:rsidP="00FD6E7A">
      <w:pPr>
        <w:tabs>
          <w:tab w:val="left" w:pos="540"/>
          <w:tab w:val="left" w:pos="1080"/>
          <w:tab w:val="left" w:pos="1620"/>
          <w:tab w:val="left" w:pos="2160"/>
        </w:tabs>
        <w:spacing w:after="240"/>
      </w:pPr>
      <w:r w:rsidRPr="00E82764">
        <w:tab/>
        <w:t xml:space="preserve">C5.3.2.  Detail billing records in support of </w:t>
      </w:r>
      <w:proofErr w:type="spellStart"/>
      <w:r w:rsidRPr="00E82764">
        <w:t>interfund</w:t>
      </w:r>
      <w:proofErr w:type="spellEnd"/>
      <w:r w:rsidRPr="00E82764">
        <w:t xml:space="preserve"> bills </w:t>
      </w:r>
      <w:r w:rsidR="00555984">
        <w:t>will</w:t>
      </w:r>
      <w:r w:rsidRPr="00E82764">
        <w:t xml:space="preserve"> be prepared in accordance with Defense Logistics Management S</w:t>
      </w:r>
      <w:r w:rsidR="0060116B">
        <w:t>tandards</w:t>
      </w:r>
      <w:r w:rsidRPr="00AD0B52">
        <w:rPr>
          <w:rFonts w:cs="Arial"/>
          <w:szCs w:val="24"/>
        </w:rPr>
        <w:t xml:space="preserve"> </w:t>
      </w:r>
      <w:r>
        <w:rPr>
          <w:rFonts w:cs="Arial"/>
          <w:szCs w:val="24"/>
        </w:rPr>
        <w:t>(</w:t>
      </w:r>
      <w:r w:rsidRPr="00AD0B52">
        <w:rPr>
          <w:rFonts w:cs="Arial"/>
          <w:szCs w:val="24"/>
        </w:rPr>
        <w:t>DLMS</w:t>
      </w:r>
      <w:r>
        <w:rPr>
          <w:rFonts w:cs="Arial"/>
          <w:szCs w:val="24"/>
        </w:rPr>
        <w:t>)</w:t>
      </w:r>
      <w:r w:rsidRPr="00AD0B52">
        <w:rPr>
          <w:rFonts w:cs="Arial"/>
          <w:szCs w:val="24"/>
        </w:rPr>
        <w:t xml:space="preserve"> 810L</w:t>
      </w:r>
      <w:r w:rsidR="00384A65">
        <w:rPr>
          <w:rFonts w:cs="Arial"/>
          <w:szCs w:val="24"/>
        </w:rPr>
        <w:t xml:space="preserve"> transaction</w:t>
      </w:r>
      <w:r w:rsidRPr="00AD0B52">
        <w:rPr>
          <w:rFonts w:cs="Arial"/>
          <w:szCs w:val="24"/>
        </w:rPr>
        <w:t xml:space="preserve"> or</w:t>
      </w:r>
      <w:r w:rsidRPr="00E82764">
        <w:rPr>
          <w:rFonts w:cs="Arial"/>
          <w:szCs w:val="24"/>
        </w:rPr>
        <w:t xml:space="preserve"> </w:t>
      </w:r>
      <w:r w:rsidRPr="00E82764">
        <w:t xml:space="preserve">Appendix </w:t>
      </w:r>
      <w:r w:rsidRPr="00E82764">
        <w:rPr>
          <w:rFonts w:cs="Arial"/>
          <w:szCs w:val="24"/>
        </w:rPr>
        <w:t xml:space="preserve">3 for legacy </w:t>
      </w:r>
      <w:r>
        <w:rPr>
          <w:rFonts w:cs="Arial"/>
          <w:szCs w:val="24"/>
        </w:rPr>
        <w:t xml:space="preserve">80 column card </w:t>
      </w:r>
      <w:r w:rsidRPr="00E82764">
        <w:rPr>
          <w:rFonts w:cs="Arial"/>
          <w:szCs w:val="24"/>
        </w:rPr>
        <w:t>transactions</w:t>
      </w:r>
      <w:r w:rsidRPr="00E82764">
        <w:t>.</w:t>
      </w:r>
    </w:p>
    <w:p w14:paraId="14C1F837" w14:textId="77777777" w:rsidR="002048D3" w:rsidRPr="00E82764" w:rsidRDefault="002048D3" w:rsidP="00FD6E7A">
      <w:pPr>
        <w:tabs>
          <w:tab w:val="left" w:pos="540"/>
          <w:tab w:val="left" w:pos="1080"/>
          <w:tab w:val="left" w:pos="1620"/>
          <w:tab w:val="left" w:pos="2160"/>
        </w:tabs>
        <w:spacing w:after="240"/>
        <w:outlineLvl w:val="0"/>
      </w:pPr>
      <w:r w:rsidRPr="00E82764">
        <w:t xml:space="preserve">C5.4.  </w:t>
      </w:r>
      <w:r w:rsidRPr="00E82764">
        <w:rPr>
          <w:u w:val="single"/>
        </w:rPr>
        <w:t>CENTRAL ACCOUNTS OFFICES</w:t>
      </w:r>
    </w:p>
    <w:p w14:paraId="14C1F838" w14:textId="77777777" w:rsidR="002048D3" w:rsidRPr="00E82764" w:rsidRDefault="002048D3" w:rsidP="00FD6E7A">
      <w:pPr>
        <w:tabs>
          <w:tab w:val="left" w:pos="540"/>
          <w:tab w:val="left" w:pos="1080"/>
          <w:tab w:val="left" w:pos="1620"/>
          <w:tab w:val="left" w:pos="2160"/>
        </w:tabs>
        <w:spacing w:after="240"/>
      </w:pPr>
      <w:r w:rsidRPr="00E82764">
        <w:tab/>
        <w:t xml:space="preserve">C5.4.1.  </w:t>
      </w:r>
      <w:r w:rsidRPr="00E82764">
        <w:rPr>
          <w:u w:val="single"/>
        </w:rPr>
        <w:t>General</w:t>
      </w:r>
      <w:r w:rsidRPr="00E82764">
        <w:t xml:space="preserve">.  CAOs are </w:t>
      </w:r>
      <w:r w:rsidRPr="004B6062">
        <w:t xml:space="preserve">Defense Finance and Accounting Service </w:t>
      </w:r>
      <w:r>
        <w:t>(</w:t>
      </w:r>
      <w:r w:rsidRPr="00E82764">
        <w:t>DFAS</w:t>
      </w:r>
      <w:r>
        <w:t>)</w:t>
      </w:r>
      <w:r w:rsidRPr="00E82764">
        <w:t xml:space="preserve"> Centers </w:t>
      </w:r>
      <w:r w:rsidRPr="00E82764">
        <w:rPr>
          <w:rFonts w:cs="Arial"/>
          <w:szCs w:val="24"/>
        </w:rPr>
        <w:t xml:space="preserve">or other federal agencies </w:t>
      </w:r>
      <w:r w:rsidRPr="00E82764">
        <w:t xml:space="preserve">given the responsibility of reporting </w:t>
      </w:r>
      <w:r w:rsidRPr="00E82764">
        <w:rPr>
          <w:rFonts w:cs="Arial"/>
          <w:szCs w:val="24"/>
        </w:rPr>
        <w:t xml:space="preserve">on </w:t>
      </w:r>
      <w:proofErr w:type="spellStart"/>
      <w:r w:rsidRPr="00E82764">
        <w:rPr>
          <w:rFonts w:cs="Arial"/>
          <w:szCs w:val="24"/>
        </w:rPr>
        <w:t>interfund</w:t>
      </w:r>
      <w:proofErr w:type="spellEnd"/>
      <w:r w:rsidRPr="00E82764">
        <w:rPr>
          <w:rFonts w:cs="Arial"/>
          <w:szCs w:val="24"/>
        </w:rPr>
        <w:t xml:space="preserve"> in the Statement of</w:t>
      </w:r>
      <w:r w:rsidRPr="00E82764">
        <w:t xml:space="preserve"> </w:t>
      </w:r>
      <w:proofErr w:type="spellStart"/>
      <w:r w:rsidRPr="00E82764">
        <w:t>Interfund</w:t>
      </w:r>
      <w:proofErr w:type="spellEnd"/>
      <w:r w:rsidRPr="00E82764">
        <w:t xml:space="preserve"> Transactions to the Treasury Department.  Depending upon the customer organization, they may have seller and or buyer CAO responsibilities.</w:t>
      </w:r>
    </w:p>
    <w:p w14:paraId="14C1F839" w14:textId="49B5314D" w:rsidR="002048D3" w:rsidRPr="00E82764" w:rsidRDefault="002048D3" w:rsidP="00FD6E7A">
      <w:pPr>
        <w:tabs>
          <w:tab w:val="left" w:pos="540"/>
          <w:tab w:val="left" w:pos="1080"/>
          <w:tab w:val="left" w:pos="1620"/>
          <w:tab w:val="left" w:pos="2160"/>
        </w:tabs>
        <w:spacing w:after="240"/>
      </w:pPr>
      <w:r w:rsidRPr="00E82764">
        <w:tab/>
        <w:t xml:space="preserve">C5.4.2.  </w:t>
      </w:r>
      <w:r w:rsidRPr="00E82764">
        <w:rPr>
          <w:u w:val="single"/>
        </w:rPr>
        <w:t xml:space="preserve">Seller </w:t>
      </w:r>
      <w:r w:rsidR="00BF73F4" w:rsidRPr="00E82764">
        <w:rPr>
          <w:u w:val="single"/>
        </w:rPr>
        <w:t>Central Accounts Offices</w:t>
      </w:r>
      <w:r w:rsidRPr="00E82764">
        <w:t xml:space="preserve">.  </w:t>
      </w:r>
      <w:r w:rsidR="004F5F35">
        <w:t>DAAS</w:t>
      </w:r>
      <w:r w:rsidRPr="00E82764">
        <w:t xml:space="preserve"> forwards copies of </w:t>
      </w:r>
      <w:proofErr w:type="spellStart"/>
      <w:r w:rsidRPr="00E82764">
        <w:t>interfund</w:t>
      </w:r>
      <w:proofErr w:type="spellEnd"/>
      <w:r w:rsidRPr="00E82764">
        <w:t xml:space="preserve"> summary billing records to seller CAOs.  Based upon these records, seller CAOs report seller </w:t>
      </w:r>
      <w:proofErr w:type="spellStart"/>
      <w:r w:rsidRPr="00E82764">
        <w:t>interfund</w:t>
      </w:r>
      <w:proofErr w:type="spellEnd"/>
      <w:r w:rsidRPr="00E82764">
        <w:t xml:space="preserve"> self-reimbursements and related buyer disbursements to the Treasury Department.  Seller CAO </w:t>
      </w:r>
      <w:proofErr w:type="spellStart"/>
      <w:r w:rsidRPr="00E82764">
        <w:t>interfund</w:t>
      </w:r>
      <w:proofErr w:type="spellEnd"/>
      <w:r w:rsidRPr="00E82764">
        <w:t xml:space="preserve"> bill responsibilities are identified by the service code of the seller </w:t>
      </w:r>
      <w:r w:rsidRPr="004A43E5">
        <w:t>D</w:t>
      </w:r>
      <w:r w:rsidR="006D16C2">
        <w:t>oD</w:t>
      </w:r>
      <w:r w:rsidRPr="004A43E5">
        <w:t xml:space="preserve"> Activity Address Code </w:t>
      </w:r>
      <w:r>
        <w:t>(</w:t>
      </w:r>
      <w:proofErr w:type="spellStart"/>
      <w:r w:rsidRPr="00E82764">
        <w:t>DoDAAC</w:t>
      </w:r>
      <w:proofErr w:type="spellEnd"/>
      <w:r>
        <w:t>)</w:t>
      </w:r>
      <w:r w:rsidRPr="00E82764">
        <w:t xml:space="preserve"> described in </w:t>
      </w:r>
      <w:r w:rsidR="006D16C2">
        <w:t>T</w:t>
      </w:r>
      <w:r w:rsidRPr="00E82764">
        <w:t>able</w:t>
      </w:r>
      <w:r w:rsidR="006D16C2">
        <w:t xml:space="preserve"> C5.T1.</w:t>
      </w:r>
    </w:p>
    <w:p w14:paraId="14C1F83A" w14:textId="77777777" w:rsidR="002048D3" w:rsidRPr="00E82764" w:rsidRDefault="002048D3" w:rsidP="00384A65">
      <w:pPr>
        <w:tabs>
          <w:tab w:val="left" w:pos="540"/>
          <w:tab w:val="left" w:pos="1080"/>
          <w:tab w:val="left" w:pos="1620"/>
          <w:tab w:val="left" w:pos="2160"/>
        </w:tabs>
        <w:spacing w:after="120"/>
        <w:jc w:val="center"/>
        <w:outlineLvl w:val="0"/>
        <w:rPr>
          <w:u w:val="single"/>
        </w:rPr>
      </w:pPr>
      <w:r w:rsidRPr="00E82764">
        <w:t xml:space="preserve">Table C5.T1.  </w:t>
      </w:r>
      <w:r w:rsidRPr="00E82764">
        <w:rPr>
          <w:u w:val="single"/>
        </w:rPr>
        <w:t>Seller CAO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160"/>
      </w:tblGrid>
      <w:tr w:rsidR="002048D3" w:rsidRPr="00384A65" w14:paraId="14C1F83D" w14:textId="77777777" w:rsidTr="007E7CA7">
        <w:trPr>
          <w:jc w:val="center"/>
        </w:trPr>
        <w:tc>
          <w:tcPr>
            <w:tcW w:w="2660" w:type="dxa"/>
            <w:vAlign w:val="center"/>
          </w:tcPr>
          <w:p w14:paraId="14C1F83B" w14:textId="77777777" w:rsidR="00232F1E" w:rsidRPr="00384A65" w:rsidRDefault="002048D3" w:rsidP="00384A65">
            <w:pPr>
              <w:spacing w:before="60" w:after="60"/>
              <w:jc w:val="center"/>
              <w:rPr>
                <w:sz w:val="22"/>
                <w:szCs w:val="22"/>
              </w:rPr>
            </w:pPr>
            <w:r w:rsidRPr="00384A65">
              <w:rPr>
                <w:sz w:val="22"/>
                <w:szCs w:val="22"/>
              </w:rPr>
              <w:t>S</w:t>
            </w:r>
            <w:r w:rsidR="00384A65" w:rsidRPr="00384A65">
              <w:rPr>
                <w:sz w:val="22"/>
                <w:szCs w:val="22"/>
              </w:rPr>
              <w:t xml:space="preserve">ELLER </w:t>
            </w:r>
            <w:proofErr w:type="spellStart"/>
            <w:r w:rsidRPr="00384A65">
              <w:rPr>
                <w:sz w:val="22"/>
                <w:szCs w:val="22"/>
              </w:rPr>
              <w:t>DoDAAC</w:t>
            </w:r>
            <w:proofErr w:type="spellEnd"/>
            <w:r w:rsidRPr="00384A65">
              <w:rPr>
                <w:sz w:val="22"/>
                <w:szCs w:val="22"/>
              </w:rPr>
              <w:t xml:space="preserve"> B</w:t>
            </w:r>
            <w:r w:rsidR="00384A65" w:rsidRPr="00384A65">
              <w:rPr>
                <w:sz w:val="22"/>
                <w:szCs w:val="22"/>
              </w:rPr>
              <w:t xml:space="preserve">EGINS WITH </w:t>
            </w:r>
          </w:p>
        </w:tc>
        <w:tc>
          <w:tcPr>
            <w:tcW w:w="2160" w:type="dxa"/>
            <w:vAlign w:val="center"/>
          </w:tcPr>
          <w:p w14:paraId="14C1F83C" w14:textId="77777777" w:rsidR="00232F1E" w:rsidRPr="00384A65" w:rsidRDefault="002048D3" w:rsidP="00384A65">
            <w:pPr>
              <w:spacing w:before="60" w:after="60"/>
              <w:jc w:val="center"/>
              <w:rPr>
                <w:sz w:val="22"/>
                <w:szCs w:val="22"/>
              </w:rPr>
            </w:pPr>
            <w:r w:rsidRPr="00384A65">
              <w:rPr>
                <w:sz w:val="22"/>
                <w:szCs w:val="22"/>
              </w:rPr>
              <w:t>S</w:t>
            </w:r>
            <w:r w:rsidR="00384A65" w:rsidRPr="00384A65">
              <w:rPr>
                <w:sz w:val="22"/>
                <w:szCs w:val="22"/>
              </w:rPr>
              <w:t xml:space="preserve">ELLER </w:t>
            </w:r>
            <w:r w:rsidRPr="00384A65">
              <w:rPr>
                <w:sz w:val="22"/>
                <w:szCs w:val="22"/>
              </w:rPr>
              <w:t>CAO</w:t>
            </w:r>
          </w:p>
        </w:tc>
      </w:tr>
      <w:tr w:rsidR="002048D3" w:rsidRPr="00384A65" w14:paraId="14C1F840" w14:textId="77777777" w:rsidTr="007E7CA7">
        <w:trPr>
          <w:jc w:val="center"/>
        </w:trPr>
        <w:tc>
          <w:tcPr>
            <w:tcW w:w="2660" w:type="dxa"/>
            <w:vAlign w:val="center"/>
          </w:tcPr>
          <w:p w14:paraId="14C1F83E" w14:textId="77777777" w:rsidR="00232F1E" w:rsidRPr="00384A65" w:rsidRDefault="002048D3" w:rsidP="00384A65">
            <w:pPr>
              <w:spacing w:before="60" w:after="60"/>
              <w:jc w:val="center"/>
              <w:rPr>
                <w:sz w:val="22"/>
                <w:szCs w:val="22"/>
              </w:rPr>
            </w:pPr>
            <w:r w:rsidRPr="00384A65">
              <w:rPr>
                <w:sz w:val="22"/>
                <w:szCs w:val="22"/>
              </w:rPr>
              <w:t>Numeric</w:t>
            </w:r>
          </w:p>
        </w:tc>
        <w:tc>
          <w:tcPr>
            <w:tcW w:w="2160" w:type="dxa"/>
            <w:vAlign w:val="center"/>
          </w:tcPr>
          <w:p w14:paraId="14C1F83F" w14:textId="77777777" w:rsidR="00232F1E" w:rsidRPr="00384A65" w:rsidRDefault="002048D3" w:rsidP="00384A65">
            <w:pPr>
              <w:spacing w:before="60" w:after="60"/>
              <w:jc w:val="center"/>
              <w:rPr>
                <w:sz w:val="22"/>
                <w:szCs w:val="22"/>
              </w:rPr>
            </w:pPr>
            <w:r w:rsidRPr="00384A65">
              <w:rPr>
                <w:sz w:val="22"/>
                <w:szCs w:val="22"/>
              </w:rPr>
              <w:t>GSA</w:t>
            </w:r>
          </w:p>
        </w:tc>
      </w:tr>
      <w:tr w:rsidR="002048D3" w:rsidRPr="00384A65" w14:paraId="14C1F843" w14:textId="77777777" w:rsidTr="007E7CA7">
        <w:trPr>
          <w:jc w:val="center"/>
        </w:trPr>
        <w:tc>
          <w:tcPr>
            <w:tcW w:w="2660" w:type="dxa"/>
            <w:vAlign w:val="center"/>
          </w:tcPr>
          <w:p w14:paraId="14C1F841" w14:textId="77777777" w:rsidR="00232F1E" w:rsidRPr="00384A65" w:rsidRDefault="002048D3" w:rsidP="00384A65">
            <w:pPr>
              <w:spacing w:before="60" w:after="60"/>
              <w:jc w:val="center"/>
              <w:rPr>
                <w:sz w:val="22"/>
                <w:szCs w:val="22"/>
              </w:rPr>
            </w:pPr>
            <w:r w:rsidRPr="00384A65">
              <w:rPr>
                <w:sz w:val="22"/>
                <w:szCs w:val="22"/>
              </w:rPr>
              <w:t>F</w:t>
            </w:r>
          </w:p>
        </w:tc>
        <w:tc>
          <w:tcPr>
            <w:tcW w:w="2160" w:type="dxa"/>
            <w:vAlign w:val="center"/>
          </w:tcPr>
          <w:p w14:paraId="14C1F842" w14:textId="77777777" w:rsidR="00232F1E" w:rsidRPr="00384A65" w:rsidRDefault="002048D3" w:rsidP="00384A65">
            <w:pPr>
              <w:spacing w:before="60" w:after="60"/>
              <w:jc w:val="center"/>
              <w:rPr>
                <w:sz w:val="22"/>
                <w:szCs w:val="22"/>
              </w:rPr>
            </w:pPr>
            <w:r w:rsidRPr="00384A65">
              <w:rPr>
                <w:sz w:val="22"/>
                <w:szCs w:val="22"/>
              </w:rPr>
              <w:t>DFAS-</w:t>
            </w:r>
            <w:r w:rsidRPr="00384A65">
              <w:rPr>
                <w:rFonts w:cs="Arial"/>
                <w:sz w:val="22"/>
                <w:szCs w:val="22"/>
              </w:rPr>
              <w:t>CO</w:t>
            </w:r>
          </w:p>
        </w:tc>
      </w:tr>
      <w:tr w:rsidR="002048D3" w:rsidRPr="00384A65" w14:paraId="14C1F846" w14:textId="77777777" w:rsidTr="007E7CA7">
        <w:trPr>
          <w:jc w:val="center"/>
        </w:trPr>
        <w:tc>
          <w:tcPr>
            <w:tcW w:w="2660" w:type="dxa"/>
            <w:vAlign w:val="center"/>
          </w:tcPr>
          <w:p w14:paraId="14C1F844" w14:textId="77777777" w:rsidR="00232F1E" w:rsidRPr="00384A65" w:rsidRDefault="002048D3" w:rsidP="00384A65">
            <w:pPr>
              <w:spacing w:before="60" w:after="60"/>
              <w:jc w:val="center"/>
              <w:rPr>
                <w:sz w:val="22"/>
                <w:szCs w:val="22"/>
              </w:rPr>
            </w:pPr>
            <w:r w:rsidRPr="00384A65">
              <w:rPr>
                <w:sz w:val="22"/>
                <w:szCs w:val="22"/>
              </w:rPr>
              <w:t>M</w:t>
            </w:r>
          </w:p>
        </w:tc>
        <w:tc>
          <w:tcPr>
            <w:tcW w:w="2160" w:type="dxa"/>
            <w:vAlign w:val="center"/>
          </w:tcPr>
          <w:p w14:paraId="14C1F845" w14:textId="77777777" w:rsidR="00232F1E" w:rsidRPr="00384A65" w:rsidRDefault="002048D3" w:rsidP="00384A65">
            <w:pPr>
              <w:spacing w:before="60" w:after="60"/>
              <w:jc w:val="center"/>
              <w:rPr>
                <w:sz w:val="22"/>
                <w:szCs w:val="22"/>
              </w:rPr>
            </w:pPr>
            <w:r w:rsidRPr="00384A65">
              <w:rPr>
                <w:sz w:val="22"/>
                <w:szCs w:val="22"/>
              </w:rPr>
              <w:t>DFAS-CL</w:t>
            </w:r>
          </w:p>
        </w:tc>
      </w:tr>
      <w:tr w:rsidR="002048D3" w:rsidRPr="00384A65" w14:paraId="14C1F849" w14:textId="77777777" w:rsidTr="007E7CA7">
        <w:trPr>
          <w:jc w:val="center"/>
        </w:trPr>
        <w:tc>
          <w:tcPr>
            <w:tcW w:w="2660" w:type="dxa"/>
            <w:vAlign w:val="center"/>
          </w:tcPr>
          <w:p w14:paraId="14C1F847" w14:textId="77777777" w:rsidR="00232F1E" w:rsidRPr="00384A65" w:rsidRDefault="002048D3" w:rsidP="00384A65">
            <w:pPr>
              <w:spacing w:before="60" w:after="60"/>
              <w:jc w:val="center"/>
              <w:rPr>
                <w:sz w:val="22"/>
                <w:szCs w:val="22"/>
              </w:rPr>
            </w:pPr>
            <w:r w:rsidRPr="00384A65">
              <w:rPr>
                <w:sz w:val="22"/>
                <w:szCs w:val="22"/>
              </w:rPr>
              <w:t>N</w:t>
            </w:r>
          </w:p>
        </w:tc>
        <w:tc>
          <w:tcPr>
            <w:tcW w:w="2160" w:type="dxa"/>
            <w:vAlign w:val="center"/>
          </w:tcPr>
          <w:p w14:paraId="14C1F848" w14:textId="77777777" w:rsidR="00232F1E" w:rsidRPr="00384A65" w:rsidRDefault="002048D3" w:rsidP="00384A65">
            <w:pPr>
              <w:spacing w:before="60" w:after="60"/>
              <w:jc w:val="center"/>
              <w:rPr>
                <w:sz w:val="22"/>
                <w:szCs w:val="22"/>
              </w:rPr>
            </w:pPr>
            <w:r w:rsidRPr="00384A65">
              <w:rPr>
                <w:sz w:val="22"/>
                <w:szCs w:val="22"/>
              </w:rPr>
              <w:t>DFAS-CL</w:t>
            </w:r>
          </w:p>
        </w:tc>
      </w:tr>
      <w:tr w:rsidR="002048D3" w:rsidRPr="00384A65" w14:paraId="14C1F84C" w14:textId="77777777" w:rsidTr="007E7CA7">
        <w:trPr>
          <w:jc w:val="center"/>
        </w:trPr>
        <w:tc>
          <w:tcPr>
            <w:tcW w:w="2660" w:type="dxa"/>
            <w:vAlign w:val="center"/>
          </w:tcPr>
          <w:p w14:paraId="14C1F84A" w14:textId="77777777" w:rsidR="00232F1E" w:rsidRPr="00384A65" w:rsidRDefault="002048D3" w:rsidP="00384A65">
            <w:pPr>
              <w:spacing w:before="60" w:after="60"/>
              <w:jc w:val="center"/>
              <w:rPr>
                <w:sz w:val="22"/>
                <w:szCs w:val="22"/>
              </w:rPr>
            </w:pPr>
            <w:r w:rsidRPr="00384A65">
              <w:rPr>
                <w:sz w:val="22"/>
                <w:szCs w:val="22"/>
              </w:rPr>
              <w:t>Other</w:t>
            </w:r>
          </w:p>
        </w:tc>
        <w:tc>
          <w:tcPr>
            <w:tcW w:w="2160" w:type="dxa"/>
            <w:vAlign w:val="center"/>
          </w:tcPr>
          <w:p w14:paraId="14C1F84B" w14:textId="77777777" w:rsidR="00232F1E" w:rsidRPr="00384A65" w:rsidRDefault="002048D3" w:rsidP="00384A65">
            <w:pPr>
              <w:spacing w:before="60" w:after="60"/>
              <w:jc w:val="center"/>
              <w:rPr>
                <w:sz w:val="22"/>
                <w:szCs w:val="22"/>
              </w:rPr>
            </w:pPr>
            <w:r w:rsidRPr="00384A65">
              <w:rPr>
                <w:sz w:val="22"/>
                <w:szCs w:val="22"/>
              </w:rPr>
              <w:t>DFAS-IN</w:t>
            </w:r>
          </w:p>
        </w:tc>
      </w:tr>
    </w:tbl>
    <w:p w14:paraId="14C1F84D" w14:textId="77777777" w:rsidR="00232F1E" w:rsidRDefault="00232F1E" w:rsidP="00653DA6">
      <w:pPr>
        <w:tabs>
          <w:tab w:val="left" w:pos="540"/>
          <w:tab w:val="left" w:pos="1080"/>
          <w:tab w:val="left" w:pos="1620"/>
          <w:tab w:val="left" w:pos="2160"/>
        </w:tabs>
      </w:pPr>
    </w:p>
    <w:p w14:paraId="14C1F84E" w14:textId="020CCACA" w:rsidR="002048D3" w:rsidRPr="00E82764" w:rsidRDefault="00D776C0" w:rsidP="00FD6E7A">
      <w:pPr>
        <w:tabs>
          <w:tab w:val="left" w:pos="540"/>
          <w:tab w:val="left" w:pos="1080"/>
          <w:tab w:val="left" w:pos="1620"/>
          <w:tab w:val="left" w:pos="2160"/>
        </w:tabs>
        <w:spacing w:after="240"/>
      </w:pPr>
      <w:r>
        <w:tab/>
      </w:r>
      <w:r w:rsidR="002048D3" w:rsidRPr="00E82764">
        <w:t xml:space="preserve">C5.4.3.  </w:t>
      </w:r>
      <w:r w:rsidR="002048D3" w:rsidRPr="00E82764">
        <w:rPr>
          <w:u w:val="single"/>
        </w:rPr>
        <w:t xml:space="preserve">Buyer </w:t>
      </w:r>
      <w:r w:rsidR="00BF73F4" w:rsidRPr="00E82764">
        <w:rPr>
          <w:u w:val="single"/>
        </w:rPr>
        <w:t>Central Accounts Offices</w:t>
      </w:r>
      <w:r w:rsidR="002048D3" w:rsidRPr="00E82764">
        <w:t xml:space="preserve">.  Buyer CAOs are responsible for </w:t>
      </w:r>
      <w:proofErr w:type="spellStart"/>
      <w:r w:rsidR="002048D3" w:rsidRPr="00E82764">
        <w:t>interfund</w:t>
      </w:r>
      <w:proofErr w:type="spellEnd"/>
      <w:r w:rsidR="002048D3" w:rsidRPr="00E82764">
        <w:t xml:space="preserve"> bill clearance and report, to the Treasury Department, buyer adjustments of the disbursement side of seller reported </w:t>
      </w:r>
      <w:proofErr w:type="spellStart"/>
      <w:r w:rsidR="002048D3" w:rsidRPr="00E82764">
        <w:t>interfund</w:t>
      </w:r>
      <w:proofErr w:type="spellEnd"/>
      <w:r w:rsidR="002048D3" w:rsidRPr="00E82764">
        <w:t xml:space="preserve"> transactions.  Neither buyers nor their CAOs can directly or indirectly</w:t>
      </w:r>
      <w:r w:rsidR="006D16C2">
        <w:t xml:space="preserve"> adjust</w:t>
      </w:r>
      <w:r w:rsidR="002048D3" w:rsidRPr="00E82764">
        <w:t xml:space="preserve"> the reimbursement side of </w:t>
      </w:r>
      <w:proofErr w:type="spellStart"/>
      <w:r w:rsidR="002048D3" w:rsidRPr="00E82764">
        <w:t>interfund</w:t>
      </w:r>
      <w:proofErr w:type="spellEnd"/>
      <w:r w:rsidR="002048D3" w:rsidRPr="00E82764">
        <w:t xml:space="preserve"> transactions reported by seller CAOs.  Buyer CAO </w:t>
      </w:r>
      <w:proofErr w:type="spellStart"/>
      <w:r w:rsidR="002048D3" w:rsidRPr="00E82764">
        <w:t>interfund</w:t>
      </w:r>
      <w:proofErr w:type="spellEnd"/>
      <w:r w:rsidR="002048D3" w:rsidRPr="00E82764">
        <w:t xml:space="preserve"> bill responsibilities are determined by the appropriation disbursed</w:t>
      </w:r>
      <w:r w:rsidR="00264BDC">
        <w:t xml:space="preserve"> </w:t>
      </w:r>
      <w:r w:rsidR="006D16C2">
        <w:t>according to Table C5.T2.</w:t>
      </w:r>
    </w:p>
    <w:p w14:paraId="14C1F84F" w14:textId="77777777" w:rsidR="00232F1E" w:rsidRDefault="002048D3" w:rsidP="00384A65">
      <w:pPr>
        <w:tabs>
          <w:tab w:val="left" w:pos="540"/>
          <w:tab w:val="left" w:pos="1080"/>
          <w:tab w:val="left" w:pos="1620"/>
          <w:tab w:val="left" w:pos="2160"/>
        </w:tabs>
        <w:spacing w:after="120"/>
        <w:jc w:val="center"/>
        <w:rPr>
          <w:u w:val="single"/>
        </w:rPr>
      </w:pPr>
      <w:r w:rsidRPr="00E82764">
        <w:lastRenderedPageBreak/>
        <w:t xml:space="preserve">Table C5.T2.  </w:t>
      </w:r>
      <w:r w:rsidRPr="00E82764">
        <w:rPr>
          <w:u w:val="single"/>
        </w:rPr>
        <w:t>Buyer CAO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070"/>
        <w:gridCol w:w="2239"/>
        <w:gridCol w:w="1440"/>
      </w:tblGrid>
      <w:tr w:rsidR="002048D3" w:rsidRPr="00384A65" w14:paraId="14C1F854" w14:textId="77777777" w:rsidTr="00384A65">
        <w:trPr>
          <w:cantSplit/>
          <w:tblHeader/>
          <w:jc w:val="center"/>
        </w:trPr>
        <w:tc>
          <w:tcPr>
            <w:tcW w:w="1170" w:type="dxa"/>
          </w:tcPr>
          <w:p w14:paraId="14C1F850" w14:textId="77777777" w:rsidR="00232F1E" w:rsidRPr="00384A65" w:rsidRDefault="002048D3" w:rsidP="00384A65">
            <w:pPr>
              <w:spacing w:before="60" w:after="60"/>
              <w:jc w:val="center"/>
            </w:pPr>
            <w:r w:rsidRPr="00384A65">
              <w:t>I</w:t>
            </w:r>
            <w:r w:rsidR="00384A65" w:rsidRPr="00384A65">
              <w:t>NDEX</w:t>
            </w:r>
          </w:p>
        </w:tc>
        <w:tc>
          <w:tcPr>
            <w:tcW w:w="2070" w:type="dxa"/>
          </w:tcPr>
          <w:p w14:paraId="14C1F851" w14:textId="77777777" w:rsidR="00232F1E" w:rsidRPr="00384A65" w:rsidRDefault="00384A65" w:rsidP="00384A65">
            <w:pPr>
              <w:spacing w:before="60" w:after="60"/>
              <w:jc w:val="center"/>
            </w:pPr>
            <w:r w:rsidRPr="00384A65">
              <w:t>TREASURY SYMBOL</w:t>
            </w:r>
          </w:p>
        </w:tc>
        <w:tc>
          <w:tcPr>
            <w:tcW w:w="2239" w:type="dxa"/>
          </w:tcPr>
          <w:p w14:paraId="14C1F852" w14:textId="5F93ED1F" w:rsidR="00232F1E" w:rsidRPr="00783EC1" w:rsidRDefault="00F96C37" w:rsidP="00F96C37">
            <w:pPr>
              <w:spacing w:before="60" w:after="60"/>
              <w:jc w:val="center"/>
            </w:pPr>
            <w:r w:rsidRPr="00783EC1">
              <w:t>SUB-ALLOCATION HOLDER IDENTIFIER</w:t>
            </w:r>
          </w:p>
        </w:tc>
        <w:tc>
          <w:tcPr>
            <w:tcW w:w="1440" w:type="dxa"/>
          </w:tcPr>
          <w:p w14:paraId="14C1F853" w14:textId="77777777" w:rsidR="00232F1E" w:rsidRPr="00384A65" w:rsidRDefault="002048D3" w:rsidP="00384A65">
            <w:pPr>
              <w:spacing w:before="60" w:after="60"/>
              <w:jc w:val="center"/>
            </w:pPr>
            <w:r w:rsidRPr="00384A65">
              <w:t>B</w:t>
            </w:r>
            <w:r w:rsidR="00384A65" w:rsidRPr="00384A65">
              <w:t xml:space="preserve">UYER </w:t>
            </w:r>
            <w:r w:rsidRPr="00384A65">
              <w:t>CAO</w:t>
            </w:r>
          </w:p>
        </w:tc>
      </w:tr>
      <w:tr w:rsidR="002048D3" w:rsidRPr="00E82764" w14:paraId="14C1F859" w14:textId="77777777" w:rsidTr="00F3050C">
        <w:trPr>
          <w:jc w:val="center"/>
        </w:trPr>
        <w:tc>
          <w:tcPr>
            <w:tcW w:w="1170" w:type="dxa"/>
          </w:tcPr>
          <w:p w14:paraId="14C1F855" w14:textId="77777777" w:rsidR="00232F1E" w:rsidRDefault="002048D3" w:rsidP="00384A65">
            <w:pPr>
              <w:spacing w:before="60" w:after="60"/>
              <w:jc w:val="center"/>
            </w:pPr>
            <w:r w:rsidRPr="00E82764">
              <w:t>17</w:t>
            </w:r>
          </w:p>
        </w:tc>
        <w:tc>
          <w:tcPr>
            <w:tcW w:w="2070" w:type="dxa"/>
          </w:tcPr>
          <w:p w14:paraId="14C1F856" w14:textId="77777777" w:rsidR="00232F1E" w:rsidRDefault="002048D3" w:rsidP="00384A65">
            <w:pPr>
              <w:spacing w:before="60" w:after="60"/>
              <w:jc w:val="center"/>
            </w:pPr>
            <w:r w:rsidRPr="00E82764">
              <w:t>All</w:t>
            </w:r>
          </w:p>
        </w:tc>
        <w:tc>
          <w:tcPr>
            <w:tcW w:w="2239" w:type="dxa"/>
          </w:tcPr>
          <w:p w14:paraId="14C1F857" w14:textId="77777777" w:rsidR="00232F1E" w:rsidRDefault="002048D3" w:rsidP="00384A65">
            <w:pPr>
              <w:spacing w:before="60" w:after="60"/>
              <w:jc w:val="center"/>
            </w:pPr>
            <w:r w:rsidRPr="00E82764">
              <w:t>All</w:t>
            </w:r>
          </w:p>
        </w:tc>
        <w:tc>
          <w:tcPr>
            <w:tcW w:w="1440" w:type="dxa"/>
          </w:tcPr>
          <w:p w14:paraId="14C1F858" w14:textId="77777777" w:rsidR="00232F1E" w:rsidRDefault="002048D3" w:rsidP="00384A65">
            <w:pPr>
              <w:spacing w:before="60" w:after="60"/>
            </w:pPr>
            <w:r w:rsidRPr="00E82764">
              <w:t>DFAS-CL</w:t>
            </w:r>
          </w:p>
        </w:tc>
      </w:tr>
      <w:tr w:rsidR="002048D3" w:rsidRPr="00E82764" w14:paraId="14C1F85E" w14:textId="77777777" w:rsidTr="00F3050C">
        <w:trPr>
          <w:jc w:val="center"/>
        </w:trPr>
        <w:tc>
          <w:tcPr>
            <w:tcW w:w="1170" w:type="dxa"/>
          </w:tcPr>
          <w:p w14:paraId="14C1F85A" w14:textId="77777777" w:rsidR="00232F1E" w:rsidRDefault="002048D3" w:rsidP="00384A65">
            <w:pPr>
              <w:spacing w:before="60" w:after="60"/>
              <w:jc w:val="center"/>
            </w:pPr>
            <w:r w:rsidRPr="00E82764">
              <w:t>21</w:t>
            </w:r>
          </w:p>
        </w:tc>
        <w:tc>
          <w:tcPr>
            <w:tcW w:w="2070" w:type="dxa"/>
          </w:tcPr>
          <w:p w14:paraId="14C1F85B" w14:textId="77777777" w:rsidR="00232F1E" w:rsidRDefault="002048D3" w:rsidP="00384A65">
            <w:pPr>
              <w:spacing w:before="60" w:after="60"/>
              <w:jc w:val="center"/>
            </w:pPr>
            <w:r w:rsidRPr="00E82764">
              <w:t>All</w:t>
            </w:r>
          </w:p>
        </w:tc>
        <w:tc>
          <w:tcPr>
            <w:tcW w:w="2239" w:type="dxa"/>
          </w:tcPr>
          <w:p w14:paraId="14C1F85C" w14:textId="77777777" w:rsidR="00232F1E" w:rsidRDefault="002048D3" w:rsidP="00384A65">
            <w:pPr>
              <w:spacing w:before="60" w:after="60"/>
              <w:jc w:val="center"/>
            </w:pPr>
            <w:r w:rsidRPr="00E82764">
              <w:t>All</w:t>
            </w:r>
          </w:p>
        </w:tc>
        <w:tc>
          <w:tcPr>
            <w:tcW w:w="1440" w:type="dxa"/>
          </w:tcPr>
          <w:p w14:paraId="14C1F85D" w14:textId="77777777" w:rsidR="00232F1E" w:rsidRDefault="002048D3" w:rsidP="00384A65">
            <w:pPr>
              <w:spacing w:before="60" w:after="60"/>
            </w:pPr>
            <w:r w:rsidRPr="00E82764">
              <w:t>DFAS-IN</w:t>
            </w:r>
          </w:p>
        </w:tc>
      </w:tr>
      <w:tr w:rsidR="002048D3" w:rsidRPr="00E82764" w14:paraId="14C1F863" w14:textId="77777777" w:rsidTr="00F3050C">
        <w:trPr>
          <w:jc w:val="center"/>
        </w:trPr>
        <w:tc>
          <w:tcPr>
            <w:tcW w:w="1170" w:type="dxa"/>
          </w:tcPr>
          <w:p w14:paraId="14C1F85F" w14:textId="77777777" w:rsidR="00232F1E" w:rsidRDefault="002048D3" w:rsidP="00384A65">
            <w:pPr>
              <w:spacing w:before="60" w:after="60"/>
              <w:jc w:val="center"/>
            </w:pPr>
            <w:r w:rsidRPr="00E82764">
              <w:t>57</w:t>
            </w:r>
          </w:p>
        </w:tc>
        <w:tc>
          <w:tcPr>
            <w:tcW w:w="2070" w:type="dxa"/>
          </w:tcPr>
          <w:p w14:paraId="14C1F860" w14:textId="77777777" w:rsidR="00232F1E" w:rsidRDefault="002048D3" w:rsidP="00384A65">
            <w:pPr>
              <w:spacing w:before="60" w:after="60"/>
              <w:jc w:val="center"/>
            </w:pPr>
            <w:r w:rsidRPr="00E82764">
              <w:t>All</w:t>
            </w:r>
          </w:p>
        </w:tc>
        <w:tc>
          <w:tcPr>
            <w:tcW w:w="2239" w:type="dxa"/>
          </w:tcPr>
          <w:p w14:paraId="14C1F861" w14:textId="77777777" w:rsidR="00232F1E" w:rsidRDefault="002048D3" w:rsidP="00384A65">
            <w:pPr>
              <w:spacing w:before="60" w:after="60"/>
              <w:jc w:val="center"/>
            </w:pPr>
            <w:r w:rsidRPr="00E82764">
              <w:t>All</w:t>
            </w:r>
          </w:p>
        </w:tc>
        <w:tc>
          <w:tcPr>
            <w:tcW w:w="1440" w:type="dxa"/>
          </w:tcPr>
          <w:p w14:paraId="14C1F862" w14:textId="77777777" w:rsidR="00232F1E" w:rsidRDefault="002048D3" w:rsidP="00384A65">
            <w:pPr>
              <w:spacing w:before="60" w:after="60"/>
            </w:pPr>
            <w:r w:rsidRPr="00E82764">
              <w:t>DFAS-CO</w:t>
            </w:r>
          </w:p>
        </w:tc>
      </w:tr>
      <w:tr w:rsidR="002048D3" w:rsidRPr="00E82764" w14:paraId="14C1F868" w14:textId="77777777" w:rsidTr="00F3050C">
        <w:trPr>
          <w:jc w:val="center"/>
        </w:trPr>
        <w:tc>
          <w:tcPr>
            <w:tcW w:w="1170" w:type="dxa"/>
          </w:tcPr>
          <w:p w14:paraId="14C1F864" w14:textId="77777777" w:rsidR="00232F1E" w:rsidRDefault="002048D3" w:rsidP="00384A65">
            <w:pPr>
              <w:spacing w:before="60" w:after="60"/>
              <w:jc w:val="center"/>
            </w:pPr>
            <w:r w:rsidRPr="00E82764">
              <w:t>97</w:t>
            </w:r>
          </w:p>
        </w:tc>
        <w:tc>
          <w:tcPr>
            <w:tcW w:w="2070" w:type="dxa"/>
          </w:tcPr>
          <w:p w14:paraId="14C1F865" w14:textId="77777777" w:rsidR="00232F1E" w:rsidRDefault="002048D3" w:rsidP="00384A65">
            <w:pPr>
              <w:spacing w:before="60" w:after="60"/>
              <w:jc w:val="center"/>
            </w:pPr>
            <w:r w:rsidRPr="00E82764">
              <w:t>NOT 4930</w:t>
            </w:r>
          </w:p>
        </w:tc>
        <w:tc>
          <w:tcPr>
            <w:tcW w:w="2239" w:type="dxa"/>
          </w:tcPr>
          <w:p w14:paraId="14C1F866" w14:textId="77777777" w:rsidR="00232F1E" w:rsidRDefault="002048D3" w:rsidP="00384A65">
            <w:pPr>
              <w:spacing w:before="60" w:after="60"/>
              <w:jc w:val="center"/>
            </w:pPr>
            <w:r w:rsidRPr="00E82764">
              <w:t>All</w:t>
            </w:r>
          </w:p>
        </w:tc>
        <w:tc>
          <w:tcPr>
            <w:tcW w:w="1440" w:type="dxa"/>
          </w:tcPr>
          <w:p w14:paraId="14C1F867" w14:textId="77777777" w:rsidR="00232F1E" w:rsidRDefault="002048D3" w:rsidP="00384A65">
            <w:pPr>
              <w:spacing w:before="60" w:after="60"/>
            </w:pPr>
            <w:r w:rsidRPr="00E82764">
              <w:t>DFAS-IN</w:t>
            </w:r>
          </w:p>
        </w:tc>
      </w:tr>
      <w:tr w:rsidR="002048D3" w:rsidRPr="00E82764" w14:paraId="14C1F86D" w14:textId="77777777" w:rsidTr="00F3050C">
        <w:trPr>
          <w:jc w:val="center"/>
        </w:trPr>
        <w:tc>
          <w:tcPr>
            <w:tcW w:w="1170" w:type="dxa"/>
          </w:tcPr>
          <w:p w14:paraId="14C1F869" w14:textId="77777777" w:rsidR="00232F1E" w:rsidRDefault="002048D3" w:rsidP="00384A65">
            <w:pPr>
              <w:spacing w:before="60" w:after="60"/>
              <w:jc w:val="center"/>
            </w:pPr>
            <w:r w:rsidRPr="00E82764">
              <w:t>97</w:t>
            </w:r>
          </w:p>
        </w:tc>
        <w:tc>
          <w:tcPr>
            <w:tcW w:w="2070" w:type="dxa"/>
          </w:tcPr>
          <w:p w14:paraId="14C1F86A" w14:textId="77777777" w:rsidR="00232F1E" w:rsidRDefault="002048D3" w:rsidP="00384A65">
            <w:pPr>
              <w:spacing w:before="60" w:after="60"/>
              <w:jc w:val="center"/>
            </w:pPr>
            <w:r w:rsidRPr="00E82764">
              <w:t>4930</w:t>
            </w:r>
          </w:p>
        </w:tc>
        <w:tc>
          <w:tcPr>
            <w:tcW w:w="2239" w:type="dxa"/>
          </w:tcPr>
          <w:p w14:paraId="14C1F86B" w14:textId="77777777" w:rsidR="00232F1E" w:rsidRDefault="002048D3" w:rsidP="00384A65">
            <w:pPr>
              <w:spacing w:before="60" w:after="60"/>
              <w:jc w:val="center"/>
            </w:pPr>
            <w:r w:rsidRPr="00E82764">
              <w:t>All</w:t>
            </w:r>
          </w:p>
        </w:tc>
        <w:tc>
          <w:tcPr>
            <w:tcW w:w="1440" w:type="dxa"/>
          </w:tcPr>
          <w:p w14:paraId="14C1F86C" w14:textId="77777777" w:rsidR="00232F1E" w:rsidRDefault="002048D3" w:rsidP="00384A65">
            <w:pPr>
              <w:spacing w:before="60" w:after="60"/>
            </w:pPr>
            <w:r w:rsidRPr="00E82764">
              <w:t>DFAS-IN</w:t>
            </w:r>
          </w:p>
        </w:tc>
      </w:tr>
    </w:tbl>
    <w:p w14:paraId="14C1F86E" w14:textId="77777777" w:rsidR="002048D3" w:rsidRPr="00E82764" w:rsidRDefault="002048D3" w:rsidP="00FD6E7A">
      <w:pPr>
        <w:tabs>
          <w:tab w:val="left" w:pos="540"/>
          <w:tab w:val="left" w:pos="1080"/>
          <w:tab w:val="left" w:pos="1620"/>
          <w:tab w:val="left" w:pos="2160"/>
        </w:tabs>
        <w:spacing w:after="240"/>
      </w:pPr>
      <w:r w:rsidRPr="00E82764">
        <w:br/>
        <w:t xml:space="preserve">C5.5.  </w:t>
      </w:r>
      <w:r w:rsidRPr="00E82764">
        <w:rPr>
          <w:u w:val="single"/>
        </w:rPr>
        <w:t>INTERFUND REPORTS</w:t>
      </w:r>
    </w:p>
    <w:p w14:paraId="14C1F86F" w14:textId="2C02A970" w:rsidR="002048D3" w:rsidRPr="00E82764" w:rsidRDefault="002048D3" w:rsidP="00FD6E7A">
      <w:pPr>
        <w:tabs>
          <w:tab w:val="left" w:pos="540"/>
          <w:tab w:val="left" w:pos="1080"/>
          <w:tab w:val="left" w:pos="1620"/>
          <w:tab w:val="left" w:pos="2160"/>
        </w:tabs>
        <w:spacing w:after="240"/>
      </w:pPr>
      <w:r w:rsidRPr="00E82764">
        <w:tab/>
        <w:t xml:space="preserve">C5.5.1.  </w:t>
      </w:r>
      <w:r w:rsidRPr="00E82764">
        <w:rPr>
          <w:u w:val="single"/>
        </w:rPr>
        <w:t>Billing Office Reports</w:t>
      </w:r>
      <w:r w:rsidRPr="00E82764">
        <w:t xml:space="preserve">.  CAOs </w:t>
      </w:r>
      <w:r w:rsidR="00555984">
        <w:t>will</w:t>
      </w:r>
      <w:r w:rsidRPr="00E82764">
        <w:t xml:space="preserve"> base </w:t>
      </w:r>
      <w:proofErr w:type="spellStart"/>
      <w:r w:rsidRPr="00E82764">
        <w:t>interfund</w:t>
      </w:r>
      <w:proofErr w:type="spellEnd"/>
      <w:r w:rsidRPr="00E82764">
        <w:t xml:space="preserve"> reimbursements upon summary billing records received from </w:t>
      </w:r>
      <w:r w:rsidR="004F5F35">
        <w:t>DAAS</w:t>
      </w:r>
      <w:r w:rsidRPr="00E82764">
        <w:t xml:space="preserve"> for </w:t>
      </w:r>
      <w:proofErr w:type="spellStart"/>
      <w:r w:rsidRPr="00E82764">
        <w:t>interfund</w:t>
      </w:r>
      <w:proofErr w:type="spellEnd"/>
      <w:r w:rsidRPr="00E82764">
        <w:t xml:space="preserve"> bills passing </w:t>
      </w:r>
      <w:r w:rsidRPr="00AD0B52">
        <w:rPr>
          <w:rFonts w:cs="Arial"/>
          <w:szCs w:val="24"/>
        </w:rPr>
        <w:t>DLMS</w:t>
      </w:r>
      <w:r w:rsidRPr="00E82764">
        <w:t xml:space="preserve"> prescribed </w:t>
      </w:r>
      <w:r w:rsidR="004F5F35">
        <w:t>DAAS</w:t>
      </w:r>
      <w:r w:rsidRPr="00E82764">
        <w:t xml:space="preserve"> edits.  Therefore, upon implementation of the revised seller </w:t>
      </w:r>
      <w:proofErr w:type="spellStart"/>
      <w:r w:rsidRPr="00E82764">
        <w:t>interfund</w:t>
      </w:r>
      <w:proofErr w:type="spellEnd"/>
      <w:r w:rsidRPr="00E82764">
        <w:t xml:space="preserve"> reporting procedures, </w:t>
      </w:r>
      <w:r w:rsidRPr="00AD0B52">
        <w:rPr>
          <w:rFonts w:cs="Arial"/>
          <w:szCs w:val="24"/>
        </w:rPr>
        <w:t>DLMS</w:t>
      </w:r>
      <w:r w:rsidRPr="00E82764">
        <w:t xml:space="preserve"> no longer requires sellers to forward </w:t>
      </w:r>
      <w:r w:rsidRPr="00470B8E">
        <w:t>DD Form 1400</w:t>
      </w:r>
      <w:r w:rsidRPr="00E82764">
        <w:t xml:space="preserve">, Statement of </w:t>
      </w:r>
      <w:proofErr w:type="spellStart"/>
      <w:r w:rsidRPr="00E82764">
        <w:t>Interfund</w:t>
      </w:r>
      <w:proofErr w:type="spellEnd"/>
      <w:r w:rsidRPr="00E82764">
        <w:t xml:space="preserve"> Transactions or equivalent reports to their accounts office.  However, CAOs may continue to require their reporting activities to submit seller </w:t>
      </w:r>
      <w:proofErr w:type="spellStart"/>
      <w:r w:rsidRPr="00E82764">
        <w:t>interfund</w:t>
      </w:r>
      <w:proofErr w:type="spellEnd"/>
      <w:r w:rsidRPr="00E82764">
        <w:t xml:space="preserve"> reports for a transition period determined by the accounts office.</w:t>
      </w:r>
    </w:p>
    <w:p w14:paraId="14C1F870" w14:textId="21C4FCAF" w:rsidR="002048D3" w:rsidRPr="00E82764" w:rsidRDefault="002048D3" w:rsidP="00FD6E7A">
      <w:pPr>
        <w:tabs>
          <w:tab w:val="left" w:pos="540"/>
          <w:tab w:val="left" w:pos="1080"/>
          <w:tab w:val="left" w:pos="1620"/>
          <w:tab w:val="left" w:pos="2160"/>
        </w:tabs>
        <w:spacing w:after="240"/>
      </w:pPr>
      <w:r w:rsidRPr="00E82764">
        <w:tab/>
        <w:t xml:space="preserve">C5.5.2.  </w:t>
      </w:r>
      <w:r w:rsidRPr="00E82764">
        <w:rPr>
          <w:u w:val="single"/>
        </w:rPr>
        <w:t>Billed Office Reports</w:t>
      </w:r>
      <w:r w:rsidRPr="00E82764">
        <w:t xml:space="preserve">.  </w:t>
      </w:r>
      <w:r w:rsidR="00DB63A9">
        <w:t>Each b</w:t>
      </w:r>
      <w:r w:rsidRPr="00E82764">
        <w:t xml:space="preserve">illed office </w:t>
      </w:r>
      <w:r w:rsidR="00555984">
        <w:t>will</w:t>
      </w:r>
      <w:r w:rsidRPr="00E82764">
        <w:t xml:space="preserve"> report</w:t>
      </w:r>
      <w:r w:rsidR="007002A6">
        <w:t xml:space="preserve"> (i.e.,</w:t>
      </w:r>
      <w:r w:rsidRPr="00E82764">
        <w:t xml:space="preserve"> correct or otherwise clear</w:t>
      </w:r>
      <w:r w:rsidR="007002A6">
        <w:t>)</w:t>
      </w:r>
      <w:r w:rsidRPr="00E82764">
        <w:t xml:space="preserve"> </w:t>
      </w:r>
      <w:proofErr w:type="spellStart"/>
      <w:r w:rsidRPr="00E82764">
        <w:t>interfund</w:t>
      </w:r>
      <w:proofErr w:type="spellEnd"/>
      <w:r w:rsidRPr="00E82764">
        <w:t xml:space="preserve"> disbursements charged to the office in accordance with procedures prescribed by </w:t>
      </w:r>
      <w:r w:rsidR="00DB63A9">
        <w:t>its</w:t>
      </w:r>
      <w:r w:rsidRPr="00E82764">
        <w:t xml:space="preserve"> Service or Agency.</w:t>
      </w:r>
    </w:p>
    <w:p w14:paraId="14C1F871" w14:textId="2308B69A" w:rsidR="002048D3" w:rsidRPr="00E82764" w:rsidRDefault="002048D3" w:rsidP="00FD6E7A">
      <w:pPr>
        <w:tabs>
          <w:tab w:val="left" w:pos="540"/>
          <w:tab w:val="left" w:pos="1080"/>
          <w:tab w:val="left" w:pos="1620"/>
          <w:tab w:val="left" w:pos="2160"/>
        </w:tabs>
        <w:spacing w:after="240"/>
      </w:pPr>
      <w:r w:rsidRPr="00E82764">
        <w:tab/>
        <w:t xml:space="preserve">C5.5.3.  </w:t>
      </w:r>
      <w:r w:rsidRPr="00E82764">
        <w:rPr>
          <w:u w:val="single"/>
        </w:rPr>
        <w:t>Department Level Reports</w:t>
      </w:r>
      <w:r w:rsidRPr="00E82764">
        <w:t xml:space="preserve">.  CAOs </w:t>
      </w:r>
      <w:r w:rsidR="00555984">
        <w:t>will</w:t>
      </w:r>
      <w:r w:rsidRPr="00E82764">
        <w:t xml:space="preserve"> consolidate </w:t>
      </w:r>
      <w:r w:rsidR="008A4FBB">
        <w:t>D</w:t>
      </w:r>
      <w:r w:rsidRPr="00E82764">
        <w:t xml:space="preserve">epartment level "Statement of </w:t>
      </w:r>
      <w:proofErr w:type="spellStart"/>
      <w:r w:rsidRPr="00E82764">
        <w:t>Interfund</w:t>
      </w:r>
      <w:proofErr w:type="spellEnd"/>
      <w:r w:rsidRPr="00E82764">
        <w:t xml:space="preserve"> Transactions" and prepare related reports from </w:t>
      </w:r>
      <w:proofErr w:type="spellStart"/>
      <w:r w:rsidRPr="00E82764">
        <w:t>interfund</w:t>
      </w:r>
      <w:proofErr w:type="spellEnd"/>
      <w:r w:rsidRPr="00E82764">
        <w:t xml:space="preserve"> reports received from billed offices and summary billing records validated by </w:t>
      </w:r>
      <w:r w:rsidR="004F5F35">
        <w:t>DAAS</w:t>
      </w:r>
      <w:r w:rsidRPr="00E82764">
        <w:t>.</w:t>
      </w:r>
    </w:p>
    <w:p w14:paraId="14C1F872" w14:textId="77777777" w:rsidR="002048D3" w:rsidRPr="00E82764" w:rsidRDefault="002048D3" w:rsidP="00FD6E7A">
      <w:pPr>
        <w:tabs>
          <w:tab w:val="left" w:pos="540"/>
          <w:tab w:val="left" w:pos="1080"/>
          <w:tab w:val="left" w:pos="1620"/>
          <w:tab w:val="left" w:pos="2160"/>
        </w:tabs>
        <w:spacing w:after="240"/>
        <w:outlineLvl w:val="0"/>
      </w:pPr>
      <w:r w:rsidRPr="00E82764">
        <w:t xml:space="preserve">C5.6.  </w:t>
      </w:r>
      <w:r w:rsidRPr="00E82764">
        <w:rPr>
          <w:u w:val="single"/>
        </w:rPr>
        <w:t>STATEMENT OF INTERFUND TRANSACTIONS</w:t>
      </w:r>
    </w:p>
    <w:p w14:paraId="14C1F873" w14:textId="77777777" w:rsidR="002048D3" w:rsidRPr="00E82764" w:rsidRDefault="002048D3" w:rsidP="00FD6E7A">
      <w:pPr>
        <w:tabs>
          <w:tab w:val="left" w:pos="540"/>
          <w:tab w:val="left" w:pos="1080"/>
          <w:tab w:val="left" w:pos="1620"/>
          <w:tab w:val="left" w:pos="2160"/>
        </w:tabs>
        <w:spacing w:after="240"/>
      </w:pPr>
      <w:r w:rsidRPr="00E82764">
        <w:tab/>
        <w:t xml:space="preserve">C5.6.1.  </w:t>
      </w:r>
      <w:r w:rsidRPr="00E82764">
        <w:rPr>
          <w:u w:val="single"/>
        </w:rPr>
        <w:t>Purpose and Reports Control Symbol</w:t>
      </w:r>
      <w:r w:rsidRPr="00E82764">
        <w:t xml:space="preserve">.  This section prescribes a monthly report on </w:t>
      </w:r>
      <w:proofErr w:type="spellStart"/>
      <w:r w:rsidRPr="00E82764">
        <w:t>interfund</w:t>
      </w:r>
      <w:proofErr w:type="spellEnd"/>
      <w:r w:rsidRPr="00E82764">
        <w:t xml:space="preserve"> transactions.  The </w:t>
      </w:r>
      <w:r w:rsidRPr="00E82764">
        <w:rPr>
          <w:rFonts w:cs="Arial"/>
          <w:szCs w:val="24"/>
        </w:rPr>
        <w:t>DD 1400</w:t>
      </w:r>
      <w:r w:rsidRPr="00E82764">
        <w:rPr>
          <w:rFonts w:cs="Arial"/>
          <w:b/>
          <w:i/>
          <w:szCs w:val="24"/>
        </w:rPr>
        <w:t xml:space="preserve"> “</w:t>
      </w:r>
      <w:r w:rsidRPr="00E82764">
        <w:t xml:space="preserve">Statement of </w:t>
      </w:r>
      <w:proofErr w:type="spellStart"/>
      <w:r w:rsidRPr="00E82764">
        <w:t>Interfund</w:t>
      </w:r>
      <w:proofErr w:type="spellEnd"/>
      <w:r w:rsidRPr="00E82764">
        <w:t xml:space="preserve"> Transactions” </w:t>
      </w:r>
      <w:r w:rsidRPr="00EE3B27">
        <w:t xml:space="preserve">provides </w:t>
      </w:r>
      <w:r w:rsidR="00B8067C">
        <w:t>OUSD(C)</w:t>
      </w:r>
      <w:r w:rsidR="00EE3B27">
        <w:t xml:space="preserve"> </w:t>
      </w:r>
      <w:r w:rsidRPr="00E82764">
        <w:t xml:space="preserve">with a summarized classification of receipts and outlays processed under the </w:t>
      </w:r>
      <w:proofErr w:type="spellStart"/>
      <w:r w:rsidRPr="00E82764">
        <w:t>interfund</w:t>
      </w:r>
      <w:proofErr w:type="spellEnd"/>
      <w:r w:rsidRPr="00E82764">
        <w:t xml:space="preserve"> billing system.</w:t>
      </w:r>
    </w:p>
    <w:p w14:paraId="14C1F874" w14:textId="77777777" w:rsidR="002048D3" w:rsidRPr="00E82764" w:rsidRDefault="002048D3" w:rsidP="00FD6E7A">
      <w:pPr>
        <w:tabs>
          <w:tab w:val="left" w:pos="540"/>
          <w:tab w:val="left" w:pos="1080"/>
          <w:tab w:val="left" w:pos="1620"/>
          <w:tab w:val="left" w:pos="2160"/>
        </w:tabs>
        <w:spacing w:after="240"/>
      </w:pPr>
      <w:r w:rsidRPr="00E82764">
        <w:tab/>
        <w:t xml:space="preserve">C5.6.2.  </w:t>
      </w:r>
      <w:r w:rsidRPr="00E82764">
        <w:rPr>
          <w:u w:val="single"/>
        </w:rPr>
        <w:t>Applicability and Scope</w:t>
      </w:r>
      <w:r w:rsidRPr="00E82764">
        <w:t xml:space="preserve">.  The provisions of this section apply to the DoD Components and to their disbursing officers (referred to collectively as “disbursing officers”).  It establishes the requirements and procedures for the preparation and submission of </w:t>
      </w:r>
      <w:proofErr w:type="spellStart"/>
      <w:r w:rsidRPr="00E82764">
        <w:t>interfund</w:t>
      </w:r>
      <w:proofErr w:type="spellEnd"/>
      <w:r w:rsidRPr="00E82764">
        <w:t xml:space="preserve"> transaction</w:t>
      </w:r>
      <w:r w:rsidR="00C40958">
        <w:t xml:space="preserve"> report</w:t>
      </w:r>
      <w:r w:rsidRPr="00E82764">
        <w:t>s.</w:t>
      </w:r>
    </w:p>
    <w:p w14:paraId="14C1F875" w14:textId="71070BD4" w:rsidR="002048D3" w:rsidRPr="00E82764" w:rsidRDefault="002048D3" w:rsidP="00FD6E7A">
      <w:pPr>
        <w:tabs>
          <w:tab w:val="left" w:pos="540"/>
          <w:tab w:val="left" w:pos="1080"/>
          <w:tab w:val="left" w:pos="1620"/>
          <w:tab w:val="left" w:pos="2160"/>
        </w:tabs>
        <w:spacing w:after="240"/>
      </w:pPr>
      <w:r w:rsidRPr="00E82764">
        <w:tab/>
        <w:t xml:space="preserve">C5.6.3.  </w:t>
      </w:r>
      <w:r w:rsidRPr="00E82764">
        <w:rPr>
          <w:u w:val="single"/>
        </w:rPr>
        <w:t>Report Form</w:t>
      </w:r>
      <w:r w:rsidRPr="00E82764">
        <w:t xml:space="preserve">.  The </w:t>
      </w:r>
      <w:r w:rsidR="00B8067C">
        <w:t>“</w:t>
      </w:r>
      <w:r w:rsidRPr="00E82764">
        <w:t xml:space="preserve">Statement of </w:t>
      </w:r>
      <w:proofErr w:type="spellStart"/>
      <w:r w:rsidRPr="00E82764">
        <w:t>Interfund</w:t>
      </w:r>
      <w:proofErr w:type="spellEnd"/>
      <w:r w:rsidRPr="00E82764">
        <w:t xml:space="preserve"> Transactions</w:t>
      </w:r>
      <w:r w:rsidR="00B8067C">
        <w:t>”</w:t>
      </w:r>
      <w:r w:rsidRPr="00E82764">
        <w:t xml:space="preserve"> must be prepared monthly and contain totals for each appropriation/</w:t>
      </w:r>
      <w:r w:rsidR="00F96C37" w:rsidRPr="00783EC1">
        <w:t>Sub-Allocation Holder Identifier</w:t>
      </w:r>
      <w:r w:rsidR="00F96C37" w:rsidRPr="00E82764">
        <w:t xml:space="preserve"> </w:t>
      </w:r>
      <w:r w:rsidRPr="00E82764">
        <w:t xml:space="preserve">charged and reimbursed, the reporting period, and identify the reporting office.  GSA </w:t>
      </w:r>
      <w:r w:rsidR="00555984">
        <w:t>will</w:t>
      </w:r>
      <w:r w:rsidRPr="00E82764">
        <w:t xml:space="preserve"> submit an equivalent “Statement of </w:t>
      </w:r>
      <w:proofErr w:type="spellStart"/>
      <w:r w:rsidRPr="00E82764">
        <w:rPr>
          <w:rFonts w:cs="Arial"/>
          <w:szCs w:val="24"/>
        </w:rPr>
        <w:t>Interfund</w:t>
      </w:r>
      <w:proofErr w:type="spellEnd"/>
      <w:r w:rsidRPr="00E82764">
        <w:t xml:space="preserve"> Transactions.”</w:t>
      </w:r>
    </w:p>
    <w:p w14:paraId="14C1F876" w14:textId="77777777" w:rsidR="002048D3" w:rsidRPr="00E82764" w:rsidRDefault="002048D3" w:rsidP="00FD6E7A">
      <w:pPr>
        <w:tabs>
          <w:tab w:val="left" w:pos="540"/>
          <w:tab w:val="left" w:pos="1080"/>
          <w:tab w:val="left" w:pos="1620"/>
          <w:tab w:val="left" w:pos="2160"/>
        </w:tabs>
        <w:spacing w:after="240"/>
      </w:pPr>
      <w:r w:rsidRPr="00E82764">
        <w:tab/>
        <w:t xml:space="preserve">C5.6.4.  </w:t>
      </w:r>
      <w:r w:rsidRPr="00E82764">
        <w:rPr>
          <w:u w:val="single"/>
        </w:rPr>
        <w:t>Frequency and Distribution</w:t>
      </w:r>
      <w:r w:rsidRPr="00E82764">
        <w:t xml:space="preserve">.  The “Statement of </w:t>
      </w:r>
      <w:proofErr w:type="spellStart"/>
      <w:r w:rsidRPr="00E82764">
        <w:t>Interfund</w:t>
      </w:r>
      <w:proofErr w:type="spellEnd"/>
      <w:r w:rsidRPr="00E82764">
        <w:t xml:space="preserve"> Transactions” must be </w:t>
      </w:r>
      <w:r w:rsidRPr="00EE3B27">
        <w:t xml:space="preserve">submitted to the </w:t>
      </w:r>
      <w:r w:rsidR="00B8067C">
        <w:t>OUSD(C)</w:t>
      </w:r>
      <w:r w:rsidR="00EE3B27">
        <w:t xml:space="preserve"> </w:t>
      </w:r>
      <w:r w:rsidRPr="00E82764">
        <w:t xml:space="preserve">as promptly as possible, but no later than close of business on the </w:t>
      </w:r>
      <w:r w:rsidRPr="008B1955">
        <w:t>2nd</w:t>
      </w:r>
      <w:r w:rsidRPr="00E82764">
        <w:t xml:space="preserve"> workday of the month immediately following the close of the reporting month.</w:t>
      </w:r>
    </w:p>
    <w:p w14:paraId="14C1F877" w14:textId="365DCA96" w:rsidR="002048D3" w:rsidRPr="00E82764" w:rsidRDefault="002048D3" w:rsidP="00FD6E7A">
      <w:pPr>
        <w:tabs>
          <w:tab w:val="left" w:pos="540"/>
          <w:tab w:val="left" w:pos="1080"/>
          <w:tab w:val="left" w:pos="1620"/>
          <w:tab w:val="left" w:pos="2160"/>
        </w:tabs>
        <w:spacing w:after="240"/>
      </w:pPr>
      <w:r w:rsidRPr="00E82764">
        <w:tab/>
        <w:t xml:space="preserve">C5.6.5.  </w:t>
      </w:r>
      <w:r w:rsidRPr="00E82764">
        <w:rPr>
          <w:u w:val="single"/>
        </w:rPr>
        <w:t>Adjustments</w:t>
      </w:r>
      <w:r w:rsidRPr="00E82764">
        <w:t xml:space="preserve">.  In preparing the “Statement of </w:t>
      </w:r>
      <w:proofErr w:type="spellStart"/>
      <w:r w:rsidRPr="00E82764">
        <w:t>Interfund</w:t>
      </w:r>
      <w:proofErr w:type="spellEnd"/>
      <w:r w:rsidRPr="00E82764">
        <w:t xml:space="preserve"> Transactions</w:t>
      </w:r>
      <w:r w:rsidR="008A4FBB">
        <w:t>,</w:t>
      </w:r>
      <w:r w:rsidRPr="00E82764">
        <w:t xml:space="preserve">” CAOs or offices designated by the DoD Components or participating Agencies </w:t>
      </w:r>
      <w:r w:rsidR="00555984">
        <w:t>will</w:t>
      </w:r>
      <w:r w:rsidRPr="00E82764">
        <w:t xml:space="preserve"> convert invalid accounts to the charged agency’s default appropriation</w:t>
      </w:r>
      <w:r w:rsidRPr="00E82764">
        <w:rPr>
          <w:rFonts w:cs="Arial"/>
          <w:szCs w:val="24"/>
        </w:rPr>
        <w:t xml:space="preserve"> as indicated in Appendix 2.2. </w:t>
      </w:r>
      <w:r w:rsidRPr="00AD0B52">
        <w:rPr>
          <w:rFonts w:cs="Arial"/>
          <w:szCs w:val="24"/>
        </w:rPr>
        <w:t>of this guidance.</w:t>
      </w:r>
    </w:p>
    <w:p w14:paraId="14C1F878" w14:textId="77777777" w:rsidR="002048D3" w:rsidRPr="00E82764" w:rsidRDefault="002048D3" w:rsidP="00FD6E7A">
      <w:pPr>
        <w:tabs>
          <w:tab w:val="left" w:pos="540"/>
          <w:tab w:val="left" w:pos="1080"/>
          <w:tab w:val="left" w:pos="1620"/>
          <w:tab w:val="left" w:pos="2160"/>
        </w:tabs>
        <w:spacing w:after="240"/>
        <w:outlineLvl w:val="0"/>
      </w:pPr>
      <w:r w:rsidRPr="00E82764">
        <w:tab/>
        <w:t xml:space="preserve">C5.6.6.  </w:t>
      </w:r>
      <w:r w:rsidRPr="00E82764">
        <w:rPr>
          <w:u w:val="single"/>
        </w:rPr>
        <w:t>Other Reporting Requirements</w:t>
      </w:r>
    </w:p>
    <w:p w14:paraId="14C1F879" w14:textId="77777777" w:rsidR="002048D3" w:rsidRPr="00E82764" w:rsidRDefault="002048D3" w:rsidP="00FD6E7A">
      <w:pPr>
        <w:tabs>
          <w:tab w:val="left" w:pos="540"/>
          <w:tab w:val="left" w:pos="1080"/>
          <w:tab w:val="left" w:pos="1620"/>
          <w:tab w:val="left" w:pos="2160"/>
        </w:tabs>
        <w:spacing w:after="240"/>
      </w:pPr>
      <w:r w:rsidRPr="00E82764">
        <w:tab/>
      </w:r>
      <w:r w:rsidRPr="00E82764">
        <w:tab/>
        <w:t xml:space="preserve">C5.6.6.1  </w:t>
      </w:r>
      <w:r w:rsidRPr="00E82764">
        <w:rPr>
          <w:u w:val="single"/>
        </w:rPr>
        <w:t xml:space="preserve">Extract of the Statement of </w:t>
      </w:r>
      <w:proofErr w:type="spellStart"/>
      <w:r w:rsidRPr="00E82764">
        <w:rPr>
          <w:u w:val="single"/>
        </w:rPr>
        <w:t>Interfund</w:t>
      </w:r>
      <w:proofErr w:type="spellEnd"/>
      <w:r w:rsidRPr="00E82764">
        <w:rPr>
          <w:u w:val="single"/>
        </w:rPr>
        <w:t xml:space="preserve"> Transactions</w:t>
      </w:r>
    </w:p>
    <w:p w14:paraId="14C1F87A" w14:textId="2E72B817" w:rsidR="002048D3" w:rsidRPr="00E82764" w:rsidRDefault="002048D3" w:rsidP="00FD6E7A">
      <w:pPr>
        <w:tabs>
          <w:tab w:val="left" w:pos="540"/>
          <w:tab w:val="left" w:pos="1080"/>
          <w:tab w:val="left" w:pos="1620"/>
          <w:tab w:val="left" w:pos="2160"/>
        </w:tabs>
        <w:spacing w:after="240"/>
      </w:pPr>
      <w:r w:rsidRPr="00E82764">
        <w:tab/>
      </w:r>
      <w:r w:rsidRPr="00E82764">
        <w:tab/>
      </w:r>
      <w:r w:rsidRPr="00E82764">
        <w:tab/>
        <w:t xml:space="preserve">C5.6.6.1.1.  Each Military Department (and GSA for its equivalent report) must furnish an “extract” of the “Statement of </w:t>
      </w:r>
      <w:proofErr w:type="spellStart"/>
      <w:r w:rsidRPr="00E82764">
        <w:t>Interfund</w:t>
      </w:r>
      <w:proofErr w:type="spellEnd"/>
      <w:r w:rsidRPr="00E82764">
        <w:t xml:space="preserve"> Transactions” to the DoD Components and other participating Agencies for which it collects or disburses showing the transactions for that Component or Agency.  The DoD Components may be identified by their unique </w:t>
      </w:r>
      <w:r w:rsidR="001570FF" w:rsidRPr="00783EC1">
        <w:t>Sub-Allocation Holder Identifier</w:t>
      </w:r>
      <w:r w:rsidRPr="00E82764">
        <w:t xml:space="preserve"> on department 97 appropriations.</w:t>
      </w:r>
    </w:p>
    <w:p w14:paraId="14C1F87B" w14:textId="020D21A7" w:rsidR="002048D3" w:rsidRPr="00E82764" w:rsidRDefault="002048D3" w:rsidP="00FD6E7A">
      <w:pPr>
        <w:tabs>
          <w:tab w:val="left" w:pos="540"/>
          <w:tab w:val="left" w:pos="1080"/>
          <w:tab w:val="left" w:pos="1620"/>
          <w:tab w:val="left" w:pos="2160"/>
        </w:tabs>
        <w:spacing w:after="240"/>
      </w:pPr>
      <w:r w:rsidRPr="00E82764">
        <w:tab/>
      </w:r>
      <w:r w:rsidRPr="00E82764">
        <w:tab/>
      </w:r>
      <w:r w:rsidRPr="00E82764">
        <w:tab/>
        <w:t xml:space="preserve">C5.6.6.1.2.  Extracts of the “Statement of </w:t>
      </w:r>
      <w:proofErr w:type="spellStart"/>
      <w:r w:rsidRPr="00E82764">
        <w:t>Interfund</w:t>
      </w:r>
      <w:proofErr w:type="spellEnd"/>
      <w:r w:rsidRPr="00E82764">
        <w:t xml:space="preserve"> Transactions” (and GSA equivalent) </w:t>
      </w:r>
      <w:r w:rsidR="009540D5">
        <w:t>that</w:t>
      </w:r>
      <w:r w:rsidRPr="00E82764">
        <w:t xml:space="preserve"> are forwarded to DoD </w:t>
      </w:r>
      <w:r w:rsidR="00B8067C">
        <w:t>CAO</w:t>
      </w:r>
      <w:r w:rsidRPr="00E82764">
        <w:t xml:space="preserve">s </w:t>
      </w:r>
      <w:r w:rsidR="00555984">
        <w:t>will</w:t>
      </w:r>
      <w:r w:rsidR="00555984" w:rsidRPr="00E82764">
        <w:t xml:space="preserve"> </w:t>
      </w:r>
      <w:r w:rsidRPr="00E82764">
        <w:t>be supported by summary billing records (</w:t>
      </w:r>
      <w:r w:rsidRPr="00E82764">
        <w:rPr>
          <w:rFonts w:cs="Arial"/>
          <w:szCs w:val="24"/>
        </w:rPr>
        <w:t>DLMS 810L/</w:t>
      </w:r>
      <w:r>
        <w:rPr>
          <w:rFonts w:cs="Arial"/>
          <w:szCs w:val="24"/>
        </w:rPr>
        <w:t>Document Identifier Code (</w:t>
      </w:r>
      <w:r>
        <w:t>DIC)</w:t>
      </w:r>
      <w:r w:rsidRPr="00E82764">
        <w:t xml:space="preserve"> FS).  The summary billing records </w:t>
      </w:r>
      <w:r w:rsidR="00555984">
        <w:t>will</w:t>
      </w:r>
      <w:r w:rsidRPr="00E82764">
        <w:t xml:space="preserve"> be forwarded </w:t>
      </w:r>
      <w:r w:rsidR="009540D5">
        <w:t xml:space="preserve">electronically </w:t>
      </w:r>
      <w:r w:rsidRPr="00E82764">
        <w:t xml:space="preserve">to the CAO responsible for clearance.  The CAO responsible for clearance is determined by the departmental index of the </w:t>
      </w:r>
      <w:r w:rsidR="009540D5">
        <w:t xml:space="preserve">disbursed </w:t>
      </w:r>
      <w:r w:rsidRPr="00E82764">
        <w:t xml:space="preserve">appropriation and, in the case of department “97" appropriations, by the DoD Component identification contained in the appropriation’s </w:t>
      </w:r>
      <w:r w:rsidR="001570FF" w:rsidRPr="00783EC1">
        <w:t>Sub-Allocation Holder Identifier</w:t>
      </w:r>
      <w:r w:rsidRPr="00E82764">
        <w:t>.  Table</w:t>
      </w:r>
      <w:r w:rsidR="009540D5">
        <w:t xml:space="preserve"> C5.T3</w:t>
      </w:r>
      <w:r w:rsidRPr="00E82764">
        <w:t xml:space="preserve"> identifies the CAO responsible for clearing </w:t>
      </w:r>
      <w:proofErr w:type="spellStart"/>
      <w:r w:rsidRPr="00E82764">
        <w:t>interfund</w:t>
      </w:r>
      <w:proofErr w:type="spellEnd"/>
      <w:r w:rsidRPr="00E82764">
        <w:t xml:space="preserve"> bills:</w:t>
      </w:r>
    </w:p>
    <w:p w14:paraId="14C1F87C" w14:textId="77777777" w:rsidR="002048D3" w:rsidRPr="00E82764" w:rsidRDefault="002048D3" w:rsidP="007E7CA7">
      <w:pPr>
        <w:keepNext/>
        <w:keepLines/>
        <w:tabs>
          <w:tab w:val="left" w:pos="540"/>
          <w:tab w:val="left" w:pos="1080"/>
          <w:tab w:val="left" w:pos="1620"/>
          <w:tab w:val="left" w:pos="2160"/>
        </w:tabs>
        <w:spacing w:after="120"/>
        <w:jc w:val="center"/>
        <w:outlineLvl w:val="0"/>
        <w:rPr>
          <w:u w:val="single"/>
        </w:rPr>
      </w:pPr>
      <w:r w:rsidRPr="00E82764">
        <w:t xml:space="preserve">Table C5.T3.  </w:t>
      </w:r>
      <w:r w:rsidRPr="00E82764">
        <w:rPr>
          <w:u w:val="single"/>
        </w:rPr>
        <w:t>D</w:t>
      </w:r>
      <w:r w:rsidR="00BF73F4">
        <w:rPr>
          <w:u w:val="single"/>
        </w:rPr>
        <w:t>epartment of Defense</w:t>
      </w:r>
      <w:r w:rsidRPr="00E82764">
        <w:rPr>
          <w:u w:val="single"/>
        </w:rPr>
        <w:t xml:space="preserve"> </w:t>
      </w:r>
      <w:r w:rsidR="00BF73F4" w:rsidRPr="00E82764">
        <w:rPr>
          <w:u w:val="single"/>
        </w:rPr>
        <w:t>Central Accounts Offices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40"/>
        <w:gridCol w:w="1530"/>
        <w:gridCol w:w="1170"/>
        <w:gridCol w:w="3690"/>
      </w:tblGrid>
      <w:tr w:rsidR="002048D3" w:rsidRPr="00E82764" w14:paraId="14C1F881" w14:textId="77777777" w:rsidTr="007E7CA7">
        <w:trPr>
          <w:jc w:val="center"/>
        </w:trPr>
        <w:tc>
          <w:tcPr>
            <w:tcW w:w="2340" w:type="dxa"/>
            <w:vAlign w:val="center"/>
          </w:tcPr>
          <w:p w14:paraId="14C1F87D" w14:textId="77777777" w:rsidR="00232F1E" w:rsidRDefault="007E7CA7" w:rsidP="007E7CA7">
            <w:pPr>
              <w:keepNext/>
              <w:keepLines/>
              <w:tabs>
                <w:tab w:val="left" w:pos="540"/>
                <w:tab w:val="left" w:pos="1080"/>
                <w:tab w:val="left" w:pos="1620"/>
                <w:tab w:val="left" w:pos="2160"/>
              </w:tabs>
              <w:spacing w:before="60" w:after="60"/>
              <w:jc w:val="center"/>
              <w:rPr>
                <w:u w:val="single"/>
              </w:rPr>
            </w:pPr>
            <w:r w:rsidRPr="00E82764">
              <w:rPr>
                <w:u w:val="single"/>
              </w:rPr>
              <w:t>C</w:t>
            </w:r>
            <w:r>
              <w:rPr>
                <w:u w:val="single"/>
              </w:rPr>
              <w:t>LEARANCE</w:t>
            </w:r>
            <w:r w:rsidRPr="00E82764">
              <w:rPr>
                <w:u w:val="single"/>
              </w:rPr>
              <w:t xml:space="preserve"> </w:t>
            </w:r>
            <w:r w:rsidR="002048D3" w:rsidRPr="00E82764">
              <w:rPr>
                <w:u w:val="single"/>
              </w:rPr>
              <w:t>CAO</w:t>
            </w:r>
          </w:p>
        </w:tc>
        <w:tc>
          <w:tcPr>
            <w:tcW w:w="1530" w:type="dxa"/>
            <w:vAlign w:val="center"/>
          </w:tcPr>
          <w:p w14:paraId="14C1F87E" w14:textId="77777777" w:rsidR="00232F1E" w:rsidRDefault="002048D3" w:rsidP="007E7CA7">
            <w:pPr>
              <w:keepNext/>
              <w:keepLines/>
              <w:tabs>
                <w:tab w:val="left" w:pos="540"/>
                <w:tab w:val="left" w:pos="1080"/>
                <w:tab w:val="left" w:pos="1620"/>
                <w:tab w:val="left" w:pos="2160"/>
              </w:tabs>
              <w:spacing w:before="60" w:after="60"/>
              <w:jc w:val="center"/>
              <w:rPr>
                <w:u w:val="single"/>
              </w:rPr>
            </w:pPr>
            <w:r w:rsidRPr="00E82764">
              <w:rPr>
                <w:u w:val="single"/>
              </w:rPr>
              <w:t>COMMRI</w:t>
            </w:r>
          </w:p>
        </w:tc>
        <w:tc>
          <w:tcPr>
            <w:tcW w:w="1170" w:type="dxa"/>
            <w:vAlign w:val="center"/>
          </w:tcPr>
          <w:p w14:paraId="14C1F87F" w14:textId="77777777" w:rsidR="00232F1E" w:rsidRDefault="002048D3" w:rsidP="007E7CA7">
            <w:pPr>
              <w:keepNext/>
              <w:keepLines/>
              <w:tabs>
                <w:tab w:val="left" w:pos="540"/>
                <w:tab w:val="left" w:pos="1080"/>
                <w:tab w:val="left" w:pos="1620"/>
                <w:tab w:val="left" w:pos="2160"/>
              </w:tabs>
              <w:spacing w:before="60" w:after="60"/>
              <w:jc w:val="center"/>
              <w:rPr>
                <w:u w:val="single"/>
              </w:rPr>
            </w:pPr>
            <w:r w:rsidRPr="00E82764">
              <w:rPr>
                <w:u w:val="single"/>
              </w:rPr>
              <w:t>I</w:t>
            </w:r>
            <w:r w:rsidR="007E7CA7">
              <w:rPr>
                <w:u w:val="single"/>
              </w:rPr>
              <w:t>NDEX</w:t>
            </w:r>
          </w:p>
        </w:tc>
        <w:tc>
          <w:tcPr>
            <w:tcW w:w="3690" w:type="dxa"/>
            <w:vAlign w:val="center"/>
          </w:tcPr>
          <w:p w14:paraId="14C1F880" w14:textId="77777777" w:rsidR="00232F1E" w:rsidRDefault="007E7CA7" w:rsidP="007E7CA7">
            <w:pPr>
              <w:keepNext/>
              <w:keepLines/>
              <w:tabs>
                <w:tab w:val="left" w:pos="540"/>
                <w:tab w:val="left" w:pos="1080"/>
                <w:tab w:val="left" w:pos="1620"/>
                <w:tab w:val="left" w:pos="2160"/>
              </w:tabs>
              <w:spacing w:before="60" w:after="60"/>
              <w:jc w:val="center"/>
              <w:rPr>
                <w:u w:val="single"/>
              </w:rPr>
            </w:pPr>
            <w:r w:rsidRPr="00E82764">
              <w:rPr>
                <w:u w:val="single"/>
              </w:rPr>
              <w:t>C</w:t>
            </w:r>
            <w:r>
              <w:rPr>
                <w:u w:val="single"/>
              </w:rPr>
              <w:t>OMPONENT</w:t>
            </w:r>
            <w:r w:rsidR="002048D3" w:rsidRPr="00E82764">
              <w:rPr>
                <w:u w:val="single"/>
                <w:vertAlign w:val="superscript"/>
              </w:rPr>
              <w:footnoteReference w:id="1"/>
            </w:r>
          </w:p>
        </w:tc>
      </w:tr>
      <w:tr w:rsidR="002048D3" w:rsidRPr="00E82764" w14:paraId="14C1F886" w14:textId="77777777" w:rsidTr="007E7CA7">
        <w:trPr>
          <w:jc w:val="center"/>
        </w:trPr>
        <w:tc>
          <w:tcPr>
            <w:tcW w:w="2340" w:type="dxa"/>
            <w:vMerge w:val="restart"/>
          </w:tcPr>
          <w:p w14:paraId="14C1F882" w14:textId="77777777" w:rsidR="00232F1E" w:rsidRDefault="002048D3" w:rsidP="007E7CA7">
            <w:pPr>
              <w:keepNext/>
              <w:keepLines/>
              <w:spacing w:before="60" w:after="60"/>
            </w:pPr>
            <w:r w:rsidRPr="00E82764">
              <w:t>DFAS-Indianapolis</w:t>
            </w:r>
          </w:p>
        </w:tc>
        <w:tc>
          <w:tcPr>
            <w:tcW w:w="1530" w:type="dxa"/>
            <w:vMerge w:val="restart"/>
          </w:tcPr>
          <w:p w14:paraId="14C1F883" w14:textId="77777777" w:rsidR="00232F1E" w:rsidRDefault="002048D3" w:rsidP="007E7CA7">
            <w:pPr>
              <w:keepNext/>
              <w:keepLines/>
              <w:spacing w:before="60" w:after="60"/>
            </w:pPr>
            <w:r w:rsidRPr="00E82764">
              <w:t>RUQADVU</w:t>
            </w:r>
          </w:p>
        </w:tc>
        <w:tc>
          <w:tcPr>
            <w:tcW w:w="1170" w:type="dxa"/>
          </w:tcPr>
          <w:p w14:paraId="14C1F884" w14:textId="77777777" w:rsidR="00232F1E" w:rsidRDefault="002048D3" w:rsidP="007E7CA7">
            <w:pPr>
              <w:keepNext/>
              <w:keepLines/>
              <w:tabs>
                <w:tab w:val="left" w:pos="540"/>
                <w:tab w:val="left" w:pos="1080"/>
                <w:tab w:val="left" w:pos="1620"/>
                <w:tab w:val="left" w:pos="2160"/>
              </w:tabs>
              <w:spacing w:before="60" w:after="60"/>
              <w:jc w:val="center"/>
            </w:pPr>
            <w:r w:rsidRPr="00E82764">
              <w:t>97</w:t>
            </w:r>
          </w:p>
        </w:tc>
        <w:tc>
          <w:tcPr>
            <w:tcW w:w="3690" w:type="dxa"/>
          </w:tcPr>
          <w:p w14:paraId="14C1F885" w14:textId="358DBEAD" w:rsidR="00232F1E" w:rsidRDefault="002048D3" w:rsidP="001570FF">
            <w:pPr>
              <w:keepNext/>
              <w:keepLines/>
              <w:tabs>
                <w:tab w:val="left" w:pos="540"/>
                <w:tab w:val="left" w:pos="1080"/>
                <w:tab w:val="left" w:pos="1620"/>
                <w:tab w:val="left" w:pos="2160"/>
              </w:tabs>
              <w:spacing w:before="60" w:after="60"/>
            </w:pPr>
            <w:r w:rsidRPr="00E82764">
              <w:t>Other than USAF, USN, USMC</w:t>
            </w:r>
            <w:r w:rsidR="009540D5">
              <w:t>,</w:t>
            </w:r>
            <w:r w:rsidRPr="00E82764">
              <w:t xml:space="preserve"> </w:t>
            </w:r>
            <w:r w:rsidRPr="008B1955">
              <w:t xml:space="preserve">and SDDC </w:t>
            </w:r>
            <w:r w:rsidR="001570FF" w:rsidRPr="00783EC1">
              <w:t>Sub-Allocation Holder Identifier</w:t>
            </w:r>
            <w:r w:rsidR="001570FF" w:rsidRPr="008B1955">
              <w:t xml:space="preserve"> </w:t>
            </w:r>
            <w:r w:rsidRPr="008B1955">
              <w:t>FD30</w:t>
            </w:r>
          </w:p>
        </w:tc>
      </w:tr>
      <w:tr w:rsidR="002048D3" w:rsidRPr="00E82764" w14:paraId="14C1F88B" w14:textId="77777777" w:rsidTr="007E7CA7">
        <w:trPr>
          <w:jc w:val="center"/>
        </w:trPr>
        <w:tc>
          <w:tcPr>
            <w:tcW w:w="2340" w:type="dxa"/>
            <w:vMerge/>
          </w:tcPr>
          <w:p w14:paraId="14C1F887" w14:textId="77777777" w:rsidR="00232F1E" w:rsidRDefault="00232F1E" w:rsidP="007E7CA7">
            <w:pPr>
              <w:tabs>
                <w:tab w:val="left" w:pos="540"/>
                <w:tab w:val="left" w:pos="1080"/>
                <w:tab w:val="left" w:pos="1620"/>
                <w:tab w:val="left" w:pos="2160"/>
              </w:tabs>
              <w:spacing w:before="60" w:after="60"/>
            </w:pPr>
          </w:p>
        </w:tc>
        <w:tc>
          <w:tcPr>
            <w:tcW w:w="1530" w:type="dxa"/>
            <w:vMerge/>
          </w:tcPr>
          <w:p w14:paraId="14C1F888" w14:textId="77777777" w:rsidR="00232F1E" w:rsidRDefault="00232F1E" w:rsidP="007E7CA7">
            <w:pPr>
              <w:tabs>
                <w:tab w:val="left" w:pos="540"/>
                <w:tab w:val="left" w:pos="1080"/>
                <w:tab w:val="left" w:pos="1620"/>
                <w:tab w:val="left" w:pos="2160"/>
              </w:tabs>
              <w:spacing w:before="60" w:after="60"/>
            </w:pPr>
          </w:p>
        </w:tc>
        <w:tc>
          <w:tcPr>
            <w:tcW w:w="1170" w:type="dxa"/>
          </w:tcPr>
          <w:p w14:paraId="14C1F889" w14:textId="77777777" w:rsidR="00232F1E" w:rsidRDefault="002048D3" w:rsidP="007E7CA7">
            <w:pPr>
              <w:tabs>
                <w:tab w:val="left" w:pos="540"/>
                <w:tab w:val="left" w:pos="1080"/>
                <w:tab w:val="left" w:pos="1620"/>
                <w:tab w:val="left" w:pos="2160"/>
              </w:tabs>
              <w:spacing w:before="60" w:after="60"/>
              <w:jc w:val="center"/>
            </w:pPr>
            <w:r w:rsidRPr="00E82764">
              <w:t>21</w:t>
            </w:r>
          </w:p>
        </w:tc>
        <w:tc>
          <w:tcPr>
            <w:tcW w:w="3690" w:type="dxa"/>
          </w:tcPr>
          <w:p w14:paraId="14C1F88A" w14:textId="77777777" w:rsidR="00232F1E" w:rsidRDefault="002048D3" w:rsidP="007E7CA7">
            <w:pPr>
              <w:tabs>
                <w:tab w:val="left" w:pos="540"/>
                <w:tab w:val="left" w:pos="1080"/>
                <w:tab w:val="left" w:pos="1620"/>
                <w:tab w:val="left" w:pos="2160"/>
              </w:tabs>
              <w:spacing w:before="60" w:after="60"/>
            </w:pPr>
            <w:r w:rsidRPr="00E82764">
              <w:t>All</w:t>
            </w:r>
          </w:p>
        </w:tc>
      </w:tr>
      <w:tr w:rsidR="002048D3" w:rsidRPr="00E82764" w14:paraId="14C1F890" w14:textId="77777777" w:rsidTr="007E7CA7">
        <w:trPr>
          <w:jc w:val="center"/>
        </w:trPr>
        <w:tc>
          <w:tcPr>
            <w:tcW w:w="2340" w:type="dxa"/>
            <w:vMerge w:val="restart"/>
          </w:tcPr>
          <w:p w14:paraId="14C1F88C" w14:textId="77777777" w:rsidR="00232F1E" w:rsidRDefault="002048D3" w:rsidP="007E7CA7">
            <w:pPr>
              <w:spacing w:before="60" w:after="60"/>
            </w:pPr>
            <w:r w:rsidRPr="00E82764">
              <w:t>DFAS-Columbus</w:t>
            </w:r>
          </w:p>
        </w:tc>
        <w:tc>
          <w:tcPr>
            <w:tcW w:w="1530" w:type="dxa"/>
            <w:vMerge w:val="restart"/>
          </w:tcPr>
          <w:p w14:paraId="14C1F88D" w14:textId="77777777" w:rsidR="00232F1E" w:rsidRDefault="002048D3" w:rsidP="007E7CA7">
            <w:pPr>
              <w:tabs>
                <w:tab w:val="left" w:pos="540"/>
                <w:tab w:val="left" w:pos="1080"/>
                <w:tab w:val="left" w:pos="1620"/>
                <w:tab w:val="left" w:pos="2160"/>
              </w:tabs>
              <w:spacing w:before="60" w:after="60"/>
            </w:pPr>
            <w:r w:rsidRPr="00E82764">
              <w:t>RUVEGAA</w:t>
            </w:r>
          </w:p>
        </w:tc>
        <w:tc>
          <w:tcPr>
            <w:tcW w:w="1170" w:type="dxa"/>
          </w:tcPr>
          <w:p w14:paraId="14C1F88E" w14:textId="77777777" w:rsidR="00232F1E" w:rsidRDefault="002048D3" w:rsidP="007E7CA7">
            <w:pPr>
              <w:tabs>
                <w:tab w:val="left" w:pos="540"/>
                <w:tab w:val="left" w:pos="1080"/>
                <w:tab w:val="left" w:pos="1620"/>
                <w:tab w:val="left" w:pos="2160"/>
              </w:tabs>
              <w:spacing w:before="60" w:after="60"/>
              <w:jc w:val="center"/>
            </w:pPr>
            <w:r w:rsidRPr="00E82764">
              <w:t>97</w:t>
            </w:r>
          </w:p>
        </w:tc>
        <w:tc>
          <w:tcPr>
            <w:tcW w:w="3690" w:type="dxa"/>
          </w:tcPr>
          <w:p w14:paraId="14C1F88F" w14:textId="77777777" w:rsidR="00232F1E" w:rsidRDefault="002048D3" w:rsidP="007E7CA7">
            <w:pPr>
              <w:tabs>
                <w:tab w:val="left" w:pos="540"/>
                <w:tab w:val="left" w:pos="1080"/>
                <w:tab w:val="left" w:pos="1620"/>
                <w:tab w:val="left" w:pos="2160"/>
              </w:tabs>
              <w:spacing w:before="60" w:after="60"/>
            </w:pPr>
            <w:r w:rsidRPr="00E82764">
              <w:t>USAF</w:t>
            </w:r>
          </w:p>
        </w:tc>
      </w:tr>
      <w:tr w:rsidR="002048D3" w:rsidRPr="00E82764" w14:paraId="14C1F895" w14:textId="77777777" w:rsidTr="007E7CA7">
        <w:trPr>
          <w:jc w:val="center"/>
        </w:trPr>
        <w:tc>
          <w:tcPr>
            <w:tcW w:w="2340" w:type="dxa"/>
            <w:vMerge/>
          </w:tcPr>
          <w:p w14:paraId="14C1F891" w14:textId="77777777" w:rsidR="00232F1E" w:rsidRDefault="00232F1E" w:rsidP="007E7CA7">
            <w:pPr>
              <w:spacing w:before="60" w:after="60"/>
            </w:pPr>
          </w:p>
        </w:tc>
        <w:tc>
          <w:tcPr>
            <w:tcW w:w="1530" w:type="dxa"/>
            <w:vMerge/>
          </w:tcPr>
          <w:p w14:paraId="14C1F892" w14:textId="77777777" w:rsidR="00232F1E" w:rsidRDefault="00232F1E" w:rsidP="007E7CA7">
            <w:pPr>
              <w:spacing w:before="60" w:after="60"/>
            </w:pPr>
          </w:p>
        </w:tc>
        <w:tc>
          <w:tcPr>
            <w:tcW w:w="1170" w:type="dxa"/>
          </w:tcPr>
          <w:p w14:paraId="14C1F893" w14:textId="77777777" w:rsidR="00232F1E" w:rsidRDefault="002048D3" w:rsidP="007E7CA7">
            <w:pPr>
              <w:tabs>
                <w:tab w:val="left" w:pos="540"/>
                <w:tab w:val="left" w:pos="1080"/>
                <w:tab w:val="left" w:pos="1620"/>
                <w:tab w:val="left" w:pos="2160"/>
              </w:tabs>
              <w:spacing w:before="60" w:after="60"/>
              <w:jc w:val="center"/>
            </w:pPr>
            <w:r w:rsidRPr="00E82764">
              <w:t>57</w:t>
            </w:r>
          </w:p>
        </w:tc>
        <w:tc>
          <w:tcPr>
            <w:tcW w:w="3690" w:type="dxa"/>
          </w:tcPr>
          <w:p w14:paraId="14C1F894" w14:textId="77777777" w:rsidR="00232F1E" w:rsidRDefault="002048D3" w:rsidP="007E7CA7">
            <w:pPr>
              <w:tabs>
                <w:tab w:val="left" w:pos="540"/>
                <w:tab w:val="left" w:pos="1080"/>
                <w:tab w:val="left" w:pos="1620"/>
                <w:tab w:val="left" w:pos="2160"/>
              </w:tabs>
              <w:spacing w:before="60" w:after="60"/>
            </w:pPr>
            <w:r w:rsidRPr="00E82764">
              <w:t>All</w:t>
            </w:r>
          </w:p>
        </w:tc>
      </w:tr>
      <w:tr w:rsidR="002048D3" w:rsidRPr="00E82764" w14:paraId="14C1F89A" w14:textId="77777777" w:rsidTr="007E7CA7">
        <w:trPr>
          <w:jc w:val="center"/>
        </w:trPr>
        <w:tc>
          <w:tcPr>
            <w:tcW w:w="2340" w:type="dxa"/>
            <w:vMerge w:val="restart"/>
          </w:tcPr>
          <w:p w14:paraId="14C1F896" w14:textId="77777777" w:rsidR="00232F1E" w:rsidRDefault="002048D3" w:rsidP="007E7CA7">
            <w:pPr>
              <w:spacing w:before="60" w:after="60"/>
            </w:pPr>
            <w:r w:rsidRPr="00E82764">
              <w:t>DFAS-Cleveland</w:t>
            </w:r>
          </w:p>
        </w:tc>
        <w:tc>
          <w:tcPr>
            <w:tcW w:w="1530" w:type="dxa"/>
            <w:vMerge w:val="restart"/>
          </w:tcPr>
          <w:p w14:paraId="14C1F897" w14:textId="77777777" w:rsidR="00232F1E" w:rsidRDefault="002048D3" w:rsidP="007E7CA7">
            <w:pPr>
              <w:spacing w:before="60" w:after="60"/>
            </w:pPr>
            <w:r w:rsidRPr="00E82764">
              <w:t>RUEBJNW</w:t>
            </w:r>
          </w:p>
        </w:tc>
        <w:tc>
          <w:tcPr>
            <w:tcW w:w="1170" w:type="dxa"/>
          </w:tcPr>
          <w:p w14:paraId="14C1F898" w14:textId="77777777" w:rsidR="00232F1E" w:rsidRDefault="002048D3" w:rsidP="007E7CA7">
            <w:pPr>
              <w:tabs>
                <w:tab w:val="left" w:pos="540"/>
                <w:tab w:val="left" w:pos="1080"/>
                <w:tab w:val="left" w:pos="1620"/>
                <w:tab w:val="left" w:pos="2160"/>
              </w:tabs>
              <w:spacing w:before="60" w:after="60"/>
              <w:jc w:val="center"/>
            </w:pPr>
            <w:r w:rsidRPr="00E82764">
              <w:t>97</w:t>
            </w:r>
          </w:p>
        </w:tc>
        <w:tc>
          <w:tcPr>
            <w:tcW w:w="3690" w:type="dxa"/>
          </w:tcPr>
          <w:p w14:paraId="14C1F899" w14:textId="77777777" w:rsidR="00232F1E" w:rsidRDefault="002048D3" w:rsidP="007E7CA7">
            <w:pPr>
              <w:tabs>
                <w:tab w:val="left" w:pos="540"/>
                <w:tab w:val="left" w:pos="1080"/>
                <w:tab w:val="left" w:pos="1620"/>
                <w:tab w:val="left" w:pos="2160"/>
              </w:tabs>
              <w:spacing w:before="60" w:after="60"/>
            </w:pPr>
            <w:r w:rsidRPr="00E82764">
              <w:t>USN and USMC</w:t>
            </w:r>
          </w:p>
        </w:tc>
      </w:tr>
      <w:tr w:rsidR="002048D3" w:rsidRPr="00E82764" w14:paraId="14C1F89F" w14:textId="77777777" w:rsidTr="007E7CA7">
        <w:trPr>
          <w:jc w:val="center"/>
        </w:trPr>
        <w:tc>
          <w:tcPr>
            <w:tcW w:w="2340" w:type="dxa"/>
            <w:vMerge/>
          </w:tcPr>
          <w:p w14:paraId="14C1F89B" w14:textId="77777777" w:rsidR="00232F1E" w:rsidRDefault="00232F1E" w:rsidP="007E7CA7">
            <w:pPr>
              <w:spacing w:before="60" w:after="60"/>
            </w:pPr>
          </w:p>
        </w:tc>
        <w:tc>
          <w:tcPr>
            <w:tcW w:w="1530" w:type="dxa"/>
            <w:vMerge/>
          </w:tcPr>
          <w:p w14:paraId="14C1F89C" w14:textId="77777777" w:rsidR="00232F1E" w:rsidRDefault="00232F1E" w:rsidP="007E7CA7">
            <w:pPr>
              <w:spacing w:before="60" w:after="60"/>
            </w:pPr>
          </w:p>
        </w:tc>
        <w:tc>
          <w:tcPr>
            <w:tcW w:w="1170" w:type="dxa"/>
          </w:tcPr>
          <w:p w14:paraId="14C1F89D" w14:textId="77777777" w:rsidR="00232F1E" w:rsidRDefault="002048D3" w:rsidP="007E7CA7">
            <w:pPr>
              <w:tabs>
                <w:tab w:val="left" w:pos="540"/>
                <w:tab w:val="left" w:pos="1080"/>
                <w:tab w:val="left" w:pos="1620"/>
                <w:tab w:val="left" w:pos="2160"/>
              </w:tabs>
              <w:spacing w:before="60" w:after="60"/>
              <w:jc w:val="center"/>
            </w:pPr>
            <w:r w:rsidRPr="00E82764">
              <w:t>17</w:t>
            </w:r>
          </w:p>
        </w:tc>
        <w:tc>
          <w:tcPr>
            <w:tcW w:w="3690" w:type="dxa"/>
          </w:tcPr>
          <w:p w14:paraId="14C1F89E" w14:textId="77777777" w:rsidR="00232F1E" w:rsidRDefault="002048D3" w:rsidP="007E7CA7">
            <w:pPr>
              <w:tabs>
                <w:tab w:val="left" w:pos="540"/>
                <w:tab w:val="left" w:pos="1080"/>
                <w:tab w:val="left" w:pos="1620"/>
                <w:tab w:val="left" w:pos="2160"/>
              </w:tabs>
              <w:spacing w:before="60" w:after="60"/>
            </w:pPr>
            <w:r w:rsidRPr="00E82764">
              <w:t>All</w:t>
            </w:r>
          </w:p>
        </w:tc>
      </w:tr>
    </w:tbl>
    <w:p w14:paraId="14C1F8A0" w14:textId="77777777" w:rsidR="00232F1E" w:rsidRDefault="00232F1E" w:rsidP="00653DA6"/>
    <w:p w14:paraId="14C1F8A1" w14:textId="77777777" w:rsidR="002048D3" w:rsidRPr="00E82764" w:rsidRDefault="002048D3" w:rsidP="00FD6E7A">
      <w:pPr>
        <w:tabs>
          <w:tab w:val="left" w:pos="540"/>
          <w:tab w:val="left" w:pos="1080"/>
          <w:tab w:val="left" w:pos="1620"/>
          <w:tab w:val="left" w:pos="2160"/>
        </w:tabs>
        <w:spacing w:after="240"/>
      </w:pPr>
      <w:r w:rsidRPr="00E82764">
        <w:tab/>
      </w:r>
      <w:r w:rsidRPr="00E82764">
        <w:tab/>
      </w:r>
      <w:r w:rsidRPr="00E82764">
        <w:tab/>
        <w:t xml:space="preserve">C5.6.6.1.3.  The extracts should be submitted as soon as possible but no later than 2 workdays after the Statement of </w:t>
      </w:r>
      <w:proofErr w:type="spellStart"/>
      <w:r w:rsidRPr="00E82764">
        <w:t>Interfund</w:t>
      </w:r>
      <w:proofErr w:type="spellEnd"/>
      <w:r w:rsidRPr="00E82764">
        <w:t xml:space="preserve"> Transactions </w:t>
      </w:r>
      <w:r w:rsidRPr="00E82764">
        <w:rPr>
          <w:rFonts w:cs="Arial"/>
          <w:szCs w:val="24"/>
        </w:rPr>
        <w:t>is</w:t>
      </w:r>
      <w:r w:rsidRPr="00E82764">
        <w:t xml:space="preserve"> submitted to </w:t>
      </w:r>
      <w:r w:rsidR="00B8067C">
        <w:t>O</w:t>
      </w:r>
      <w:r w:rsidRPr="00E82764">
        <w:t>USD(C).</w:t>
      </w:r>
    </w:p>
    <w:p w14:paraId="14C1F8A2" w14:textId="77777777" w:rsidR="002048D3" w:rsidRPr="00E82764" w:rsidRDefault="002048D3" w:rsidP="00FD6E7A">
      <w:pPr>
        <w:tabs>
          <w:tab w:val="left" w:pos="540"/>
          <w:tab w:val="left" w:pos="1080"/>
          <w:tab w:val="left" w:pos="1620"/>
          <w:tab w:val="left" w:pos="2160"/>
        </w:tabs>
        <w:spacing w:after="240"/>
      </w:pPr>
      <w:r w:rsidRPr="00E82764">
        <w:tab/>
      </w:r>
      <w:r w:rsidRPr="00E82764">
        <w:tab/>
        <w:t xml:space="preserve">C5.6.6.2.  </w:t>
      </w:r>
      <w:r w:rsidRPr="00E82764">
        <w:rPr>
          <w:u w:val="single"/>
        </w:rPr>
        <w:t>Defense Agency Appropriations</w:t>
      </w:r>
      <w:r w:rsidRPr="00E82764">
        <w:t xml:space="preserve">.  A “Statement of </w:t>
      </w:r>
      <w:proofErr w:type="spellStart"/>
      <w:r w:rsidRPr="00E82764">
        <w:t>Interfund</w:t>
      </w:r>
      <w:proofErr w:type="spellEnd"/>
      <w:r w:rsidRPr="00E82764">
        <w:t xml:space="preserve"> Transactions” summarizing the transactions by appropriation for each Defense Agency must be provided to the Director </w:t>
      </w:r>
      <w:r w:rsidRPr="00E82764">
        <w:rPr>
          <w:rFonts w:cs="Arial"/>
          <w:szCs w:val="24"/>
        </w:rPr>
        <w:t>of</w:t>
      </w:r>
      <w:r w:rsidRPr="00E82764">
        <w:t xml:space="preserve"> Budget and Finance, Washington Headquarters Service, </w:t>
      </w:r>
      <w:r w:rsidRPr="00AD0B52">
        <w:rPr>
          <w:rFonts w:cs="Arial"/>
          <w:szCs w:val="24"/>
        </w:rPr>
        <w:t>1155 Defense Pentagon,</w:t>
      </w:r>
      <w:r w:rsidRPr="00E82764">
        <w:rPr>
          <w:rFonts w:cs="Arial"/>
          <w:szCs w:val="24"/>
        </w:rPr>
        <w:t xml:space="preserve"> </w:t>
      </w:r>
      <w:r w:rsidRPr="00E82764">
        <w:t>Washington, DC  20301-</w:t>
      </w:r>
      <w:r w:rsidRPr="00AD0B52">
        <w:rPr>
          <w:rFonts w:cs="Arial"/>
          <w:szCs w:val="24"/>
        </w:rPr>
        <w:t>1155</w:t>
      </w:r>
      <w:r w:rsidRPr="00AD0B52">
        <w:t>.</w:t>
      </w:r>
    </w:p>
    <w:p w14:paraId="14C1F8A3" w14:textId="77777777" w:rsidR="002048D3" w:rsidRPr="00E82764" w:rsidRDefault="002048D3" w:rsidP="00FD6E7A">
      <w:pPr>
        <w:tabs>
          <w:tab w:val="left" w:pos="540"/>
          <w:tab w:val="left" w:pos="1080"/>
          <w:tab w:val="left" w:pos="1620"/>
          <w:tab w:val="left" w:pos="2160"/>
        </w:tabs>
        <w:spacing w:after="240"/>
        <w:outlineLvl w:val="0"/>
      </w:pPr>
      <w:r w:rsidRPr="00E82764">
        <w:tab/>
        <w:t xml:space="preserve">C5.6.7.  </w:t>
      </w:r>
      <w:r w:rsidRPr="00E82764">
        <w:rPr>
          <w:u w:val="single"/>
        </w:rPr>
        <w:t>Hard Copy Report Preparation</w:t>
      </w:r>
    </w:p>
    <w:p w14:paraId="14C1F8A4" w14:textId="77777777" w:rsidR="002048D3" w:rsidRPr="00E82764" w:rsidRDefault="002048D3" w:rsidP="00FD6E7A">
      <w:pPr>
        <w:tabs>
          <w:tab w:val="left" w:pos="540"/>
          <w:tab w:val="left" w:pos="1080"/>
          <w:tab w:val="left" w:pos="1620"/>
          <w:tab w:val="left" w:pos="2160"/>
        </w:tabs>
        <w:spacing w:after="240"/>
      </w:pPr>
      <w:r w:rsidRPr="00E82764">
        <w:tab/>
      </w:r>
      <w:r w:rsidRPr="00E82764">
        <w:tab/>
        <w:t xml:space="preserve">C5.6.7.1.  </w:t>
      </w:r>
      <w:r w:rsidRPr="00E82764">
        <w:rPr>
          <w:u w:val="single"/>
        </w:rPr>
        <w:t>General</w:t>
      </w:r>
    </w:p>
    <w:p w14:paraId="14C1F8A5" w14:textId="77777777" w:rsidR="002048D3" w:rsidRPr="00E82764" w:rsidRDefault="002048D3" w:rsidP="00FD6E7A">
      <w:pPr>
        <w:tabs>
          <w:tab w:val="left" w:pos="540"/>
          <w:tab w:val="left" w:pos="1080"/>
          <w:tab w:val="left" w:pos="1620"/>
          <w:tab w:val="left" w:pos="2160"/>
        </w:tabs>
        <w:spacing w:after="240"/>
      </w:pPr>
      <w:r w:rsidRPr="00E82764">
        <w:tab/>
      </w:r>
      <w:r w:rsidRPr="00E82764">
        <w:tab/>
      </w:r>
      <w:r w:rsidRPr="00E82764">
        <w:tab/>
        <w:t xml:space="preserve">C5.6.7.1.1.  Each </w:t>
      </w:r>
      <w:proofErr w:type="spellStart"/>
      <w:r w:rsidRPr="00E82764">
        <w:t>interfund</w:t>
      </w:r>
      <w:proofErr w:type="spellEnd"/>
      <w:r w:rsidRPr="00E82764">
        <w:t xml:space="preserve"> report must be completed with the minimum </w:t>
      </w:r>
      <w:r w:rsidR="009540D5">
        <w:t xml:space="preserve">required </w:t>
      </w:r>
      <w:r w:rsidRPr="00E82764">
        <w:t>information.</w:t>
      </w:r>
    </w:p>
    <w:p w14:paraId="14C1F8A6" w14:textId="77777777" w:rsidR="002048D3" w:rsidRPr="00E82764" w:rsidRDefault="002048D3" w:rsidP="00FD6E7A">
      <w:pPr>
        <w:tabs>
          <w:tab w:val="left" w:pos="540"/>
          <w:tab w:val="left" w:pos="1080"/>
          <w:tab w:val="left" w:pos="1620"/>
          <w:tab w:val="left" w:pos="2160"/>
        </w:tabs>
        <w:spacing w:after="240"/>
      </w:pPr>
      <w:r w:rsidRPr="00E82764">
        <w:tab/>
      </w:r>
      <w:r w:rsidRPr="00E82764">
        <w:tab/>
      </w:r>
      <w:r w:rsidRPr="00E82764">
        <w:tab/>
        <w:t xml:space="preserve">C5.6.7.1.2.  If more than one sheet is used to report </w:t>
      </w:r>
      <w:r w:rsidR="009540D5">
        <w:t>transaction</w:t>
      </w:r>
      <w:r w:rsidRPr="00E82764">
        <w:t xml:space="preserve"> amounts, the </w:t>
      </w:r>
      <w:r w:rsidRPr="00E82764">
        <w:rPr>
          <w:rFonts w:cs="Arial"/>
          <w:szCs w:val="24"/>
        </w:rPr>
        <w:t>grand</w:t>
      </w:r>
      <w:r w:rsidRPr="00E82764">
        <w:t xml:space="preserve"> total for each column must be shown on the last page of the statement.  Page totals are optional.</w:t>
      </w:r>
    </w:p>
    <w:p w14:paraId="14C1F8A7" w14:textId="77777777" w:rsidR="002048D3" w:rsidRPr="00E82764" w:rsidRDefault="002048D3" w:rsidP="00FD6E7A">
      <w:pPr>
        <w:tabs>
          <w:tab w:val="left" w:pos="540"/>
          <w:tab w:val="left" w:pos="1080"/>
          <w:tab w:val="left" w:pos="1620"/>
          <w:tab w:val="left" w:pos="2160"/>
        </w:tabs>
        <w:spacing w:after="240"/>
      </w:pPr>
      <w:r w:rsidRPr="00E82764">
        <w:tab/>
      </w:r>
      <w:r w:rsidRPr="00E82764">
        <w:tab/>
      </w:r>
      <w:r w:rsidRPr="00E82764">
        <w:tab/>
        <w:t>C5.6.7.1.3.  Each hard copy statement must be signed by the officer under whose direction it was prepared.</w:t>
      </w:r>
    </w:p>
    <w:p w14:paraId="14C1F8A8" w14:textId="77777777" w:rsidR="002048D3" w:rsidRPr="00E82764" w:rsidRDefault="002048D3" w:rsidP="00FD6E7A">
      <w:pPr>
        <w:tabs>
          <w:tab w:val="left" w:pos="540"/>
          <w:tab w:val="left" w:pos="1080"/>
          <w:tab w:val="left" w:pos="1620"/>
          <w:tab w:val="left" w:pos="2160"/>
        </w:tabs>
        <w:spacing w:after="240"/>
      </w:pPr>
      <w:r w:rsidRPr="00E82764">
        <w:tab/>
      </w:r>
      <w:r w:rsidRPr="00E82764">
        <w:tab/>
      </w:r>
      <w:r w:rsidRPr="00E82764">
        <w:tab/>
        <w:t>C5.6.7.1.4.  Negative amounts must be identified by the suffix “CR.”</w:t>
      </w:r>
    </w:p>
    <w:p w14:paraId="14C1F8A9" w14:textId="77777777" w:rsidR="002048D3" w:rsidRPr="00E82764" w:rsidRDefault="002048D3" w:rsidP="00FD6E7A">
      <w:pPr>
        <w:tabs>
          <w:tab w:val="left" w:pos="540"/>
          <w:tab w:val="left" w:pos="1080"/>
          <w:tab w:val="left" w:pos="1620"/>
          <w:tab w:val="left" w:pos="2160"/>
        </w:tabs>
        <w:spacing w:after="240"/>
        <w:outlineLvl w:val="0"/>
      </w:pPr>
      <w:r w:rsidRPr="00E82764">
        <w:tab/>
      </w:r>
      <w:r w:rsidRPr="00E82764">
        <w:tab/>
        <w:t xml:space="preserve">C5.6.7.2.  </w:t>
      </w:r>
      <w:r w:rsidRPr="00E82764">
        <w:rPr>
          <w:u w:val="single"/>
        </w:rPr>
        <w:t>Columnar Entries</w:t>
      </w:r>
    </w:p>
    <w:p w14:paraId="14C1F8AA" w14:textId="77777777" w:rsidR="002048D3" w:rsidRPr="00E82764" w:rsidRDefault="002048D3" w:rsidP="00FD6E7A">
      <w:pPr>
        <w:tabs>
          <w:tab w:val="left" w:pos="540"/>
          <w:tab w:val="left" w:pos="1080"/>
          <w:tab w:val="left" w:pos="1620"/>
          <w:tab w:val="left" w:pos="2160"/>
        </w:tabs>
        <w:spacing w:after="240"/>
      </w:pPr>
      <w:r w:rsidRPr="00E82764">
        <w:tab/>
      </w:r>
      <w:r w:rsidRPr="00E82764">
        <w:tab/>
      </w:r>
      <w:r w:rsidRPr="00E82764">
        <w:tab/>
        <w:t xml:space="preserve">C5.6.7.2.1.  </w:t>
      </w:r>
      <w:r w:rsidRPr="00E82764">
        <w:rPr>
          <w:u w:val="single"/>
        </w:rPr>
        <w:t>Appropriation or Fund /Symbol</w:t>
      </w:r>
      <w:r w:rsidRPr="00E82764">
        <w:t>.  Enter the department index number assigned by the Treasury Department as a prefix to that department’s appropriation symbols, fiscal year or other appropriate indicator (e.g</w:t>
      </w:r>
      <w:r w:rsidRPr="00E82764">
        <w:rPr>
          <w:rFonts w:cs="Arial"/>
          <w:szCs w:val="24"/>
        </w:rPr>
        <w:t>.</w:t>
      </w:r>
      <w:r w:rsidR="00D70B06">
        <w:rPr>
          <w:rFonts w:cs="Arial"/>
          <w:szCs w:val="24"/>
        </w:rPr>
        <w:t>,</w:t>
      </w:r>
      <w:r w:rsidRPr="00E82764">
        <w:t xml:space="preserve"> “X” if no year, etc.), treasury account symbol of the appropriation, other fund, or receipt account for which the </w:t>
      </w:r>
      <w:r w:rsidR="00D70B06">
        <w:t xml:space="preserve">transaction </w:t>
      </w:r>
      <w:r w:rsidRPr="00E82764">
        <w:t>amounts are being reported.  Include any prefix or suffix prescribed by the Treasury Department on the classification authorization.  No other suffix or prefix may be shown.</w:t>
      </w:r>
    </w:p>
    <w:p w14:paraId="14C1F8AB" w14:textId="77777777" w:rsidR="002048D3" w:rsidRPr="00E82764" w:rsidRDefault="002048D3" w:rsidP="00FD6E7A">
      <w:pPr>
        <w:tabs>
          <w:tab w:val="left" w:pos="540"/>
          <w:tab w:val="left" w:pos="1080"/>
          <w:tab w:val="left" w:pos="1620"/>
          <w:tab w:val="left" w:pos="2160"/>
        </w:tabs>
        <w:spacing w:after="240"/>
      </w:pPr>
      <w:r w:rsidRPr="00E82764">
        <w:tab/>
      </w:r>
      <w:r w:rsidRPr="00E82764">
        <w:tab/>
      </w:r>
      <w:r w:rsidRPr="00E82764">
        <w:tab/>
        <w:t xml:space="preserve">C5.6.7.2.2.  </w:t>
      </w:r>
      <w:r w:rsidRPr="00E82764">
        <w:rPr>
          <w:u w:val="single"/>
        </w:rPr>
        <w:t>Reimbursements (Credits)</w:t>
      </w:r>
      <w:r w:rsidRPr="00E82764">
        <w:t xml:space="preserve">.  Enter the amounts of </w:t>
      </w:r>
      <w:r w:rsidR="00D70B06">
        <w:t xml:space="preserve">collected </w:t>
      </w:r>
      <w:r w:rsidRPr="00E82764">
        <w:t>appropriation reimbursements applicable to each related appropriation or other fund account.</w:t>
      </w:r>
    </w:p>
    <w:p w14:paraId="14C1F8AC" w14:textId="77777777" w:rsidR="002048D3" w:rsidRPr="00E82764" w:rsidRDefault="002048D3" w:rsidP="00FD6E7A">
      <w:pPr>
        <w:tabs>
          <w:tab w:val="left" w:pos="540"/>
          <w:tab w:val="left" w:pos="1080"/>
          <w:tab w:val="left" w:pos="1620"/>
          <w:tab w:val="left" w:pos="2160"/>
        </w:tabs>
        <w:spacing w:after="240"/>
      </w:pPr>
      <w:r w:rsidRPr="00E82764">
        <w:tab/>
      </w:r>
      <w:r w:rsidRPr="00E82764">
        <w:tab/>
      </w:r>
      <w:r w:rsidRPr="00E82764">
        <w:tab/>
        <w:t xml:space="preserve">C5.6.7.2.3.  </w:t>
      </w:r>
      <w:r w:rsidRPr="00E82764">
        <w:rPr>
          <w:u w:val="single"/>
        </w:rPr>
        <w:t>Expenditures (Charges)</w:t>
      </w:r>
      <w:r w:rsidRPr="00E82764">
        <w:t>.  Enter the amounts of disbursements chargeable to each appropriation or other fund symbol.</w:t>
      </w:r>
    </w:p>
    <w:p w14:paraId="14C1F8AD" w14:textId="77777777" w:rsidR="002048D3" w:rsidRPr="00E82764" w:rsidRDefault="002048D3" w:rsidP="00FD6E7A">
      <w:pPr>
        <w:tabs>
          <w:tab w:val="left" w:pos="540"/>
          <w:tab w:val="left" w:pos="1080"/>
          <w:tab w:val="left" w:pos="1620"/>
          <w:tab w:val="left" w:pos="2160"/>
        </w:tabs>
        <w:spacing w:after="240"/>
        <w:outlineLvl w:val="0"/>
        <w:rPr>
          <w:rFonts w:cs="Arial"/>
          <w:szCs w:val="24"/>
        </w:rPr>
      </w:pPr>
      <w:r w:rsidRPr="00E82764">
        <w:t xml:space="preserve">C5.7.  </w:t>
      </w:r>
      <w:r w:rsidRPr="00E82764">
        <w:rPr>
          <w:u w:val="single"/>
        </w:rPr>
        <w:t>CENTRAL ACCOUNTS OFFICE LEVEL INTERFUND PROCEDURES</w:t>
      </w:r>
    </w:p>
    <w:p w14:paraId="14C1F8AE" w14:textId="19D8BF81" w:rsidR="002048D3" w:rsidRPr="00E82764" w:rsidRDefault="002048D3" w:rsidP="00FD6E7A">
      <w:pPr>
        <w:tabs>
          <w:tab w:val="left" w:pos="540"/>
          <w:tab w:val="left" w:pos="1080"/>
          <w:tab w:val="left" w:pos="1620"/>
          <w:tab w:val="left" w:pos="2160"/>
        </w:tabs>
        <w:spacing w:after="240"/>
      </w:pPr>
      <w:r w:rsidRPr="00E82764">
        <w:rPr>
          <w:rFonts w:cs="Arial"/>
          <w:szCs w:val="24"/>
        </w:rPr>
        <w:tab/>
        <w:t>C5.7.1</w:t>
      </w:r>
      <w:r w:rsidRPr="00E82764">
        <w:t xml:space="preserve">.  Army, Navy, Air Force, and GSA </w:t>
      </w:r>
      <w:r w:rsidR="00727142">
        <w:t>will</w:t>
      </w:r>
      <w:r w:rsidRPr="00E82764">
        <w:t xml:space="preserve"> prescribe procedures consistent with those prescribed in this Manual for:</w:t>
      </w:r>
    </w:p>
    <w:p w14:paraId="14C1F8AF" w14:textId="2B37645F" w:rsidR="002048D3" w:rsidRPr="00E82764" w:rsidRDefault="002048D3" w:rsidP="00FD6E7A">
      <w:pPr>
        <w:tabs>
          <w:tab w:val="left" w:pos="540"/>
          <w:tab w:val="left" w:pos="1080"/>
          <w:tab w:val="left" w:pos="1620"/>
          <w:tab w:val="left" w:pos="2160"/>
        </w:tabs>
        <w:spacing w:after="240"/>
      </w:pPr>
      <w:r w:rsidRPr="00E82764">
        <w:rPr>
          <w:rFonts w:cs="Arial"/>
          <w:szCs w:val="24"/>
        </w:rPr>
        <w:tab/>
      </w:r>
      <w:r w:rsidRPr="00E82764">
        <w:tab/>
        <w:t>C5.7.1.</w:t>
      </w:r>
      <w:r w:rsidRPr="00E82764">
        <w:rPr>
          <w:rFonts w:cs="Arial"/>
          <w:szCs w:val="24"/>
        </w:rPr>
        <w:t>1.</w:t>
      </w:r>
      <w:r w:rsidRPr="00E82764">
        <w:t xml:space="preserve">  Reporting </w:t>
      </w:r>
      <w:proofErr w:type="spellStart"/>
      <w:r w:rsidRPr="00E82764">
        <w:t>interfund</w:t>
      </w:r>
      <w:proofErr w:type="spellEnd"/>
      <w:r w:rsidRPr="00E82764">
        <w:t xml:space="preserve"> reimbursements and disbursements originated by </w:t>
      </w:r>
      <w:r w:rsidR="00D32968">
        <w:t>A</w:t>
      </w:r>
      <w:r w:rsidRPr="00E82764">
        <w:t xml:space="preserve">ctivities serviced by their disbursing offices and </w:t>
      </w:r>
      <w:r w:rsidR="00727142">
        <w:t>will</w:t>
      </w:r>
      <w:r w:rsidRPr="00E82764">
        <w:t xml:space="preserve"> be included in their “Statement of </w:t>
      </w:r>
      <w:proofErr w:type="spellStart"/>
      <w:r w:rsidRPr="00E82764">
        <w:t>Interfund</w:t>
      </w:r>
      <w:proofErr w:type="spellEnd"/>
      <w:r w:rsidRPr="00E82764">
        <w:t xml:space="preserve"> Transactions.”</w:t>
      </w:r>
    </w:p>
    <w:p w14:paraId="14C1F8B0" w14:textId="0712664F" w:rsidR="002048D3" w:rsidRPr="00E82764" w:rsidRDefault="002048D3" w:rsidP="00FD6E7A">
      <w:pPr>
        <w:tabs>
          <w:tab w:val="left" w:pos="540"/>
          <w:tab w:val="left" w:pos="1080"/>
          <w:tab w:val="left" w:pos="1620"/>
          <w:tab w:val="left" w:pos="2160"/>
        </w:tabs>
        <w:spacing w:after="240"/>
      </w:pPr>
      <w:r w:rsidRPr="00E82764">
        <w:rPr>
          <w:rFonts w:cs="Arial"/>
          <w:szCs w:val="24"/>
        </w:rPr>
        <w:tab/>
      </w:r>
      <w:r w:rsidRPr="00E82764">
        <w:tab/>
        <w:t>C5.7.</w:t>
      </w:r>
      <w:r w:rsidRPr="00E82764">
        <w:rPr>
          <w:rFonts w:cs="Arial"/>
          <w:szCs w:val="24"/>
        </w:rPr>
        <w:t>1.</w:t>
      </w:r>
      <w:r w:rsidRPr="00E82764">
        <w:t xml:space="preserve">2.  Adjusting, accepting or otherwise clearing </w:t>
      </w:r>
      <w:proofErr w:type="spellStart"/>
      <w:r w:rsidRPr="00E82764">
        <w:t>interfund</w:t>
      </w:r>
      <w:proofErr w:type="spellEnd"/>
      <w:r w:rsidRPr="00E82764">
        <w:t xml:space="preserve"> disbursements charged to </w:t>
      </w:r>
      <w:r w:rsidR="00EE3B27">
        <w:t>A</w:t>
      </w:r>
      <w:r w:rsidRPr="00E82764">
        <w:t xml:space="preserve">ctivities serviced by their disbursing offices and whose adjustments </w:t>
      </w:r>
      <w:r w:rsidR="00727142">
        <w:t>will</w:t>
      </w:r>
      <w:r w:rsidRPr="00E82764">
        <w:t xml:space="preserve"> be included in their Statement</w:t>
      </w:r>
      <w:r w:rsidR="00EE3B27">
        <w:t>s</w:t>
      </w:r>
      <w:r w:rsidRPr="00E82764">
        <w:t xml:space="preserve"> of </w:t>
      </w:r>
      <w:proofErr w:type="spellStart"/>
      <w:r w:rsidRPr="00E82764">
        <w:t>Interfund</w:t>
      </w:r>
      <w:proofErr w:type="spellEnd"/>
      <w:r w:rsidRPr="00E82764">
        <w:t xml:space="preserve"> Transactions.</w:t>
      </w:r>
    </w:p>
    <w:p w14:paraId="14C1F8B1" w14:textId="77777777" w:rsidR="002048D3" w:rsidRPr="00E82764" w:rsidRDefault="002048D3" w:rsidP="00FD6E7A">
      <w:pPr>
        <w:tabs>
          <w:tab w:val="left" w:pos="540"/>
          <w:tab w:val="left" w:pos="1080"/>
          <w:tab w:val="left" w:pos="1620"/>
          <w:tab w:val="left" w:pos="2160"/>
        </w:tabs>
        <w:spacing w:after="240"/>
      </w:pPr>
      <w:r w:rsidRPr="00E82764">
        <w:rPr>
          <w:rFonts w:cs="Arial"/>
          <w:szCs w:val="24"/>
        </w:rPr>
        <w:tab/>
      </w:r>
      <w:r w:rsidRPr="00E82764">
        <w:tab/>
        <w:t>C5.7</w:t>
      </w:r>
      <w:r w:rsidRPr="00E82764">
        <w:rPr>
          <w:rFonts w:cs="Arial"/>
          <w:szCs w:val="24"/>
        </w:rPr>
        <w:t>.1</w:t>
      </w:r>
      <w:r w:rsidRPr="00E82764">
        <w:t xml:space="preserve">.3.  Ensuring there are adequate controls over </w:t>
      </w:r>
      <w:proofErr w:type="spellStart"/>
      <w:r w:rsidRPr="00E82764">
        <w:t>interfund</w:t>
      </w:r>
      <w:proofErr w:type="spellEnd"/>
      <w:r w:rsidR="00EE3B27">
        <w:t>-</w:t>
      </w:r>
      <w:r w:rsidRPr="00E82764">
        <w:t>related transactions such that:</w:t>
      </w:r>
    </w:p>
    <w:p w14:paraId="14C1F8B2" w14:textId="77777777" w:rsidR="002048D3" w:rsidRPr="00E82764" w:rsidRDefault="002048D3" w:rsidP="00FD6E7A">
      <w:pPr>
        <w:tabs>
          <w:tab w:val="left" w:pos="540"/>
          <w:tab w:val="left" w:pos="1080"/>
          <w:tab w:val="left" w:pos="1620"/>
          <w:tab w:val="left" w:pos="2160"/>
        </w:tabs>
        <w:spacing w:after="240"/>
      </w:pPr>
      <w:r w:rsidRPr="00E82764">
        <w:tab/>
      </w:r>
      <w:r w:rsidRPr="00E82764">
        <w:tab/>
      </w:r>
      <w:r w:rsidRPr="00E82764">
        <w:rPr>
          <w:rFonts w:cs="Arial"/>
          <w:szCs w:val="24"/>
        </w:rPr>
        <w:tab/>
      </w:r>
      <w:r w:rsidRPr="00E82764">
        <w:t>C5.7</w:t>
      </w:r>
      <w:r w:rsidRPr="00E82764">
        <w:rPr>
          <w:rFonts w:cs="Arial"/>
          <w:szCs w:val="24"/>
        </w:rPr>
        <w:t>.1</w:t>
      </w:r>
      <w:r w:rsidRPr="00E82764">
        <w:t>.3.1.  Lapsed accounts are not reported to the Treasury Department or the other DoD Components.</w:t>
      </w:r>
    </w:p>
    <w:p w14:paraId="14C1F8B3" w14:textId="77777777" w:rsidR="002048D3" w:rsidRPr="00E82764" w:rsidRDefault="002048D3" w:rsidP="00FD6E7A">
      <w:pPr>
        <w:tabs>
          <w:tab w:val="left" w:pos="540"/>
          <w:tab w:val="left" w:pos="1080"/>
          <w:tab w:val="left" w:pos="1620"/>
          <w:tab w:val="left" w:pos="2160"/>
        </w:tabs>
        <w:spacing w:after="240"/>
      </w:pPr>
      <w:r w:rsidRPr="00E82764">
        <w:tab/>
      </w:r>
      <w:r w:rsidRPr="00E82764">
        <w:tab/>
      </w:r>
      <w:r w:rsidRPr="00E82764">
        <w:rPr>
          <w:rFonts w:cs="Arial"/>
          <w:szCs w:val="24"/>
        </w:rPr>
        <w:tab/>
      </w:r>
      <w:r w:rsidRPr="00E82764">
        <w:t>C5.7</w:t>
      </w:r>
      <w:r w:rsidRPr="00E82764">
        <w:rPr>
          <w:rFonts w:cs="Arial"/>
          <w:szCs w:val="24"/>
        </w:rPr>
        <w:t>.1</w:t>
      </w:r>
      <w:r w:rsidRPr="00E82764">
        <w:t>.3.2.  Invalid account symbols are converted to the agency default appropriation</w:t>
      </w:r>
      <w:r w:rsidRPr="00E82764">
        <w:rPr>
          <w:rFonts w:cs="Arial"/>
          <w:szCs w:val="24"/>
        </w:rPr>
        <w:t xml:space="preserve"> as defined in Appendix 2.2 of this regulation</w:t>
      </w:r>
      <w:r w:rsidRPr="00E82764">
        <w:t>.</w:t>
      </w:r>
    </w:p>
    <w:p w14:paraId="14C1F8B4" w14:textId="7F62570E" w:rsidR="002048D3" w:rsidRPr="00E82764" w:rsidRDefault="002048D3" w:rsidP="00FD6E7A">
      <w:pPr>
        <w:tabs>
          <w:tab w:val="left" w:pos="540"/>
          <w:tab w:val="left" w:pos="1080"/>
          <w:tab w:val="left" w:pos="1620"/>
          <w:tab w:val="left" w:pos="2160"/>
        </w:tabs>
        <w:spacing w:after="240"/>
      </w:pPr>
      <w:r w:rsidRPr="00E82764">
        <w:rPr>
          <w:rFonts w:cs="Arial"/>
          <w:szCs w:val="24"/>
        </w:rPr>
        <w:tab/>
      </w:r>
      <w:r w:rsidRPr="00E82764">
        <w:tab/>
      </w:r>
      <w:r w:rsidRPr="00E82764">
        <w:tab/>
        <w:t>C5.7.</w:t>
      </w:r>
      <w:r w:rsidRPr="00E82764">
        <w:rPr>
          <w:rFonts w:cs="Arial"/>
          <w:szCs w:val="24"/>
        </w:rPr>
        <w:t>1.</w:t>
      </w:r>
      <w:r w:rsidRPr="00E82764">
        <w:t xml:space="preserve">3.3.  Seller </w:t>
      </w:r>
      <w:proofErr w:type="spellStart"/>
      <w:r w:rsidRPr="00E82764">
        <w:t>interfund</w:t>
      </w:r>
      <w:proofErr w:type="spellEnd"/>
      <w:r w:rsidRPr="00E82764">
        <w:t xml:space="preserve"> reimbursements reported to the Treasury Department are based upon </w:t>
      </w:r>
      <w:proofErr w:type="spellStart"/>
      <w:r w:rsidRPr="00E82764">
        <w:t>interfund</w:t>
      </w:r>
      <w:proofErr w:type="spellEnd"/>
      <w:r w:rsidRPr="00E82764">
        <w:t xml:space="preserve"> billings validated by </w:t>
      </w:r>
      <w:r w:rsidR="004F5F35">
        <w:t>DAAS</w:t>
      </w:r>
      <w:r w:rsidRPr="00E82764">
        <w:t>.</w:t>
      </w:r>
    </w:p>
    <w:p w14:paraId="14C1F8B5" w14:textId="77777777" w:rsidR="002048D3" w:rsidRPr="00E82764" w:rsidRDefault="002048D3" w:rsidP="00FD6E7A">
      <w:pPr>
        <w:tabs>
          <w:tab w:val="left" w:pos="540"/>
          <w:tab w:val="left" w:pos="1080"/>
          <w:tab w:val="left" w:pos="1620"/>
          <w:tab w:val="left" w:pos="2160"/>
        </w:tabs>
        <w:spacing w:after="240"/>
      </w:pPr>
      <w:r w:rsidRPr="00E82764">
        <w:rPr>
          <w:rFonts w:cs="Arial"/>
          <w:szCs w:val="24"/>
        </w:rPr>
        <w:tab/>
      </w:r>
      <w:r w:rsidRPr="00E82764">
        <w:tab/>
      </w:r>
      <w:r w:rsidRPr="00E82764">
        <w:tab/>
        <w:t>C5.7.</w:t>
      </w:r>
      <w:r w:rsidRPr="00E82764">
        <w:rPr>
          <w:rFonts w:cs="Arial"/>
          <w:szCs w:val="24"/>
        </w:rPr>
        <w:t>1.</w:t>
      </w:r>
      <w:r w:rsidRPr="00E82764">
        <w:t>3.4.  Disbursements charged to billed offices are processed by the billed office.</w:t>
      </w:r>
    </w:p>
    <w:p w14:paraId="14C1F8B6" w14:textId="77777777" w:rsidR="002048D3" w:rsidRPr="00E82764" w:rsidRDefault="002048D3" w:rsidP="00FD6E7A">
      <w:pPr>
        <w:tabs>
          <w:tab w:val="left" w:pos="540"/>
          <w:tab w:val="left" w:pos="1080"/>
          <w:tab w:val="left" w:pos="1620"/>
          <w:tab w:val="left" w:pos="2160"/>
        </w:tabs>
        <w:spacing w:after="240"/>
      </w:pPr>
      <w:r w:rsidRPr="00E82764">
        <w:tab/>
      </w:r>
      <w:r w:rsidRPr="00E82764">
        <w:tab/>
      </w:r>
      <w:r w:rsidRPr="00E82764">
        <w:rPr>
          <w:rFonts w:cs="Arial"/>
          <w:szCs w:val="24"/>
        </w:rPr>
        <w:tab/>
      </w:r>
      <w:r w:rsidRPr="00E82764">
        <w:t>C5.7</w:t>
      </w:r>
      <w:r w:rsidRPr="00E82764">
        <w:rPr>
          <w:rFonts w:cs="Arial"/>
          <w:szCs w:val="24"/>
        </w:rPr>
        <w:t>.1</w:t>
      </w:r>
      <w:r w:rsidRPr="00E82764">
        <w:t xml:space="preserve">.3.5.  </w:t>
      </w:r>
      <w:proofErr w:type="spellStart"/>
      <w:r w:rsidRPr="00E82764">
        <w:rPr>
          <w:u w:val="single"/>
        </w:rPr>
        <w:t>Uncleared</w:t>
      </w:r>
      <w:proofErr w:type="spellEnd"/>
      <w:r w:rsidRPr="00E82764">
        <w:rPr>
          <w:u w:val="single"/>
        </w:rPr>
        <w:t xml:space="preserve"> Disputed Transactions</w:t>
      </w:r>
    </w:p>
    <w:p w14:paraId="14C1F8B7" w14:textId="67EB9759" w:rsidR="002048D3" w:rsidRPr="008B1955" w:rsidRDefault="002048D3" w:rsidP="00653DA6">
      <w:pPr>
        <w:tabs>
          <w:tab w:val="left" w:pos="540"/>
          <w:tab w:val="left" w:pos="1080"/>
          <w:tab w:val="left" w:pos="1620"/>
          <w:tab w:val="left" w:pos="2160"/>
        </w:tabs>
        <w:spacing w:after="240"/>
      </w:pPr>
      <w:r w:rsidRPr="00E82764">
        <w:rPr>
          <w:rFonts w:cs="Arial"/>
          <w:szCs w:val="24"/>
        </w:rPr>
        <w:tab/>
      </w:r>
      <w:r w:rsidRPr="00E82764">
        <w:tab/>
      </w:r>
      <w:r w:rsidRPr="00E82764">
        <w:tab/>
      </w:r>
      <w:r w:rsidRPr="00E82764">
        <w:tab/>
        <w:t>C5.7.</w:t>
      </w:r>
      <w:r w:rsidRPr="00E82764">
        <w:rPr>
          <w:rFonts w:cs="Arial"/>
          <w:szCs w:val="24"/>
        </w:rPr>
        <w:t>1.</w:t>
      </w:r>
      <w:r w:rsidRPr="00E82764">
        <w:t xml:space="preserve">3.5.1.  </w:t>
      </w:r>
      <w:proofErr w:type="spellStart"/>
      <w:r w:rsidRPr="00E82764">
        <w:t>Uncleared</w:t>
      </w:r>
      <w:proofErr w:type="spellEnd"/>
      <w:r w:rsidRPr="00E82764">
        <w:t xml:space="preserve"> “disputed” transactions </w:t>
      </w:r>
      <w:r w:rsidR="0060116B">
        <w:t>will</w:t>
      </w:r>
      <w:r w:rsidRPr="00E82764">
        <w:t xml:space="preserve"> be researched and cleared within a reasonable period</w:t>
      </w:r>
      <w:r w:rsidR="00FD6E7A">
        <w:t xml:space="preserve"> (i.e., </w:t>
      </w:r>
      <w:r w:rsidRPr="00E82764">
        <w:t xml:space="preserve"> within 120 calendar days of the date the disbursement was reported to DFAS when the entitlement office </w:t>
      </w:r>
      <w:r w:rsidRPr="00E82764">
        <w:rPr>
          <w:rFonts w:cs="Arial"/>
          <w:szCs w:val="24"/>
        </w:rPr>
        <w:t>an</w:t>
      </w:r>
      <w:r>
        <w:rPr>
          <w:rFonts w:cs="Arial"/>
          <w:szCs w:val="24"/>
        </w:rPr>
        <w:t>d</w:t>
      </w:r>
      <w:r w:rsidRPr="00E82764">
        <w:t xml:space="preserve"> accounting office are not co-located and 90 days when they are co-located</w:t>
      </w:r>
      <w:r w:rsidR="00FD6E7A">
        <w:t>)</w:t>
      </w:r>
      <w:r w:rsidRPr="0086487B">
        <w:rPr>
          <w:rFonts w:cs="Arial"/>
        </w:rPr>
        <w:t xml:space="preserve">.  </w:t>
      </w:r>
      <w:r w:rsidRPr="008B1955">
        <w:rPr>
          <w:rFonts w:cs="Arial"/>
          <w:color w:val="000000"/>
          <w:szCs w:val="24"/>
        </w:rPr>
        <w:t>Amounts placed in suspense; that is, charged to the clearing account, are transferred to</w:t>
      </w:r>
      <w:r w:rsidRPr="008B1955">
        <w:rPr>
          <w:rFonts w:cs="Arial"/>
          <w:bCs/>
          <w:iCs/>
          <w:color w:val="000000"/>
          <w:szCs w:val="24"/>
        </w:rPr>
        <w:t xml:space="preserve"> </w:t>
      </w:r>
      <w:r w:rsidRPr="008B1955">
        <w:rPr>
          <w:rFonts w:cs="Arial"/>
          <w:color w:val="000000"/>
          <w:szCs w:val="24"/>
        </w:rPr>
        <w:t>another account or are otherwise cleared within the same period as above.</w:t>
      </w:r>
    </w:p>
    <w:p w14:paraId="14C1F8B8" w14:textId="0AB4B46A" w:rsidR="002926E4" w:rsidRDefault="002048D3" w:rsidP="009E2F58">
      <w:pPr>
        <w:tabs>
          <w:tab w:val="left" w:pos="540"/>
          <w:tab w:val="left" w:pos="1080"/>
          <w:tab w:val="left" w:pos="1620"/>
          <w:tab w:val="left" w:pos="2160"/>
        </w:tabs>
        <w:spacing w:after="240"/>
      </w:pPr>
      <w:r w:rsidRPr="00E82764">
        <w:rPr>
          <w:rFonts w:cs="Arial"/>
          <w:szCs w:val="24"/>
        </w:rPr>
        <w:tab/>
      </w:r>
      <w:r w:rsidRPr="00E82764">
        <w:tab/>
      </w:r>
      <w:r w:rsidRPr="00E82764">
        <w:tab/>
      </w:r>
      <w:r w:rsidRPr="00E82764">
        <w:tab/>
        <w:t xml:space="preserve">C5.7.1.3.5.2.  Within 90 days of the disbursement being </w:t>
      </w:r>
      <w:r w:rsidRPr="00E82764">
        <w:rPr>
          <w:rFonts w:cs="Arial"/>
          <w:szCs w:val="24"/>
        </w:rPr>
        <w:t>report</w:t>
      </w:r>
      <w:r w:rsidRPr="00E82764">
        <w:t xml:space="preserve"> to DFAS</w:t>
      </w:r>
      <w:r w:rsidRPr="00E82764">
        <w:rPr>
          <w:rFonts w:cs="Arial"/>
          <w:szCs w:val="24"/>
        </w:rPr>
        <w:t>, or</w:t>
      </w:r>
      <w:r w:rsidRPr="00E82764">
        <w:t xml:space="preserve"> 60 days if co-located, DFAS </w:t>
      </w:r>
      <w:r w:rsidR="0060116B">
        <w:t>will</w:t>
      </w:r>
      <w:r w:rsidRPr="00E82764">
        <w:t xml:space="preserve"> ask the customer to follow</w:t>
      </w:r>
      <w:r w:rsidR="00653DA6">
        <w:t xml:space="preserve"> </w:t>
      </w:r>
      <w:r w:rsidRPr="00E82764">
        <w:t xml:space="preserve">up on </w:t>
      </w:r>
      <w:proofErr w:type="spellStart"/>
      <w:r w:rsidRPr="00E82764">
        <w:t>uncleared</w:t>
      </w:r>
      <w:proofErr w:type="spellEnd"/>
      <w:r w:rsidRPr="00E82764">
        <w:t xml:space="preserve"> detail bill</w:t>
      </w:r>
      <w:r>
        <w:t>s</w:t>
      </w:r>
      <w:r w:rsidRPr="00E82764">
        <w:t xml:space="preserve">.  When a customer leaves a detail bill </w:t>
      </w:r>
      <w:r w:rsidRPr="00E82764">
        <w:rPr>
          <w:rFonts w:cs="Arial"/>
          <w:szCs w:val="24"/>
        </w:rPr>
        <w:t>un</w:t>
      </w:r>
      <w:r w:rsidRPr="00E82764">
        <w:t xml:space="preserve">charged for 120 calendar days </w:t>
      </w:r>
      <w:r w:rsidR="00653DA6">
        <w:t>(</w:t>
      </w:r>
      <w:r w:rsidRPr="00E82764">
        <w:t>90 days if co-located</w:t>
      </w:r>
      <w:r w:rsidR="00653DA6">
        <w:t>)</w:t>
      </w:r>
      <w:r w:rsidRPr="00E82764">
        <w:t xml:space="preserve">, DFAS </w:t>
      </w:r>
      <w:r w:rsidR="0060116B">
        <w:t>will</w:t>
      </w:r>
      <w:r w:rsidRPr="00E82764">
        <w:t xml:space="preserve"> contact the customer for an appropriation to charge to clear the detail bill.  Only when a written notification </w:t>
      </w:r>
      <w:r w:rsidR="00653DA6">
        <w:t xml:space="preserve">from the seller </w:t>
      </w:r>
      <w:r w:rsidRPr="00E82764">
        <w:t xml:space="preserve">that </w:t>
      </w:r>
      <w:r w:rsidR="00653DA6">
        <w:t xml:space="preserve">an </w:t>
      </w:r>
      <w:r w:rsidRPr="00E82764">
        <w:t>adjustment is forthcoming may the item remain unprocessed after this timeframe</w:t>
      </w:r>
      <w:r w:rsidRPr="0086487B">
        <w:rPr>
          <w:rFonts w:cs="Arial"/>
        </w:rPr>
        <w:t xml:space="preserve">.  </w:t>
      </w:r>
      <w:r w:rsidRPr="008B1955">
        <w:rPr>
          <w:rFonts w:cs="Arial"/>
          <w:bCs/>
          <w:iCs/>
          <w:color w:val="000000"/>
          <w:szCs w:val="24"/>
        </w:rPr>
        <w:t xml:space="preserve">Within 90 days of the </w:t>
      </w:r>
      <w:r w:rsidRPr="008B1955">
        <w:rPr>
          <w:rFonts w:cs="Arial"/>
          <w:color w:val="000000"/>
          <w:szCs w:val="24"/>
        </w:rPr>
        <w:t xml:space="preserve">suspense date </w:t>
      </w:r>
      <w:r w:rsidR="00653DA6">
        <w:rPr>
          <w:rFonts w:cs="Arial"/>
          <w:color w:val="000000"/>
          <w:szCs w:val="24"/>
        </w:rPr>
        <w:t>(</w:t>
      </w:r>
      <w:r w:rsidRPr="008B1955">
        <w:rPr>
          <w:rFonts w:cs="Arial"/>
          <w:color w:val="000000"/>
          <w:szCs w:val="24"/>
        </w:rPr>
        <w:t>60 days if co-located</w:t>
      </w:r>
      <w:r w:rsidR="00653DA6">
        <w:rPr>
          <w:rFonts w:cs="Arial"/>
          <w:color w:val="000000"/>
          <w:szCs w:val="24"/>
        </w:rPr>
        <w:t>)</w:t>
      </w:r>
      <w:r w:rsidRPr="008B1955">
        <w:rPr>
          <w:rFonts w:cs="Arial"/>
          <w:color w:val="000000"/>
          <w:szCs w:val="24"/>
        </w:rPr>
        <w:t>, DFAS will ask the customer to clear the amount in suspense and provide an alternative account for th</w:t>
      </w:r>
      <w:bookmarkStart w:id="1" w:name="_GoBack"/>
      <w:bookmarkEnd w:id="1"/>
      <w:r w:rsidRPr="008B1955">
        <w:rPr>
          <w:rFonts w:cs="Arial"/>
          <w:color w:val="000000"/>
          <w:szCs w:val="24"/>
        </w:rPr>
        <w:t>e disbursement.</w:t>
      </w:r>
    </w:p>
    <w:sectPr w:rsidR="002926E4" w:rsidSect="00222E97">
      <w:headerReference w:type="even" r:id="rId11"/>
      <w:headerReference w:type="default" r:id="rId12"/>
      <w:footerReference w:type="even" r:id="rId13"/>
      <w:footerReference w:type="default" r:id="rId14"/>
      <w:type w:val="continuous"/>
      <w:pgSz w:w="12240" w:h="15840" w:code="1"/>
      <w:pgMar w:top="1728" w:right="1440" w:bottom="172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1F8BB" w14:textId="77777777" w:rsidR="00384A65" w:rsidRDefault="00384A65">
      <w:r>
        <w:separator/>
      </w:r>
    </w:p>
  </w:endnote>
  <w:endnote w:type="continuationSeparator" w:id="0">
    <w:p w14:paraId="14C1F8BC" w14:textId="77777777" w:rsidR="00384A65" w:rsidRDefault="003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1F8BF" w14:textId="77777777" w:rsidR="00384A65" w:rsidRPr="00085D75" w:rsidRDefault="00384A65" w:rsidP="00470B8E">
    <w:pPr>
      <w:pStyle w:val="Footer"/>
      <w:rPr>
        <w:rStyle w:val="PageNumber"/>
        <w:b w:val="0"/>
      </w:rPr>
    </w:pPr>
    <w:r w:rsidRPr="00085D75">
      <w:rPr>
        <w:rStyle w:val="PageNumber"/>
      </w:rPr>
      <w:fldChar w:fldCharType="begin"/>
    </w:r>
    <w:r w:rsidRPr="00085D75">
      <w:rPr>
        <w:rStyle w:val="PageNumber"/>
      </w:rPr>
      <w:instrText xml:space="preserve">PAGE  </w:instrText>
    </w:r>
    <w:r w:rsidRPr="00085D75">
      <w:rPr>
        <w:rStyle w:val="PageNumber"/>
      </w:rPr>
      <w:fldChar w:fldCharType="separate"/>
    </w:r>
    <w:r>
      <w:rPr>
        <w:rStyle w:val="PageNumber"/>
        <w:noProof/>
      </w:rPr>
      <w:t>56</w:t>
    </w:r>
    <w:r w:rsidRPr="00085D75">
      <w:rPr>
        <w:rStyle w:val="PageNumber"/>
      </w:rPr>
      <w:fldChar w:fldCharType="end"/>
    </w:r>
  </w:p>
  <w:p w14:paraId="14C1F8C0" w14:textId="77777777" w:rsidR="00384A65" w:rsidRPr="00085D75" w:rsidRDefault="00384A65" w:rsidP="00470B8E">
    <w:pPr>
      <w:pStyle w:val="Footer"/>
    </w:pPr>
    <w:r w:rsidRPr="00085D75">
      <w:tab/>
      <w:t>CHAPTER 5</w:t>
    </w:r>
  </w:p>
  <w:p w14:paraId="14C1F8C1" w14:textId="77777777" w:rsidR="00384A65" w:rsidRDefault="00384A65" w:rsidP="00470B8E">
    <w:pPr>
      <w:pStyle w:val="Footer"/>
    </w:pPr>
  </w:p>
  <w:p w14:paraId="14C1F8C2" w14:textId="77777777" w:rsidR="00384A65" w:rsidRDefault="00384A65" w:rsidP="00470B8E">
    <w:pPr>
      <w:pStyle w:val="Footer"/>
    </w:pPr>
  </w:p>
  <w:p w14:paraId="14C1F8C3" w14:textId="77777777" w:rsidR="00384A65" w:rsidRDefault="00384A65" w:rsidP="00470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AEA37" w14:textId="43DDE8B6" w:rsidR="00470B8E" w:rsidRPr="00470B8E" w:rsidRDefault="00470B8E" w:rsidP="00470B8E">
    <w:pPr>
      <w:pStyle w:val="Footer"/>
    </w:pPr>
    <w:r w:rsidRPr="00470B8E">
      <w:t>C5-</w:t>
    </w:r>
    <w:sdt>
      <w:sdtPr>
        <w:id w:val="-2009048626"/>
        <w:docPartObj>
          <w:docPartGallery w:val="Page Numbers (Bottom of Page)"/>
          <w:docPartUnique/>
        </w:docPartObj>
      </w:sdtPr>
      <w:sdtEndPr>
        <w:rPr>
          <w:noProof/>
        </w:rPr>
      </w:sdtEndPr>
      <w:sdtContent>
        <w:r w:rsidRPr="00470B8E">
          <w:fldChar w:fldCharType="begin"/>
        </w:r>
        <w:r w:rsidRPr="00470B8E">
          <w:instrText xml:space="preserve"> PAGE   \* MERGEFORMAT </w:instrText>
        </w:r>
        <w:r w:rsidRPr="00470B8E">
          <w:fldChar w:fldCharType="separate"/>
        </w:r>
        <w:r>
          <w:rPr>
            <w:noProof/>
          </w:rPr>
          <w:t>7</w:t>
        </w:r>
        <w:r w:rsidRPr="00470B8E">
          <w:rPr>
            <w:noProof/>
          </w:rPr>
          <w:fldChar w:fldCharType="end"/>
        </w:r>
        <w:r w:rsidRPr="00470B8E">
          <w:rPr>
            <w:noProof/>
          </w:rPr>
          <w:tab/>
          <w:t>CHAPTER 5</w:t>
        </w:r>
      </w:sdtContent>
    </w:sdt>
  </w:p>
  <w:p w14:paraId="14C1F8C5" w14:textId="65DE51A7" w:rsidR="00384A65" w:rsidRPr="00E2700D" w:rsidRDefault="00384A65" w:rsidP="00470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1F8B9" w14:textId="77777777" w:rsidR="00384A65" w:rsidRDefault="00384A65">
      <w:r>
        <w:separator/>
      </w:r>
    </w:p>
  </w:footnote>
  <w:footnote w:type="continuationSeparator" w:id="0">
    <w:p w14:paraId="14C1F8BA" w14:textId="77777777" w:rsidR="00384A65" w:rsidRDefault="00384A65">
      <w:r>
        <w:continuationSeparator/>
      </w:r>
    </w:p>
  </w:footnote>
  <w:footnote w:id="1">
    <w:p w14:paraId="14C1F8C8" w14:textId="4CD0A83C" w:rsidR="00384A65" w:rsidRDefault="00384A65" w:rsidP="008B1955">
      <w:pPr>
        <w:spacing w:after="115"/>
      </w:pPr>
      <w:r w:rsidRPr="005B7B36">
        <w:rPr>
          <w:rFonts w:cs="Arial"/>
          <w:vertAlign w:val="superscript"/>
        </w:rPr>
        <w:footnoteRef/>
      </w:r>
      <w:r w:rsidRPr="005B7B36">
        <w:rPr>
          <w:rFonts w:cs="Arial"/>
        </w:rPr>
        <w:t xml:space="preserve"> </w:t>
      </w:r>
      <w:r w:rsidRPr="005B7B36">
        <w:rPr>
          <w:rFonts w:cs="Arial"/>
          <w:sz w:val="20"/>
        </w:rPr>
        <w:t xml:space="preserve">For purposes of this procedure, the Component Identification for 97X4930 is in the 1st position of the </w:t>
      </w:r>
      <w:r w:rsidR="001570FF" w:rsidRPr="00783EC1">
        <w:rPr>
          <w:rFonts w:cs="Arial"/>
          <w:sz w:val="20"/>
        </w:rPr>
        <w:t>Sub-Allocation Holder Identifier</w:t>
      </w:r>
      <w:r w:rsidRPr="005B7B36">
        <w:rPr>
          <w:rFonts w:cs="Arial"/>
          <w:sz w:val="20"/>
        </w:rPr>
        <w:t xml:space="preserve"> and is A (USA), N (USN), F (USAF), M (USMC), and 5 (Defense Agencies).  For other than 97X4930</w:t>
      </w:r>
      <w:r>
        <w:rPr>
          <w:rFonts w:cs="Arial"/>
          <w:sz w:val="20"/>
        </w:rPr>
        <w:t>,</w:t>
      </w:r>
      <w:r w:rsidRPr="005B7B36">
        <w:rPr>
          <w:rFonts w:cs="Arial"/>
          <w:sz w:val="20"/>
        </w:rPr>
        <w:t xml:space="preserve"> the identification is in the 1st two positions and </w:t>
      </w:r>
      <w:r>
        <w:rPr>
          <w:rFonts w:cs="Arial"/>
          <w:sz w:val="20"/>
        </w:rPr>
        <w:t xml:space="preserve">is </w:t>
      </w:r>
      <w:r w:rsidRPr="005B7B36">
        <w:rPr>
          <w:rFonts w:cs="Arial"/>
          <w:sz w:val="20"/>
        </w:rPr>
        <w:t>01 (USA), 02 (USAF), 04 (USN), and 05 (USMC).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1F8BD" w14:textId="77777777" w:rsidR="00384A65" w:rsidRPr="005C5F38" w:rsidRDefault="00384A65">
    <w:pPr>
      <w:pStyle w:val="Header"/>
      <w:jc w:val="left"/>
      <w:rPr>
        <w:b/>
        <w:u w:val="none"/>
      </w:rPr>
    </w:pPr>
    <w:r w:rsidRPr="005C5F38">
      <w:rPr>
        <w:i/>
        <w:sz w:val="20"/>
        <w:u w:val="none"/>
      </w:rPr>
      <w:t xml:space="preserve">DoD 4000.25-7-M, </w:t>
    </w:r>
    <w:r>
      <w:rPr>
        <w:i/>
        <w:sz w:val="20"/>
        <w:u w:val="none"/>
      </w:rPr>
      <w:t>March 2004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1F8BE" w14:textId="7C424098" w:rsidR="00384A65" w:rsidRPr="008F283E" w:rsidRDefault="00384A65">
    <w:pPr>
      <w:pStyle w:val="Header"/>
      <w:jc w:val="right"/>
      <w:rPr>
        <w:i/>
        <w:szCs w:val="24"/>
        <w:u w:val="none"/>
      </w:rPr>
    </w:pPr>
    <w:r w:rsidRPr="008F283E">
      <w:rPr>
        <w:rFonts w:cs="Arial"/>
        <w:i/>
        <w:szCs w:val="24"/>
        <w:u w:val="none"/>
      </w:rPr>
      <w:t xml:space="preserve">DLM 4000.25, Volume 4, </w:t>
    </w:r>
    <w:r w:rsidR="00FF5AB6">
      <w:rPr>
        <w:rFonts w:cs="Arial"/>
        <w:i/>
        <w:szCs w:val="24"/>
        <w:u w:val="none"/>
      </w:rPr>
      <w:t>April 29</w:t>
    </w:r>
    <w:r w:rsidR="00783EC1">
      <w:rPr>
        <w:rFonts w:cs="Arial"/>
        <w:i/>
        <w:szCs w:val="24"/>
        <w:u w:val="none"/>
      </w:rPr>
      <w:t xml:space="preserve">, </w:t>
    </w:r>
    <w:r w:rsidR="00FF5AB6">
      <w:rPr>
        <w:rFonts w:cs="Arial"/>
        <w:i/>
        <w:szCs w:val="24"/>
        <w:u w:val="none"/>
      </w:rPr>
      <w:t>2016</w:t>
    </w:r>
  </w:p>
  <w:p w14:paraId="0A1A9FDB" w14:textId="3265BE6C" w:rsidR="000464AD" w:rsidRPr="008F283E" w:rsidRDefault="000464AD">
    <w:pPr>
      <w:pStyle w:val="Header"/>
      <w:jc w:val="right"/>
      <w:rPr>
        <w:i/>
        <w:u w:val="none"/>
      </w:rPr>
    </w:pPr>
    <w:r w:rsidRPr="008F283E">
      <w:rPr>
        <w:i/>
        <w:szCs w:val="24"/>
        <w:u w:val="none"/>
      </w:rPr>
      <w:t xml:space="preserve">Change </w:t>
    </w:r>
    <w:r w:rsidR="00783EC1">
      <w:rPr>
        <w:i/>
        <w:szCs w:val="24"/>
        <w:u w:val="none"/>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80A2EE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C4E662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965E20A2"/>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2ED0420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51A69E0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10A6340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9A0654E6"/>
    <w:lvl w:ilvl="0">
      <w:start w:val="5"/>
      <w:numFmt w:val="decimal"/>
      <w:pStyle w:val="Heading1"/>
      <w:suff w:val="nothing"/>
      <w:lvlText w:val="C%1. CHAPTER"/>
      <w:lvlJc w:val="left"/>
      <w:rPr>
        <w:rFonts w:ascii="Arial" w:hAnsi="Arial" w:cs="Times New Roman" w:hint="default"/>
        <w:b/>
        <w:i w:val="0"/>
        <w:sz w:val="48"/>
      </w:rPr>
    </w:lvl>
    <w:lvl w:ilvl="1">
      <w:start w:val="1"/>
      <w:numFmt w:val="decimal"/>
      <w:suff w:val="nothing"/>
      <w:lvlText w:val="C%1.%2  "/>
      <w:lvlJc w:val="left"/>
      <w:rPr>
        <w:rFonts w:ascii="Arial" w:hAnsi="Arial" w:cs="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C%1.%2.%3  "/>
      <w:lvlJc w:val="left"/>
      <w:pPr>
        <w:ind w:firstLine="360"/>
      </w:pPr>
      <w:rPr>
        <w:rFonts w:ascii="Arial" w:hAnsi="Arial" w:cs="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nothing"/>
      <w:lvlText w:val="C%1.%2.%3.%4  "/>
      <w:lvlJc w:val="left"/>
      <w:pPr>
        <w:ind w:firstLine="720"/>
      </w:pPr>
      <w:rPr>
        <w:rFonts w:ascii="Arial" w:hAnsi="Arial"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firstLine="1080"/>
      </w:pPr>
      <w:rPr>
        <w:rFonts w:ascii="Arial" w:hAnsi="Arial" w:cs="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nothing"/>
      <w:lvlText w:val="C%1.%2.%3.%4.%5.%6  "/>
      <w:lvlJc w:val="left"/>
      <w:pPr>
        <w:ind w:firstLine="1440"/>
      </w:pPr>
      <w:rPr>
        <w:rFonts w:ascii="Arial" w:hAnsi="Arial"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firstLine="1800"/>
      </w:pPr>
      <w:rPr>
        <w:rFonts w:ascii="Arial" w:hAnsi="Arial" w:cs="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C%1.%2.%3.%4.%5.%6.%7.%8  "/>
      <w:lvlJc w:val="left"/>
      <w:pPr>
        <w:ind w:firstLine="2160"/>
      </w:pPr>
      <w:rPr>
        <w:rFonts w:ascii="Arial" w:hAnsi="Arial" w:cs="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C%1.%2.%3.%4.%5.%6.%7.%8.%9  "/>
      <w:lvlJc w:val="left"/>
      <w:pPr>
        <w:ind w:firstLine="2520"/>
      </w:pPr>
      <w:rPr>
        <w:rFonts w:ascii="Arial" w:hAnsi="Arial" w:cs="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B11693"/>
    <w:multiLevelType w:val="singleLevel"/>
    <w:tmpl w:val="6D20CAF8"/>
    <w:lvl w:ilvl="0">
      <w:start w:val="1"/>
      <w:numFmt w:val="bullet"/>
      <w:lvlText w:val=""/>
      <w:lvlJc w:val="left"/>
      <w:pPr>
        <w:tabs>
          <w:tab w:val="num" w:pos="432"/>
        </w:tabs>
        <w:ind w:left="432" w:hanging="432"/>
      </w:pPr>
      <w:rPr>
        <w:rFonts w:ascii="Wingdings" w:hAnsi="Wingdings" w:hint="default"/>
      </w:rPr>
    </w:lvl>
  </w:abstractNum>
  <w:abstractNum w:abstractNumId="9" w15:restartNumberingAfterBreak="0">
    <w:nsid w:val="3A423854"/>
    <w:multiLevelType w:val="singleLevel"/>
    <w:tmpl w:val="64AEE376"/>
    <w:lvl w:ilvl="0">
      <w:start w:val="1"/>
      <w:numFmt w:val="bullet"/>
      <w:lvlText w:val=""/>
      <w:lvlJc w:val="left"/>
      <w:pPr>
        <w:tabs>
          <w:tab w:val="num" w:pos="432"/>
        </w:tabs>
        <w:ind w:left="432" w:hanging="432"/>
      </w:pPr>
      <w:rPr>
        <w:rFonts w:ascii="Wingdings" w:hAnsi="Wingdings" w:hint="default"/>
      </w:rPr>
    </w:lvl>
  </w:abstractNum>
  <w:abstractNum w:abstractNumId="10" w15:restartNumberingAfterBreak="0">
    <w:nsid w:val="3B9464B0"/>
    <w:multiLevelType w:val="singleLevel"/>
    <w:tmpl w:val="FF0E7BF2"/>
    <w:lvl w:ilvl="0">
      <w:start w:val="1"/>
      <w:numFmt w:val="bullet"/>
      <w:lvlText w:val=""/>
      <w:lvlJc w:val="left"/>
      <w:pPr>
        <w:tabs>
          <w:tab w:val="num" w:pos="432"/>
        </w:tabs>
        <w:ind w:left="432" w:hanging="432"/>
      </w:pPr>
      <w:rPr>
        <w:rFonts w:ascii="Wingdings" w:hAnsi="Wingdings" w:hint="default"/>
      </w:rPr>
    </w:lvl>
  </w:abstractNum>
  <w:abstractNum w:abstractNumId="11" w15:restartNumberingAfterBreak="0">
    <w:nsid w:val="47FF51F5"/>
    <w:multiLevelType w:val="hybridMultilevel"/>
    <w:tmpl w:val="2FF40F94"/>
    <w:lvl w:ilvl="0" w:tplc="4D0635A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7030327F"/>
    <w:multiLevelType w:val="singleLevel"/>
    <w:tmpl w:val="D0EC68E2"/>
    <w:lvl w:ilvl="0">
      <w:start w:val="3"/>
      <w:numFmt w:val="decimal"/>
      <w:lvlText w:val="%1."/>
      <w:legacy w:legacy="1" w:legacySpace="0" w:legacyIndent="720"/>
      <w:lvlJc w:val="left"/>
      <w:pPr>
        <w:ind w:left="1080" w:hanging="720"/>
      </w:pPr>
      <w:rPr>
        <w:rFonts w:cs="Times New Roman"/>
        <w:u w:val="single"/>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 w:numId="8">
    <w:abstractNumId w:val="9"/>
  </w:num>
  <w:num w:numId="9">
    <w:abstractNumId w:val="10"/>
  </w:num>
  <w:num w:numId="10">
    <w:abstractNumId w:val="8"/>
  </w:num>
  <w:num w:numId="11">
    <w:abstractNumId w:val="7"/>
  </w:num>
  <w:num w:numId="12">
    <w:abstractNumId w:val="12"/>
  </w:num>
  <w:num w:numId="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E6"/>
    <w:rsid w:val="00000115"/>
    <w:rsid w:val="000242DB"/>
    <w:rsid w:val="000249D9"/>
    <w:rsid w:val="00030828"/>
    <w:rsid w:val="000311DD"/>
    <w:rsid w:val="00031803"/>
    <w:rsid w:val="00036904"/>
    <w:rsid w:val="000464AD"/>
    <w:rsid w:val="00046628"/>
    <w:rsid w:val="000503E0"/>
    <w:rsid w:val="00055380"/>
    <w:rsid w:val="000557B8"/>
    <w:rsid w:val="00063633"/>
    <w:rsid w:val="000660CD"/>
    <w:rsid w:val="000677E5"/>
    <w:rsid w:val="0008383E"/>
    <w:rsid w:val="00085D75"/>
    <w:rsid w:val="000C2FB6"/>
    <w:rsid w:val="000D518A"/>
    <w:rsid w:val="000F7060"/>
    <w:rsid w:val="00113423"/>
    <w:rsid w:val="00114C5A"/>
    <w:rsid w:val="00125A35"/>
    <w:rsid w:val="00146844"/>
    <w:rsid w:val="0014743D"/>
    <w:rsid w:val="001525C5"/>
    <w:rsid w:val="00154FA0"/>
    <w:rsid w:val="001570FF"/>
    <w:rsid w:val="00163998"/>
    <w:rsid w:val="00167B22"/>
    <w:rsid w:val="00193968"/>
    <w:rsid w:val="001A5369"/>
    <w:rsid w:val="001B6EC8"/>
    <w:rsid w:val="001C14F0"/>
    <w:rsid w:val="001C2ED5"/>
    <w:rsid w:val="001D04B3"/>
    <w:rsid w:val="001E14E6"/>
    <w:rsid w:val="00202D11"/>
    <w:rsid w:val="002048D3"/>
    <w:rsid w:val="00212EA0"/>
    <w:rsid w:val="00215A6E"/>
    <w:rsid w:val="00222E97"/>
    <w:rsid w:val="00232F1E"/>
    <w:rsid w:val="00233D2C"/>
    <w:rsid w:val="00257391"/>
    <w:rsid w:val="00260BAF"/>
    <w:rsid w:val="00263B57"/>
    <w:rsid w:val="00264BDC"/>
    <w:rsid w:val="002707D7"/>
    <w:rsid w:val="0028034B"/>
    <w:rsid w:val="00283F3F"/>
    <w:rsid w:val="0029010A"/>
    <w:rsid w:val="00291412"/>
    <w:rsid w:val="002926E4"/>
    <w:rsid w:val="002B590B"/>
    <w:rsid w:val="002B768D"/>
    <w:rsid w:val="002C0D1E"/>
    <w:rsid w:val="002C2D72"/>
    <w:rsid w:val="002C7585"/>
    <w:rsid w:val="002E1ED6"/>
    <w:rsid w:val="002F146F"/>
    <w:rsid w:val="00301B8E"/>
    <w:rsid w:val="00310E6A"/>
    <w:rsid w:val="003124B7"/>
    <w:rsid w:val="00312D8D"/>
    <w:rsid w:val="00317A41"/>
    <w:rsid w:val="00337E99"/>
    <w:rsid w:val="00374879"/>
    <w:rsid w:val="003751C2"/>
    <w:rsid w:val="00384A65"/>
    <w:rsid w:val="003B38F7"/>
    <w:rsid w:val="003D3C2E"/>
    <w:rsid w:val="003D6828"/>
    <w:rsid w:val="003F08AE"/>
    <w:rsid w:val="00406683"/>
    <w:rsid w:val="00465749"/>
    <w:rsid w:val="00465CEE"/>
    <w:rsid w:val="00470B8E"/>
    <w:rsid w:val="00485F29"/>
    <w:rsid w:val="00495561"/>
    <w:rsid w:val="004A43E5"/>
    <w:rsid w:val="004A77AD"/>
    <w:rsid w:val="004B3652"/>
    <w:rsid w:val="004B6062"/>
    <w:rsid w:val="004D3639"/>
    <w:rsid w:val="004E107C"/>
    <w:rsid w:val="004E1C23"/>
    <w:rsid w:val="004E5632"/>
    <w:rsid w:val="004F5F35"/>
    <w:rsid w:val="005005EF"/>
    <w:rsid w:val="00505F09"/>
    <w:rsid w:val="00516272"/>
    <w:rsid w:val="00517346"/>
    <w:rsid w:val="00517D67"/>
    <w:rsid w:val="00524FA1"/>
    <w:rsid w:val="005459B3"/>
    <w:rsid w:val="00555984"/>
    <w:rsid w:val="005642F0"/>
    <w:rsid w:val="00564F8F"/>
    <w:rsid w:val="005910A9"/>
    <w:rsid w:val="005A0DB9"/>
    <w:rsid w:val="005B1612"/>
    <w:rsid w:val="005B7B36"/>
    <w:rsid w:val="005C2FA4"/>
    <w:rsid w:val="005C5F38"/>
    <w:rsid w:val="005D29D3"/>
    <w:rsid w:val="005D476B"/>
    <w:rsid w:val="005E3E34"/>
    <w:rsid w:val="005F7E05"/>
    <w:rsid w:val="0060116B"/>
    <w:rsid w:val="00612900"/>
    <w:rsid w:val="00613478"/>
    <w:rsid w:val="00615FFC"/>
    <w:rsid w:val="006163FD"/>
    <w:rsid w:val="00626FE0"/>
    <w:rsid w:val="00641DE8"/>
    <w:rsid w:val="00653DA6"/>
    <w:rsid w:val="00656660"/>
    <w:rsid w:val="006607E3"/>
    <w:rsid w:val="00662700"/>
    <w:rsid w:val="006727D4"/>
    <w:rsid w:val="00675844"/>
    <w:rsid w:val="00681DE7"/>
    <w:rsid w:val="00681F45"/>
    <w:rsid w:val="00684159"/>
    <w:rsid w:val="006A0931"/>
    <w:rsid w:val="006A1AB8"/>
    <w:rsid w:val="006C7EAF"/>
    <w:rsid w:val="006D16C2"/>
    <w:rsid w:val="006D17D6"/>
    <w:rsid w:val="006D2429"/>
    <w:rsid w:val="007002A6"/>
    <w:rsid w:val="00707205"/>
    <w:rsid w:val="007149BA"/>
    <w:rsid w:val="00724B15"/>
    <w:rsid w:val="00727142"/>
    <w:rsid w:val="0073193D"/>
    <w:rsid w:val="00731FE0"/>
    <w:rsid w:val="007369A7"/>
    <w:rsid w:val="00755E7F"/>
    <w:rsid w:val="007601FB"/>
    <w:rsid w:val="007606FF"/>
    <w:rsid w:val="00776514"/>
    <w:rsid w:val="0078157B"/>
    <w:rsid w:val="00783EC1"/>
    <w:rsid w:val="00793F94"/>
    <w:rsid w:val="007C08A7"/>
    <w:rsid w:val="007C5385"/>
    <w:rsid w:val="007C64DA"/>
    <w:rsid w:val="007D1727"/>
    <w:rsid w:val="007E7CA7"/>
    <w:rsid w:val="008015FB"/>
    <w:rsid w:val="0082255A"/>
    <w:rsid w:val="00826384"/>
    <w:rsid w:val="00826FB5"/>
    <w:rsid w:val="008303E1"/>
    <w:rsid w:val="00846250"/>
    <w:rsid w:val="00847562"/>
    <w:rsid w:val="008619DD"/>
    <w:rsid w:val="0086487B"/>
    <w:rsid w:val="008953BD"/>
    <w:rsid w:val="008A4FBB"/>
    <w:rsid w:val="008A65E7"/>
    <w:rsid w:val="008B0528"/>
    <w:rsid w:val="008B1955"/>
    <w:rsid w:val="008B4EB2"/>
    <w:rsid w:val="008D6A5E"/>
    <w:rsid w:val="008E2F84"/>
    <w:rsid w:val="008E3035"/>
    <w:rsid w:val="008E30D8"/>
    <w:rsid w:val="008E71CC"/>
    <w:rsid w:val="008F048D"/>
    <w:rsid w:val="008F283E"/>
    <w:rsid w:val="008F3A70"/>
    <w:rsid w:val="00911696"/>
    <w:rsid w:val="00932113"/>
    <w:rsid w:val="009540D5"/>
    <w:rsid w:val="009B66DF"/>
    <w:rsid w:val="009C01A9"/>
    <w:rsid w:val="009D0BCA"/>
    <w:rsid w:val="009D4C16"/>
    <w:rsid w:val="009E2F58"/>
    <w:rsid w:val="009F3538"/>
    <w:rsid w:val="009F3CE3"/>
    <w:rsid w:val="00A06FE8"/>
    <w:rsid w:val="00A145A7"/>
    <w:rsid w:val="00A148E0"/>
    <w:rsid w:val="00A201D5"/>
    <w:rsid w:val="00A51FD7"/>
    <w:rsid w:val="00A57954"/>
    <w:rsid w:val="00A70F7B"/>
    <w:rsid w:val="00A71556"/>
    <w:rsid w:val="00A939A4"/>
    <w:rsid w:val="00A9516D"/>
    <w:rsid w:val="00A973B3"/>
    <w:rsid w:val="00AA46AB"/>
    <w:rsid w:val="00AB0546"/>
    <w:rsid w:val="00AC1395"/>
    <w:rsid w:val="00AD0B52"/>
    <w:rsid w:val="00AD6F86"/>
    <w:rsid w:val="00AE4F1C"/>
    <w:rsid w:val="00AE6B1D"/>
    <w:rsid w:val="00B10F65"/>
    <w:rsid w:val="00B27A38"/>
    <w:rsid w:val="00B31713"/>
    <w:rsid w:val="00B5336A"/>
    <w:rsid w:val="00B6018C"/>
    <w:rsid w:val="00B74082"/>
    <w:rsid w:val="00B8067C"/>
    <w:rsid w:val="00B832C8"/>
    <w:rsid w:val="00B8556C"/>
    <w:rsid w:val="00B917D1"/>
    <w:rsid w:val="00B96B42"/>
    <w:rsid w:val="00BB0EB3"/>
    <w:rsid w:val="00BC04A0"/>
    <w:rsid w:val="00BD647C"/>
    <w:rsid w:val="00BF73F4"/>
    <w:rsid w:val="00C022D0"/>
    <w:rsid w:val="00C029F2"/>
    <w:rsid w:val="00C05CD6"/>
    <w:rsid w:val="00C40958"/>
    <w:rsid w:val="00C85378"/>
    <w:rsid w:val="00C92FCC"/>
    <w:rsid w:val="00CB01C7"/>
    <w:rsid w:val="00CB745E"/>
    <w:rsid w:val="00CB759D"/>
    <w:rsid w:val="00CC0D80"/>
    <w:rsid w:val="00CF2C84"/>
    <w:rsid w:val="00CF7485"/>
    <w:rsid w:val="00D07C83"/>
    <w:rsid w:val="00D15889"/>
    <w:rsid w:val="00D17A7C"/>
    <w:rsid w:val="00D21F62"/>
    <w:rsid w:val="00D32968"/>
    <w:rsid w:val="00D523D4"/>
    <w:rsid w:val="00D61A00"/>
    <w:rsid w:val="00D62BF0"/>
    <w:rsid w:val="00D65C62"/>
    <w:rsid w:val="00D70B06"/>
    <w:rsid w:val="00D718BE"/>
    <w:rsid w:val="00D761CB"/>
    <w:rsid w:val="00D776C0"/>
    <w:rsid w:val="00D82687"/>
    <w:rsid w:val="00D93110"/>
    <w:rsid w:val="00DA52E2"/>
    <w:rsid w:val="00DB5D16"/>
    <w:rsid w:val="00DB63A9"/>
    <w:rsid w:val="00DC0CD2"/>
    <w:rsid w:val="00DC679F"/>
    <w:rsid w:val="00DD335C"/>
    <w:rsid w:val="00DE5B88"/>
    <w:rsid w:val="00E031A4"/>
    <w:rsid w:val="00E07D51"/>
    <w:rsid w:val="00E2354F"/>
    <w:rsid w:val="00E2700D"/>
    <w:rsid w:val="00E27B37"/>
    <w:rsid w:val="00E31EF9"/>
    <w:rsid w:val="00E45748"/>
    <w:rsid w:val="00E559CB"/>
    <w:rsid w:val="00E604C7"/>
    <w:rsid w:val="00E82423"/>
    <w:rsid w:val="00E82764"/>
    <w:rsid w:val="00E907EE"/>
    <w:rsid w:val="00EA62C1"/>
    <w:rsid w:val="00EE3B27"/>
    <w:rsid w:val="00EF6D6A"/>
    <w:rsid w:val="00F039DB"/>
    <w:rsid w:val="00F11850"/>
    <w:rsid w:val="00F3050C"/>
    <w:rsid w:val="00F42C5E"/>
    <w:rsid w:val="00F626C5"/>
    <w:rsid w:val="00F71FB5"/>
    <w:rsid w:val="00F8077A"/>
    <w:rsid w:val="00F825E4"/>
    <w:rsid w:val="00F9544F"/>
    <w:rsid w:val="00F96C37"/>
    <w:rsid w:val="00FB56B1"/>
    <w:rsid w:val="00FC115F"/>
    <w:rsid w:val="00FD6E7A"/>
    <w:rsid w:val="00FE0B4C"/>
    <w:rsid w:val="00FE4012"/>
    <w:rsid w:val="00FE6FC2"/>
    <w:rsid w:val="00FF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C1F827"/>
  <w15:docId w15:val="{909D06BA-FD3F-4AEF-AEFF-6DF3BD9F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CG Times (W1)"/>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904"/>
    <w:rPr>
      <w:rFonts w:ascii="Arial" w:hAnsi="Arial" w:cs="Times New Roman"/>
      <w:sz w:val="24"/>
    </w:rPr>
  </w:style>
  <w:style w:type="paragraph" w:styleId="Heading1">
    <w:name w:val="heading 1"/>
    <w:basedOn w:val="Normal"/>
    <w:link w:val="Heading1Char"/>
    <w:autoRedefine/>
    <w:uiPriority w:val="9"/>
    <w:qFormat/>
    <w:rsid w:val="00036904"/>
    <w:pPr>
      <w:numPr>
        <w:numId w:val="7"/>
      </w:numPr>
      <w:spacing w:before="60" w:after="120"/>
      <w:jc w:val="center"/>
      <w:outlineLvl w:val="0"/>
    </w:pPr>
    <w:rPr>
      <w:b/>
      <w:caps/>
      <w:sz w:val="48"/>
    </w:rPr>
  </w:style>
  <w:style w:type="paragraph" w:styleId="Heading2">
    <w:name w:val="heading 2"/>
    <w:basedOn w:val="Normal"/>
    <w:link w:val="Heading2Char"/>
    <w:autoRedefine/>
    <w:uiPriority w:val="9"/>
    <w:qFormat/>
    <w:rsid w:val="008B4EB2"/>
    <w:pPr>
      <w:spacing w:before="240" w:after="60"/>
      <w:outlineLvl w:val="1"/>
    </w:pPr>
  </w:style>
  <w:style w:type="paragraph" w:styleId="Heading3">
    <w:name w:val="heading 3"/>
    <w:basedOn w:val="Normal"/>
    <w:link w:val="Heading3Char"/>
    <w:autoRedefine/>
    <w:uiPriority w:val="9"/>
    <w:qFormat/>
    <w:rsid w:val="008B4EB2"/>
    <w:pPr>
      <w:tabs>
        <w:tab w:val="left" w:pos="1530"/>
      </w:tabs>
      <w:spacing w:before="240" w:after="60"/>
      <w:outlineLvl w:val="2"/>
    </w:pPr>
  </w:style>
  <w:style w:type="paragraph" w:styleId="Heading4">
    <w:name w:val="heading 4"/>
    <w:basedOn w:val="Normal"/>
    <w:link w:val="Heading4Char"/>
    <w:autoRedefine/>
    <w:uiPriority w:val="9"/>
    <w:qFormat/>
    <w:rsid w:val="008B4EB2"/>
    <w:pPr>
      <w:spacing w:before="60" w:after="120"/>
      <w:outlineLvl w:val="3"/>
    </w:pPr>
  </w:style>
  <w:style w:type="paragraph" w:styleId="Heading5">
    <w:name w:val="heading 5"/>
    <w:basedOn w:val="Normal"/>
    <w:link w:val="Heading5Char"/>
    <w:autoRedefine/>
    <w:uiPriority w:val="9"/>
    <w:qFormat/>
    <w:rsid w:val="003F08AE"/>
    <w:pPr>
      <w:tabs>
        <w:tab w:val="left" w:pos="540"/>
        <w:tab w:val="left" w:pos="1080"/>
        <w:tab w:val="left" w:pos="1620"/>
        <w:tab w:val="left" w:pos="2160"/>
      </w:tabs>
      <w:spacing w:before="60" w:after="120"/>
      <w:outlineLvl w:val="4"/>
    </w:pPr>
  </w:style>
  <w:style w:type="paragraph" w:styleId="Heading6">
    <w:name w:val="heading 6"/>
    <w:basedOn w:val="Normal"/>
    <w:link w:val="Heading6Char"/>
    <w:autoRedefine/>
    <w:uiPriority w:val="9"/>
    <w:qFormat/>
    <w:rsid w:val="008B4EB2"/>
    <w:pPr>
      <w:tabs>
        <w:tab w:val="left" w:pos="3150"/>
      </w:tabs>
      <w:spacing w:before="60" w:after="120"/>
      <w:outlineLvl w:val="5"/>
    </w:pPr>
  </w:style>
  <w:style w:type="paragraph" w:styleId="Heading7">
    <w:name w:val="heading 7"/>
    <w:basedOn w:val="Normal"/>
    <w:link w:val="Heading7Char"/>
    <w:autoRedefine/>
    <w:uiPriority w:val="9"/>
    <w:qFormat/>
    <w:rsid w:val="008B4EB2"/>
    <w:pPr>
      <w:spacing w:before="60" w:after="120"/>
      <w:outlineLvl w:val="6"/>
    </w:pPr>
  </w:style>
  <w:style w:type="paragraph" w:styleId="Heading8">
    <w:name w:val="heading 8"/>
    <w:basedOn w:val="Normal"/>
    <w:next w:val="Heading9"/>
    <w:link w:val="Heading8Char"/>
    <w:autoRedefine/>
    <w:uiPriority w:val="9"/>
    <w:qFormat/>
    <w:rsid w:val="008B4EB2"/>
    <w:pPr>
      <w:spacing w:before="60" w:after="120"/>
      <w:outlineLvl w:val="7"/>
    </w:pPr>
  </w:style>
  <w:style w:type="paragraph" w:styleId="Heading9">
    <w:name w:val="heading 9"/>
    <w:basedOn w:val="Normal"/>
    <w:link w:val="Heading9Char"/>
    <w:autoRedefine/>
    <w:uiPriority w:val="9"/>
    <w:qFormat/>
    <w:rsid w:val="008B4EB2"/>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443"/>
    <w:rPr>
      <w:rFonts w:ascii="Arial" w:hAnsi="Arial" w:cs="Times New Roman"/>
      <w:b/>
      <w:caps/>
      <w:sz w:val="48"/>
    </w:rPr>
  </w:style>
  <w:style w:type="character" w:customStyle="1" w:styleId="Heading2Char">
    <w:name w:val="Heading 2 Char"/>
    <w:basedOn w:val="DefaultParagraphFont"/>
    <w:link w:val="Heading2"/>
    <w:uiPriority w:val="9"/>
    <w:semiHidden/>
    <w:rsid w:val="002E744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E744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E744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E744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2E7443"/>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2E7443"/>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2E744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2E7443"/>
    <w:rPr>
      <w:rFonts w:ascii="Cambria" w:eastAsia="Times New Roman" w:hAnsi="Cambria" w:cs="Times New Roman"/>
      <w:sz w:val="22"/>
      <w:szCs w:val="22"/>
    </w:rPr>
  </w:style>
  <w:style w:type="character" w:styleId="EndnoteReference">
    <w:name w:val="endnote reference"/>
    <w:basedOn w:val="DefaultParagraphFont"/>
    <w:uiPriority w:val="99"/>
    <w:semiHidden/>
    <w:rsid w:val="00036904"/>
    <w:rPr>
      <w:rFonts w:cs="Times New Roman"/>
      <w:vertAlign w:val="superscript"/>
    </w:rPr>
  </w:style>
  <w:style w:type="character" w:styleId="FootnoteReference">
    <w:name w:val="footnote reference"/>
    <w:basedOn w:val="DefaultParagraphFont"/>
    <w:uiPriority w:val="99"/>
    <w:semiHidden/>
    <w:rsid w:val="00036904"/>
    <w:rPr>
      <w:rFonts w:cs="Times New Roman"/>
      <w:vertAlign w:val="superscript"/>
    </w:rPr>
  </w:style>
  <w:style w:type="character" w:styleId="PageNumber">
    <w:name w:val="page number"/>
    <w:basedOn w:val="DefaultParagraphFont"/>
    <w:uiPriority w:val="99"/>
    <w:rsid w:val="00036904"/>
    <w:rPr>
      <w:rFonts w:ascii="Arial" w:hAnsi="Arial" w:cs="Times New Roman"/>
      <w:b/>
      <w:sz w:val="24"/>
    </w:rPr>
  </w:style>
  <w:style w:type="paragraph" w:styleId="Footer">
    <w:name w:val="footer"/>
    <w:basedOn w:val="Normal"/>
    <w:link w:val="FooterChar"/>
    <w:autoRedefine/>
    <w:uiPriority w:val="99"/>
    <w:rsid w:val="00470B8E"/>
    <w:pPr>
      <w:tabs>
        <w:tab w:val="center" w:pos="4320"/>
        <w:tab w:val="right" w:pos="8640"/>
      </w:tabs>
      <w:jc w:val="right"/>
    </w:pPr>
  </w:style>
  <w:style w:type="character" w:customStyle="1" w:styleId="FooterChar">
    <w:name w:val="Footer Char"/>
    <w:basedOn w:val="DefaultParagraphFont"/>
    <w:link w:val="Footer"/>
    <w:uiPriority w:val="99"/>
    <w:rsid w:val="00470B8E"/>
    <w:rPr>
      <w:rFonts w:ascii="Arial" w:hAnsi="Arial" w:cs="Times New Roman"/>
      <w:sz w:val="24"/>
    </w:rPr>
  </w:style>
  <w:style w:type="paragraph" w:styleId="Header">
    <w:name w:val="header"/>
    <w:basedOn w:val="Normal"/>
    <w:link w:val="HeaderChar"/>
    <w:uiPriority w:val="99"/>
    <w:rsid w:val="00036904"/>
    <w:pPr>
      <w:tabs>
        <w:tab w:val="center" w:pos="4320"/>
        <w:tab w:val="right" w:pos="8640"/>
      </w:tabs>
      <w:jc w:val="center"/>
    </w:pPr>
    <w:rPr>
      <w:u w:val="single"/>
    </w:rPr>
  </w:style>
  <w:style w:type="character" w:customStyle="1" w:styleId="HeaderChar">
    <w:name w:val="Header Char"/>
    <w:basedOn w:val="DefaultParagraphFont"/>
    <w:link w:val="Header"/>
    <w:uiPriority w:val="99"/>
    <w:semiHidden/>
    <w:rsid w:val="002E7443"/>
    <w:rPr>
      <w:rFonts w:ascii="Arial" w:hAnsi="Arial" w:cs="Times New Roman"/>
      <w:sz w:val="24"/>
    </w:rPr>
  </w:style>
  <w:style w:type="paragraph" w:styleId="FootnoteText">
    <w:name w:val="footnote text"/>
    <w:basedOn w:val="Normal"/>
    <w:link w:val="FootnoteTextChar"/>
    <w:uiPriority w:val="99"/>
    <w:semiHidden/>
    <w:rsid w:val="00036904"/>
    <w:rPr>
      <w:sz w:val="20"/>
    </w:rPr>
  </w:style>
  <w:style w:type="character" w:customStyle="1" w:styleId="FootnoteTextChar">
    <w:name w:val="Footnote Text Char"/>
    <w:basedOn w:val="DefaultParagraphFont"/>
    <w:link w:val="FootnoteText"/>
    <w:uiPriority w:val="99"/>
    <w:semiHidden/>
    <w:rsid w:val="002E7443"/>
    <w:rPr>
      <w:rFonts w:ascii="Arial" w:hAnsi="Arial" w:cs="Times New Roman"/>
    </w:rPr>
  </w:style>
  <w:style w:type="paragraph" w:customStyle="1" w:styleId="SubTitle">
    <w:name w:val="Sub Title"/>
    <w:basedOn w:val="Title"/>
    <w:rsid w:val="008B4EB2"/>
    <w:rPr>
      <w:bCs w:val="0"/>
      <w:sz w:val="28"/>
    </w:rPr>
  </w:style>
  <w:style w:type="paragraph" w:styleId="Title">
    <w:name w:val="Title"/>
    <w:basedOn w:val="Normal"/>
    <w:next w:val="Header"/>
    <w:link w:val="TitleChar"/>
    <w:autoRedefine/>
    <w:uiPriority w:val="10"/>
    <w:qFormat/>
    <w:rsid w:val="007149BA"/>
    <w:pPr>
      <w:spacing w:after="360"/>
      <w:jc w:val="center"/>
    </w:pPr>
    <w:rPr>
      <w:rFonts w:cs="Arial"/>
      <w:b/>
      <w:bCs/>
      <w:caps/>
      <w:kern w:val="28"/>
      <w:sz w:val="36"/>
      <w:szCs w:val="36"/>
      <w:u w:val="single"/>
    </w:rPr>
  </w:style>
  <w:style w:type="character" w:customStyle="1" w:styleId="TitleChar">
    <w:name w:val="Title Char"/>
    <w:basedOn w:val="DefaultParagraphFont"/>
    <w:link w:val="Title"/>
    <w:uiPriority w:val="10"/>
    <w:rsid w:val="002E7443"/>
    <w:rPr>
      <w:rFonts w:ascii="Cambria" w:eastAsia="Times New Roman" w:hAnsi="Cambria" w:cs="Times New Roman"/>
      <w:b/>
      <w:bCs/>
      <w:kern w:val="28"/>
      <w:sz w:val="32"/>
      <w:szCs w:val="32"/>
    </w:rPr>
  </w:style>
  <w:style w:type="paragraph" w:styleId="Subtitle0">
    <w:name w:val="Subtitle"/>
    <w:basedOn w:val="Normal"/>
    <w:link w:val="SubtitleChar"/>
    <w:uiPriority w:val="11"/>
    <w:qFormat/>
    <w:rsid w:val="00036904"/>
    <w:pPr>
      <w:spacing w:after="240"/>
      <w:jc w:val="center"/>
    </w:pPr>
    <w:rPr>
      <w:b/>
      <w:caps/>
      <w:sz w:val="28"/>
      <w:u w:val="single"/>
    </w:rPr>
  </w:style>
  <w:style w:type="character" w:customStyle="1" w:styleId="SubtitleChar">
    <w:name w:val="Subtitle Char"/>
    <w:basedOn w:val="DefaultParagraphFont"/>
    <w:link w:val="Subtitle0"/>
    <w:uiPriority w:val="11"/>
    <w:rsid w:val="002E7443"/>
    <w:rPr>
      <w:rFonts w:ascii="Cambria" w:eastAsia="Times New Roman" w:hAnsi="Cambria" w:cs="Times New Roman"/>
      <w:sz w:val="24"/>
      <w:szCs w:val="24"/>
    </w:rPr>
  </w:style>
  <w:style w:type="paragraph" w:customStyle="1" w:styleId="BodyTextHanging">
    <w:name w:val="Body Text Hanging"/>
    <w:basedOn w:val="Normal"/>
    <w:rsid w:val="00036904"/>
    <w:pPr>
      <w:spacing w:after="160"/>
      <w:ind w:left="1440"/>
    </w:pPr>
  </w:style>
  <w:style w:type="paragraph" w:styleId="BodyText">
    <w:name w:val="Body Text"/>
    <w:basedOn w:val="Normal"/>
    <w:link w:val="BodyTextChar"/>
    <w:uiPriority w:val="99"/>
    <w:rsid w:val="00036904"/>
    <w:pPr>
      <w:spacing w:after="120"/>
    </w:pPr>
  </w:style>
  <w:style w:type="character" w:customStyle="1" w:styleId="BodyTextChar">
    <w:name w:val="Body Text Char"/>
    <w:basedOn w:val="DefaultParagraphFont"/>
    <w:link w:val="BodyText"/>
    <w:uiPriority w:val="99"/>
    <w:semiHidden/>
    <w:rsid w:val="002E7443"/>
    <w:rPr>
      <w:rFonts w:ascii="Arial" w:hAnsi="Arial" w:cs="Times New Roman"/>
      <w:sz w:val="24"/>
    </w:rPr>
  </w:style>
  <w:style w:type="paragraph" w:styleId="ListBullet">
    <w:name w:val="List Bullet"/>
    <w:basedOn w:val="Normal"/>
    <w:uiPriority w:val="99"/>
    <w:rsid w:val="008B4EB2"/>
    <w:pPr>
      <w:spacing w:after="120"/>
      <w:ind w:left="360" w:hanging="360"/>
    </w:pPr>
  </w:style>
  <w:style w:type="paragraph" w:styleId="ListBullet2">
    <w:name w:val="List Bullet 2"/>
    <w:basedOn w:val="Normal"/>
    <w:uiPriority w:val="99"/>
    <w:rsid w:val="008B4EB2"/>
    <w:pPr>
      <w:ind w:left="720" w:hanging="360"/>
    </w:pPr>
  </w:style>
  <w:style w:type="paragraph" w:styleId="ListBullet3">
    <w:name w:val="List Bullet 3"/>
    <w:basedOn w:val="Normal"/>
    <w:uiPriority w:val="99"/>
    <w:rsid w:val="008B4EB2"/>
    <w:pPr>
      <w:ind w:left="1080" w:hanging="360"/>
    </w:pPr>
  </w:style>
  <w:style w:type="paragraph" w:styleId="ListNumber">
    <w:name w:val="List Number"/>
    <w:basedOn w:val="Normal"/>
    <w:uiPriority w:val="99"/>
    <w:rsid w:val="00036904"/>
    <w:pPr>
      <w:ind w:left="360" w:hanging="360"/>
    </w:pPr>
  </w:style>
  <w:style w:type="paragraph" w:styleId="ListNumber2">
    <w:name w:val="List Number 2"/>
    <w:basedOn w:val="Normal"/>
    <w:uiPriority w:val="99"/>
    <w:rsid w:val="00036904"/>
    <w:pPr>
      <w:ind w:left="720" w:hanging="360"/>
    </w:pPr>
  </w:style>
  <w:style w:type="paragraph" w:styleId="ListNumber3">
    <w:name w:val="List Number 3"/>
    <w:basedOn w:val="Normal"/>
    <w:uiPriority w:val="99"/>
    <w:rsid w:val="00036904"/>
    <w:pPr>
      <w:ind w:left="1080" w:hanging="360"/>
    </w:pPr>
  </w:style>
  <w:style w:type="paragraph" w:styleId="DocumentMap">
    <w:name w:val="Document Map"/>
    <w:basedOn w:val="Normal"/>
    <w:link w:val="DocumentMapChar"/>
    <w:uiPriority w:val="99"/>
    <w:semiHidden/>
    <w:rsid w:val="00036904"/>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E7443"/>
    <w:rPr>
      <w:rFonts w:ascii="Times New Roman" w:hAnsi="Times New Roman" w:cs="Times New Roman"/>
      <w:sz w:val="0"/>
      <w:szCs w:val="0"/>
    </w:rPr>
  </w:style>
  <w:style w:type="paragraph" w:customStyle="1" w:styleId="1Paragraph">
    <w:name w:val="1Paragraph"/>
    <w:rsid w:val="00036904"/>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pPr>
    <w:rPr>
      <w:rFonts w:ascii="Courier" w:hAnsi="Courier" w:cs="Times New Roman"/>
      <w:sz w:val="28"/>
    </w:rPr>
  </w:style>
  <w:style w:type="paragraph" w:customStyle="1" w:styleId="2Paragraph">
    <w:name w:val="2Paragraph"/>
    <w:rsid w:val="00036904"/>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cs="Times New Roman"/>
      <w:sz w:val="24"/>
    </w:rPr>
  </w:style>
  <w:style w:type="paragraph" w:customStyle="1" w:styleId="5Paragraph">
    <w:name w:val="5Paragraph"/>
    <w:rsid w:val="00036904"/>
    <w:pPr>
      <w:ind w:left="3888"/>
    </w:pPr>
    <w:rPr>
      <w:rFonts w:ascii="Arial" w:hAnsi="Arial" w:cs="Times New Roman"/>
      <w:sz w:val="21"/>
    </w:rPr>
  </w:style>
  <w:style w:type="paragraph" w:customStyle="1" w:styleId="6Paragraph">
    <w:name w:val="6Paragraph"/>
    <w:rsid w:val="00036904"/>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cs="Times New Roman"/>
      <w:sz w:val="21"/>
    </w:rPr>
  </w:style>
  <w:style w:type="paragraph" w:customStyle="1" w:styleId="7Paragraph">
    <w:name w:val="7Paragraph"/>
    <w:rsid w:val="00036904"/>
    <w:pPr>
      <w:ind w:left="2376"/>
    </w:pPr>
    <w:rPr>
      <w:rFonts w:ascii="Courier" w:hAnsi="Courier" w:cs="Times New Roman"/>
      <w:sz w:val="21"/>
    </w:rPr>
  </w:style>
  <w:style w:type="paragraph" w:customStyle="1" w:styleId="8Paragraph">
    <w:name w:val="8Paragraph"/>
    <w:rsid w:val="00036904"/>
    <w:pPr>
      <w:ind w:left="3168"/>
    </w:pPr>
    <w:rPr>
      <w:rFonts w:ascii="Courier" w:hAnsi="Courier" w:cs="Times New Roman"/>
      <w:sz w:val="21"/>
    </w:rPr>
  </w:style>
  <w:style w:type="paragraph" w:customStyle="1" w:styleId="Level1">
    <w:name w:val="Level 1"/>
    <w:basedOn w:val="Normal"/>
    <w:rsid w:val="00036904"/>
    <w:pPr>
      <w:widowControl w:val="0"/>
      <w:autoSpaceDE w:val="0"/>
      <w:autoSpaceDN w:val="0"/>
      <w:adjustRightInd w:val="0"/>
      <w:ind w:left="1656" w:hanging="1656"/>
    </w:pPr>
    <w:rPr>
      <w:rFonts w:ascii="Times New Roman" w:hAnsi="Times New Roman"/>
      <w:b/>
      <w:bCs/>
      <w:sz w:val="28"/>
      <w:szCs w:val="28"/>
    </w:rPr>
  </w:style>
  <w:style w:type="paragraph" w:styleId="NormalIndent">
    <w:name w:val="Normal Indent"/>
    <w:basedOn w:val="Normal"/>
    <w:uiPriority w:val="99"/>
    <w:rsid w:val="00036904"/>
    <w:pPr>
      <w:ind w:left="720"/>
    </w:pPr>
  </w:style>
  <w:style w:type="paragraph" w:customStyle="1" w:styleId="Level6">
    <w:name w:val="Level 6"/>
    <w:basedOn w:val="Normal"/>
    <w:rsid w:val="00036904"/>
    <w:pPr>
      <w:widowControl w:val="0"/>
      <w:autoSpaceDE w:val="0"/>
      <w:autoSpaceDN w:val="0"/>
      <w:adjustRightInd w:val="0"/>
      <w:ind w:left="1656" w:hanging="1656"/>
    </w:pPr>
    <w:rPr>
      <w:rFonts w:ascii="Times New Roman" w:hAnsi="Times New Roman"/>
      <w:sz w:val="20"/>
    </w:rPr>
  </w:style>
  <w:style w:type="character" w:styleId="Hyperlink">
    <w:name w:val="Hyperlink"/>
    <w:basedOn w:val="DefaultParagraphFont"/>
    <w:uiPriority w:val="99"/>
    <w:rsid w:val="00DC0CD2"/>
    <w:rPr>
      <w:rFonts w:cs="Times New Roman"/>
      <w:color w:val="0000FF"/>
      <w:u w:val="single"/>
    </w:rPr>
  </w:style>
  <w:style w:type="character" w:styleId="CommentReference">
    <w:name w:val="annotation reference"/>
    <w:basedOn w:val="DefaultParagraphFont"/>
    <w:uiPriority w:val="99"/>
    <w:rsid w:val="00BD647C"/>
    <w:rPr>
      <w:rFonts w:cs="Times New Roman"/>
      <w:sz w:val="16"/>
    </w:rPr>
  </w:style>
  <w:style w:type="paragraph" w:styleId="CommentText">
    <w:name w:val="annotation text"/>
    <w:basedOn w:val="Normal"/>
    <w:link w:val="CommentTextChar"/>
    <w:uiPriority w:val="99"/>
    <w:rsid w:val="00BD647C"/>
    <w:rPr>
      <w:sz w:val="20"/>
    </w:rPr>
  </w:style>
  <w:style w:type="character" w:customStyle="1" w:styleId="CommentTextChar">
    <w:name w:val="Comment Text Char"/>
    <w:basedOn w:val="DefaultParagraphFont"/>
    <w:link w:val="CommentText"/>
    <w:uiPriority w:val="99"/>
    <w:locked/>
    <w:rsid w:val="00BD647C"/>
    <w:rPr>
      <w:rFonts w:ascii="Arial" w:hAnsi="Arial" w:cs="Times New Roman"/>
    </w:rPr>
  </w:style>
  <w:style w:type="character" w:styleId="LineNumber">
    <w:name w:val="line number"/>
    <w:basedOn w:val="DefaultParagraphFont"/>
    <w:uiPriority w:val="99"/>
    <w:rsid w:val="00BD647C"/>
    <w:rPr>
      <w:rFonts w:cs="Times New Roman"/>
    </w:rPr>
  </w:style>
  <w:style w:type="paragraph" w:styleId="BalloonText">
    <w:name w:val="Balloon Text"/>
    <w:basedOn w:val="Normal"/>
    <w:link w:val="BalloonTextChar"/>
    <w:uiPriority w:val="99"/>
    <w:rsid w:val="00BD647C"/>
    <w:rPr>
      <w:rFonts w:ascii="Tahoma" w:hAnsi="Tahoma" w:cs="Tahoma"/>
      <w:sz w:val="16"/>
      <w:szCs w:val="16"/>
    </w:rPr>
  </w:style>
  <w:style w:type="character" w:customStyle="1" w:styleId="BalloonTextChar">
    <w:name w:val="Balloon Text Char"/>
    <w:basedOn w:val="DefaultParagraphFont"/>
    <w:link w:val="BalloonText"/>
    <w:uiPriority w:val="99"/>
    <w:locked/>
    <w:rsid w:val="00BD647C"/>
    <w:rPr>
      <w:rFonts w:ascii="Tahoma" w:hAnsi="Tahoma" w:cs="Tahoma"/>
      <w:sz w:val="16"/>
      <w:szCs w:val="16"/>
    </w:rPr>
  </w:style>
  <w:style w:type="paragraph" w:styleId="CommentSubject">
    <w:name w:val="annotation subject"/>
    <w:basedOn w:val="CommentText"/>
    <w:next w:val="CommentText"/>
    <w:link w:val="CommentSubjectChar"/>
    <w:uiPriority w:val="99"/>
    <w:rsid w:val="00BD647C"/>
    <w:rPr>
      <w:b/>
      <w:bCs/>
    </w:rPr>
  </w:style>
  <w:style w:type="character" w:customStyle="1" w:styleId="CommentSubjectChar">
    <w:name w:val="Comment Subject Char"/>
    <w:basedOn w:val="CommentTextChar"/>
    <w:link w:val="CommentSubject"/>
    <w:uiPriority w:val="99"/>
    <w:locked/>
    <w:rsid w:val="00BD647C"/>
    <w:rPr>
      <w:rFonts w:ascii="Arial" w:hAnsi="Arial" w:cs="Times New Roman"/>
      <w:b/>
      <w:bCs/>
    </w:rPr>
  </w:style>
  <w:style w:type="table" w:styleId="TableGrid">
    <w:name w:val="Table Grid"/>
    <w:basedOn w:val="TableNormal"/>
    <w:uiPriority w:val="59"/>
    <w:rsid w:val="00BD647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BD647C"/>
    <w:rPr>
      <w:rFonts w:cs="Times New Roman"/>
      <w:color w:val="800080"/>
      <w:u w:val="single"/>
    </w:rPr>
  </w:style>
  <w:style w:type="paragraph" w:styleId="Revision">
    <w:name w:val="Revision"/>
    <w:hidden/>
    <w:uiPriority w:val="99"/>
    <w:semiHidden/>
    <w:rsid w:val="006D16C2"/>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219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ms0092\Application%20Data\Microsoft\Templates\DLMS%20Chap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A9086-1A25-40B2-A045-826A87BB3E53}">
  <ds:schemaRefs>
    <ds:schemaRef ds:uri="http://purl.org/dc/elements/1.1/"/>
    <ds:schemaRef ds:uri="http://schemas.microsoft.com/sharepoint/v3"/>
    <ds:schemaRef ds:uri="http://schemas.microsoft.com/office/2006/documentManagement/types"/>
    <ds:schemaRef ds:uri="http://purl.org/dc/terms/"/>
    <ds:schemaRef ds:uri="http://schemas.microsoft.com/sharepoint/v4"/>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1019005c-580f-42ae-adec-ba9490377f66"/>
    <ds:schemaRef ds:uri="http://purl.org/dc/dcmitype/"/>
  </ds:schemaRefs>
</ds:datastoreItem>
</file>

<file path=customXml/itemProps2.xml><?xml version="1.0" encoding="utf-8"?>
<ds:datastoreItem xmlns:ds="http://schemas.openxmlformats.org/officeDocument/2006/customXml" ds:itemID="{42E1CF6E-02DA-40B0-AFEC-4EC05BEF5B4D}"/>
</file>

<file path=customXml/itemProps3.xml><?xml version="1.0" encoding="utf-8"?>
<ds:datastoreItem xmlns:ds="http://schemas.openxmlformats.org/officeDocument/2006/customXml" ds:itemID="{9199612D-41A0-4D30-8BED-0E605FEA859A}">
  <ds:schemaRefs>
    <ds:schemaRef ds:uri="http://schemas.microsoft.com/sharepoint/v3/contenttype/forms"/>
  </ds:schemaRefs>
</ds:datastoreItem>
</file>

<file path=customXml/itemProps4.xml><?xml version="1.0" encoding="utf-8"?>
<ds:datastoreItem xmlns:ds="http://schemas.openxmlformats.org/officeDocument/2006/customXml" ds:itemID="{7871F2B1-6EC7-4BDD-A03F-94502886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DLMS Chapter.dot</Template>
  <TotalTime>339</TotalTime>
  <Pages>7</Pages>
  <Words>1747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Chapter 5 - Interfund Billing System Procedures</vt:lpstr>
    </vt:vector>
  </TitlesOfParts>
  <Company/>
  <LinksUpToDate>false</LinksUpToDate>
  <CharactersWithSpaces>12369</CharactersWithSpaces>
  <SharedDoc>false</SharedDoc>
  <HLinks>
    <vt:vector size="6" baseType="variant">
      <vt:variant>
        <vt:i4>4063335</vt:i4>
      </vt:variant>
      <vt:variant>
        <vt:i4>0</vt:i4>
      </vt:variant>
      <vt:variant>
        <vt:i4>0</vt:i4>
      </vt:variant>
      <vt:variant>
        <vt:i4>5</vt:i4>
      </vt:variant>
      <vt:variant>
        <vt:lpwstr>http://www.dla.mil/j-6/dlmso/eLibrary/Manuals/forms.asp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 Interfund Billing System Procedures</dc:title>
  <dc:subject>Interfund Billing System Procedures</dc:subject>
  <dc:creator>Administrator</dc:creator>
  <cp:keywords/>
  <dc:description/>
  <cp:lastModifiedBy>Nguyen, Bao X CTR DLA INFO OPERATIONS (US)</cp:lastModifiedBy>
  <cp:revision>38</cp:revision>
  <cp:lastPrinted>2012-02-23T21:30:00Z</cp:lastPrinted>
  <dcterms:created xsi:type="dcterms:W3CDTF">2011-12-23T20:34:00Z</dcterms:created>
  <dcterms:modified xsi:type="dcterms:W3CDTF">2017-11-02T16:06:00Z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-1160954950</vt:i4>
  </property>
  <property fmtid="{D5CDD505-2E9C-101B-9397-08002B2CF9AE}" pid="3" name="ContentTypeId">
    <vt:lpwstr>0x01010024A5F3CD5CE3404BAF53361F09DA2216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2342900</vt:r8>
  </property>
</Properties>
</file>