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667E" w14:textId="77777777" w:rsidR="00747430" w:rsidRDefault="006004F8" w:rsidP="00602397">
      <w:pPr>
        <w:spacing w:after="240"/>
        <w:jc w:val="center"/>
        <w:rPr>
          <w:rFonts w:cs="Arial"/>
          <w:b/>
          <w:sz w:val="44"/>
          <w:szCs w:val="44"/>
          <w:u w:val="single"/>
        </w:rPr>
      </w:pPr>
      <w:r w:rsidRPr="003D118F">
        <w:rPr>
          <w:rFonts w:cs="Arial"/>
          <w:b/>
          <w:sz w:val="44"/>
          <w:szCs w:val="44"/>
          <w:u w:val="single"/>
        </w:rPr>
        <w:t>AP2.2. APPENDIX 2.2</w:t>
      </w:r>
    </w:p>
    <w:p w14:paraId="45C0667F" w14:textId="77777777" w:rsidR="006004F8" w:rsidRPr="003D118F" w:rsidRDefault="006004F8" w:rsidP="003474CF">
      <w:pPr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3D118F">
        <w:rPr>
          <w:rFonts w:cs="Arial"/>
          <w:b/>
          <w:sz w:val="36"/>
          <w:szCs w:val="36"/>
          <w:u w:val="single"/>
        </w:rPr>
        <w:t>FUND CODES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60"/>
        <w:gridCol w:w="7200"/>
      </w:tblGrid>
      <w:tr w:rsidR="006004F8" w:rsidRPr="005339A4" w14:paraId="45C06682" w14:textId="77777777" w:rsidTr="00602397">
        <w:trPr>
          <w:cantSplit/>
          <w:trHeight w:val="403"/>
          <w:jc w:val="center"/>
        </w:trPr>
        <w:tc>
          <w:tcPr>
            <w:tcW w:w="2160" w:type="dxa"/>
          </w:tcPr>
          <w:p w14:paraId="45C06680" w14:textId="77777777" w:rsidR="006004F8" w:rsidRPr="005339A4" w:rsidRDefault="006004F8" w:rsidP="00602397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339A4">
              <w:rPr>
                <w:rFonts w:cs="Arial"/>
                <w:sz w:val="24"/>
                <w:szCs w:val="24"/>
              </w:rPr>
              <w:t xml:space="preserve">NUMBER OF </w:t>
            </w:r>
            <w:r w:rsidR="0066119E" w:rsidRPr="00602397">
              <w:rPr>
                <w:rFonts w:cs="Arial"/>
                <w:sz w:val="24"/>
                <w:szCs w:val="24"/>
              </w:rPr>
              <w:t>CHARACTERS</w:t>
            </w:r>
            <w:r w:rsidRPr="005339A4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7200" w:type="dxa"/>
          </w:tcPr>
          <w:p w14:paraId="45C06681" w14:textId="77777777" w:rsidR="006004F8" w:rsidRPr="005339A4" w:rsidRDefault="006004F8" w:rsidP="00602397">
            <w:pPr>
              <w:pStyle w:val="MtgPara"/>
              <w:spacing w:before="60" w:after="60"/>
              <w:rPr>
                <w:rFonts w:cs="Arial"/>
                <w:szCs w:val="24"/>
              </w:rPr>
            </w:pPr>
            <w:r w:rsidRPr="005339A4">
              <w:rPr>
                <w:rFonts w:cs="Arial"/>
                <w:szCs w:val="24"/>
              </w:rPr>
              <w:t>Two</w:t>
            </w:r>
          </w:p>
        </w:tc>
      </w:tr>
      <w:tr w:rsidR="006004F8" w:rsidRPr="005339A4" w14:paraId="45C06685" w14:textId="77777777" w:rsidTr="00602397">
        <w:trPr>
          <w:cantSplit/>
          <w:trHeight w:val="403"/>
          <w:jc w:val="center"/>
        </w:trPr>
        <w:tc>
          <w:tcPr>
            <w:tcW w:w="2160" w:type="dxa"/>
          </w:tcPr>
          <w:p w14:paraId="45C06683" w14:textId="77777777" w:rsidR="006004F8" w:rsidRPr="005339A4" w:rsidRDefault="0066119E" w:rsidP="00602397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602397">
              <w:rPr>
                <w:rFonts w:cs="Arial"/>
                <w:sz w:val="24"/>
                <w:szCs w:val="24"/>
              </w:rPr>
              <w:t>TYPE OF CODE</w:t>
            </w:r>
            <w:r w:rsidR="006004F8" w:rsidRPr="005339A4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7200" w:type="dxa"/>
          </w:tcPr>
          <w:p w14:paraId="45C06684" w14:textId="77777777" w:rsidR="006004F8" w:rsidRPr="005339A4" w:rsidRDefault="006004F8" w:rsidP="00602397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339A4">
              <w:rPr>
                <w:rFonts w:cs="Arial"/>
                <w:sz w:val="24"/>
                <w:szCs w:val="24"/>
              </w:rPr>
              <w:t>Alpha or Numeric</w:t>
            </w:r>
          </w:p>
        </w:tc>
      </w:tr>
      <w:tr w:rsidR="006004F8" w:rsidRPr="005339A4" w14:paraId="45C06693" w14:textId="77777777" w:rsidTr="00602397">
        <w:trPr>
          <w:cantSplit/>
          <w:trHeight w:val="403"/>
          <w:jc w:val="center"/>
        </w:trPr>
        <w:tc>
          <w:tcPr>
            <w:tcW w:w="9360" w:type="dxa"/>
            <w:gridSpan w:val="2"/>
          </w:tcPr>
          <w:p w14:paraId="45C06686" w14:textId="5B0A575D" w:rsidR="00747430" w:rsidRDefault="006004F8" w:rsidP="00602397">
            <w:pPr>
              <w:tabs>
                <w:tab w:val="left" w:pos="35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339A4">
              <w:rPr>
                <w:rFonts w:cs="Arial"/>
                <w:sz w:val="24"/>
                <w:szCs w:val="24"/>
              </w:rPr>
              <w:t>AP2.</w:t>
            </w:r>
            <w:r w:rsidR="00411661">
              <w:rPr>
                <w:rFonts w:cs="Arial"/>
                <w:sz w:val="24"/>
                <w:szCs w:val="24"/>
              </w:rPr>
              <w:t>2.</w:t>
            </w:r>
            <w:r w:rsidRPr="005339A4">
              <w:rPr>
                <w:rFonts w:cs="Arial"/>
                <w:sz w:val="24"/>
                <w:szCs w:val="24"/>
              </w:rPr>
              <w:t xml:space="preserve">1.  Fund codes are two position alpha/numeric codes used in conjunction with Service or Agency </w:t>
            </w:r>
            <w:r w:rsidR="0043097B">
              <w:rPr>
                <w:rFonts w:cs="Arial"/>
                <w:sz w:val="24"/>
                <w:szCs w:val="24"/>
              </w:rPr>
              <w:t>C</w:t>
            </w:r>
            <w:r w:rsidRPr="005339A4">
              <w:rPr>
                <w:rFonts w:cs="Arial"/>
                <w:sz w:val="24"/>
                <w:szCs w:val="24"/>
              </w:rPr>
              <w:t>ode of the billed office to designate the billing method (</w:t>
            </w:r>
            <w:proofErr w:type="spellStart"/>
            <w:r w:rsidRPr="005339A4">
              <w:rPr>
                <w:rFonts w:cs="Arial"/>
                <w:sz w:val="24"/>
                <w:szCs w:val="24"/>
              </w:rPr>
              <w:t>interfund</w:t>
            </w:r>
            <w:proofErr w:type="spellEnd"/>
            <w:r w:rsidRPr="005339A4">
              <w:rPr>
                <w:rFonts w:cs="Arial"/>
                <w:sz w:val="24"/>
                <w:szCs w:val="24"/>
              </w:rPr>
              <w:t xml:space="preserve"> or </w:t>
            </w:r>
            <w:proofErr w:type="spellStart"/>
            <w:r w:rsidRPr="005339A4">
              <w:rPr>
                <w:rFonts w:cs="Arial"/>
                <w:sz w:val="24"/>
                <w:szCs w:val="24"/>
              </w:rPr>
              <w:t>noninterfund</w:t>
            </w:r>
            <w:proofErr w:type="spellEnd"/>
            <w:r w:rsidRPr="005339A4">
              <w:rPr>
                <w:rFonts w:cs="Arial"/>
                <w:sz w:val="24"/>
                <w:szCs w:val="24"/>
              </w:rPr>
              <w:t xml:space="preserve">).  When </w:t>
            </w:r>
            <w:proofErr w:type="spellStart"/>
            <w:r w:rsidRPr="005339A4">
              <w:rPr>
                <w:rFonts w:cs="Arial"/>
                <w:sz w:val="24"/>
                <w:szCs w:val="24"/>
              </w:rPr>
              <w:t>interfund</w:t>
            </w:r>
            <w:proofErr w:type="spellEnd"/>
            <w:r w:rsidRPr="005339A4">
              <w:rPr>
                <w:rFonts w:cs="Arial"/>
                <w:sz w:val="24"/>
                <w:szCs w:val="24"/>
              </w:rPr>
              <w:t xml:space="preserve"> billing is indicated, the fund code also indicates the fund account to be charged (disbursed) or credited (refunded).</w:t>
            </w:r>
          </w:p>
          <w:p w14:paraId="45C06687" w14:textId="77777777" w:rsidR="00747430" w:rsidRDefault="006004F8" w:rsidP="00602397">
            <w:pPr>
              <w:numPr>
                <w:ilvl w:val="0"/>
                <w:numId w:val="6"/>
              </w:numPr>
              <w:tabs>
                <w:tab w:val="left" w:pos="35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339A4">
              <w:rPr>
                <w:rFonts w:cs="Arial"/>
                <w:sz w:val="24"/>
                <w:szCs w:val="24"/>
              </w:rPr>
              <w:t xml:space="preserve">The fund code to disbursement fund account conversion tables are published online in Part I of the Fund Code Table at:  </w:t>
            </w:r>
            <w:hyperlink r:id="rId11" w:history="1">
              <w:r w:rsidR="00FF706A" w:rsidRPr="00FF706A">
                <w:rPr>
                  <w:rStyle w:val="Hyperlink"/>
                  <w:rFonts w:cs="Arial"/>
                  <w:sz w:val="24"/>
                  <w:szCs w:val="24"/>
                </w:rPr>
                <w:t>https://www2.transactionservices.dla.mil/logreports/daasc_reports.asp</w:t>
              </w:r>
            </w:hyperlink>
          </w:p>
          <w:p w14:paraId="45C06688" w14:textId="24AE3DB2" w:rsidR="00747430" w:rsidRDefault="006004F8" w:rsidP="00EA13EC">
            <w:pPr>
              <w:numPr>
                <w:ilvl w:val="0"/>
                <w:numId w:val="6"/>
              </w:numPr>
              <w:tabs>
                <w:tab w:val="left" w:pos="35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339A4">
              <w:rPr>
                <w:rFonts w:cs="Arial"/>
                <w:sz w:val="24"/>
                <w:szCs w:val="24"/>
              </w:rPr>
              <w:t xml:space="preserve">Only valid appropriations and </w:t>
            </w:r>
            <w:r w:rsidR="00EA13EC" w:rsidRPr="00617733">
              <w:rPr>
                <w:rFonts w:cs="Arial"/>
                <w:sz w:val="24"/>
                <w:szCs w:val="24"/>
              </w:rPr>
              <w:t>Sub-Allocation Holder Identifiers</w:t>
            </w:r>
            <w:r w:rsidRPr="005339A4">
              <w:rPr>
                <w:rFonts w:cs="Arial"/>
                <w:sz w:val="24"/>
                <w:szCs w:val="24"/>
              </w:rPr>
              <w:t xml:space="preserve"> may</w:t>
            </w:r>
            <w:r w:rsidR="00617733">
              <w:rPr>
                <w:rFonts w:cs="Arial"/>
                <w:sz w:val="24"/>
                <w:szCs w:val="24"/>
              </w:rPr>
              <w:t xml:space="preserve"> be associated with fund codes.</w:t>
            </w:r>
          </w:p>
          <w:p w14:paraId="45C06689" w14:textId="5DFCE470" w:rsidR="00747430" w:rsidRDefault="006004F8" w:rsidP="00602397">
            <w:pPr>
              <w:numPr>
                <w:ilvl w:val="0"/>
                <w:numId w:val="6"/>
              </w:numPr>
              <w:tabs>
                <w:tab w:val="left" w:pos="35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339A4">
              <w:rPr>
                <w:rFonts w:cs="Arial"/>
                <w:sz w:val="24"/>
                <w:szCs w:val="24"/>
              </w:rPr>
              <w:t xml:space="preserve">When a fund code used in the billing and adjustment process is not found on the fund code to disbursement fund account conversion table the appropriation charged </w:t>
            </w:r>
            <w:r w:rsidR="008C3A18">
              <w:rPr>
                <w:rFonts w:cs="Arial"/>
                <w:sz w:val="24"/>
                <w:szCs w:val="24"/>
              </w:rPr>
              <w:t>wi</w:t>
            </w:r>
            <w:r w:rsidRPr="005339A4">
              <w:rPr>
                <w:rFonts w:cs="Arial"/>
                <w:sz w:val="24"/>
                <w:szCs w:val="24"/>
              </w:rPr>
              <w:t>ll be assigned as follows:</w:t>
            </w:r>
          </w:p>
          <w:p w14:paraId="45C0668A" w14:textId="77777777" w:rsidR="006004F8" w:rsidRPr="005339A4" w:rsidRDefault="006004F8" w:rsidP="00602397">
            <w:pPr>
              <w:tabs>
                <w:tab w:val="left" w:pos="350"/>
                <w:tab w:val="left" w:pos="5930"/>
              </w:tabs>
              <w:spacing w:before="60" w:after="60"/>
              <w:ind w:left="720"/>
              <w:rPr>
                <w:rFonts w:cs="Arial"/>
                <w:sz w:val="24"/>
                <w:szCs w:val="24"/>
                <w:u w:val="single"/>
              </w:rPr>
            </w:pPr>
            <w:r w:rsidRPr="005339A4">
              <w:rPr>
                <w:rFonts w:cs="Arial"/>
                <w:sz w:val="24"/>
                <w:szCs w:val="24"/>
                <w:u w:val="single"/>
              </w:rPr>
              <w:t>Organization (Billed Service Code)</w:t>
            </w:r>
            <w:r w:rsidRPr="005339A4">
              <w:rPr>
                <w:rFonts w:cs="Arial"/>
                <w:sz w:val="24"/>
                <w:szCs w:val="24"/>
              </w:rPr>
              <w:t xml:space="preserve">          </w:t>
            </w:r>
            <w:proofErr w:type="spellStart"/>
            <w:r w:rsidRPr="005339A4">
              <w:rPr>
                <w:rFonts w:cs="Arial"/>
                <w:sz w:val="24"/>
                <w:szCs w:val="24"/>
                <w:u w:val="single"/>
              </w:rPr>
              <w:t>Interfund</w:t>
            </w:r>
            <w:proofErr w:type="spellEnd"/>
            <w:r w:rsidRPr="005339A4">
              <w:rPr>
                <w:rFonts w:cs="Arial"/>
                <w:sz w:val="24"/>
                <w:szCs w:val="24"/>
                <w:u w:val="single"/>
              </w:rPr>
              <w:t xml:space="preserve"> Default Appropriation</w:t>
            </w:r>
          </w:p>
          <w:p w14:paraId="45C0668B" w14:textId="77777777" w:rsidR="006004F8" w:rsidRPr="005339A4" w:rsidRDefault="006004F8" w:rsidP="00602397">
            <w:pPr>
              <w:tabs>
                <w:tab w:val="left" w:pos="350"/>
                <w:tab w:val="left" w:pos="5480"/>
              </w:tabs>
              <w:spacing w:before="60" w:after="60"/>
              <w:ind w:left="720"/>
              <w:rPr>
                <w:rFonts w:cs="Arial"/>
                <w:sz w:val="24"/>
                <w:szCs w:val="24"/>
              </w:rPr>
            </w:pPr>
            <w:r w:rsidRPr="005339A4">
              <w:rPr>
                <w:rFonts w:cs="Arial"/>
                <w:sz w:val="24"/>
                <w:szCs w:val="24"/>
              </w:rPr>
              <w:t>Contractor (C,</w:t>
            </w:r>
            <w:r w:rsidR="0043097B">
              <w:rPr>
                <w:rFonts w:cs="Arial"/>
                <w:sz w:val="24"/>
                <w:szCs w:val="24"/>
              </w:rPr>
              <w:t xml:space="preserve"> </w:t>
            </w:r>
            <w:r w:rsidRPr="005339A4">
              <w:rPr>
                <w:rFonts w:cs="Arial"/>
                <w:sz w:val="24"/>
                <w:szCs w:val="24"/>
              </w:rPr>
              <w:t>E,</w:t>
            </w:r>
            <w:r w:rsidR="0043097B">
              <w:rPr>
                <w:rFonts w:cs="Arial"/>
                <w:sz w:val="24"/>
                <w:szCs w:val="24"/>
              </w:rPr>
              <w:t xml:space="preserve"> </w:t>
            </w:r>
            <w:r w:rsidRPr="005339A4">
              <w:rPr>
                <w:rFonts w:cs="Arial"/>
                <w:sz w:val="24"/>
                <w:szCs w:val="24"/>
              </w:rPr>
              <w:t>L,</w:t>
            </w:r>
            <w:r w:rsidR="0043097B">
              <w:rPr>
                <w:rFonts w:cs="Arial"/>
                <w:sz w:val="24"/>
                <w:szCs w:val="24"/>
              </w:rPr>
              <w:t xml:space="preserve"> </w:t>
            </w:r>
            <w:r w:rsidRPr="005339A4">
              <w:rPr>
                <w:rFonts w:cs="Arial"/>
                <w:sz w:val="24"/>
                <w:szCs w:val="24"/>
              </w:rPr>
              <w:t>Q,</w:t>
            </w:r>
            <w:r w:rsidR="0043097B">
              <w:rPr>
                <w:rFonts w:cs="Arial"/>
                <w:sz w:val="24"/>
                <w:szCs w:val="24"/>
              </w:rPr>
              <w:t xml:space="preserve"> </w:t>
            </w:r>
            <w:r w:rsidRPr="005339A4">
              <w:rPr>
                <w:rFonts w:cs="Arial"/>
                <w:sz w:val="24"/>
                <w:szCs w:val="24"/>
              </w:rPr>
              <w:t>U)</w:t>
            </w:r>
            <w:r w:rsidRPr="005339A4">
              <w:rPr>
                <w:rFonts w:cs="Arial"/>
                <w:sz w:val="24"/>
                <w:szCs w:val="24"/>
              </w:rPr>
              <w:tab/>
              <w:t xml:space="preserve">Not applicable, </w:t>
            </w:r>
            <w:proofErr w:type="spellStart"/>
            <w:r w:rsidRPr="005339A4">
              <w:rPr>
                <w:rFonts w:cs="Arial"/>
                <w:sz w:val="24"/>
                <w:szCs w:val="24"/>
              </w:rPr>
              <w:t>noninterfund</w:t>
            </w:r>
            <w:proofErr w:type="spellEnd"/>
          </w:p>
          <w:p w14:paraId="45C0668C" w14:textId="77777777" w:rsidR="006004F8" w:rsidRPr="005339A4" w:rsidRDefault="006004F8" w:rsidP="00602397">
            <w:pPr>
              <w:tabs>
                <w:tab w:val="left" w:pos="350"/>
                <w:tab w:val="left" w:pos="5480"/>
              </w:tabs>
              <w:spacing w:before="60" w:after="60"/>
              <w:ind w:left="720"/>
              <w:rPr>
                <w:rFonts w:cs="Arial"/>
                <w:sz w:val="24"/>
                <w:szCs w:val="24"/>
              </w:rPr>
            </w:pPr>
            <w:r w:rsidRPr="005339A4">
              <w:rPr>
                <w:rFonts w:cs="Arial"/>
                <w:sz w:val="24"/>
                <w:szCs w:val="24"/>
              </w:rPr>
              <w:t>Non</w:t>
            </w:r>
            <w:r w:rsidR="0043097B">
              <w:rPr>
                <w:rFonts w:cs="Arial"/>
                <w:sz w:val="24"/>
                <w:szCs w:val="24"/>
              </w:rPr>
              <w:t>-</w:t>
            </w:r>
            <w:r w:rsidRPr="005339A4">
              <w:rPr>
                <w:rFonts w:cs="Arial"/>
                <w:sz w:val="24"/>
                <w:szCs w:val="24"/>
              </w:rPr>
              <w:t>DoD (G,</w:t>
            </w:r>
            <w:r w:rsidR="0043097B">
              <w:rPr>
                <w:rFonts w:cs="Arial"/>
                <w:sz w:val="24"/>
                <w:szCs w:val="24"/>
              </w:rPr>
              <w:t xml:space="preserve"> </w:t>
            </w:r>
            <w:r w:rsidRPr="005339A4">
              <w:rPr>
                <w:rFonts w:cs="Arial"/>
                <w:sz w:val="24"/>
                <w:szCs w:val="24"/>
              </w:rPr>
              <w:t>Z,</w:t>
            </w:r>
            <w:r w:rsidR="0043097B">
              <w:rPr>
                <w:rFonts w:cs="Arial"/>
                <w:sz w:val="24"/>
                <w:szCs w:val="24"/>
              </w:rPr>
              <w:t xml:space="preserve"> </w:t>
            </w:r>
            <w:r w:rsidRPr="005339A4">
              <w:rPr>
                <w:rFonts w:cs="Arial"/>
                <w:sz w:val="24"/>
                <w:szCs w:val="24"/>
              </w:rPr>
              <w:t>HX,</w:t>
            </w:r>
            <w:r w:rsidR="0043097B">
              <w:rPr>
                <w:rFonts w:cs="Arial"/>
                <w:sz w:val="24"/>
                <w:szCs w:val="24"/>
              </w:rPr>
              <w:t xml:space="preserve"> </w:t>
            </w:r>
            <w:r w:rsidRPr="005339A4">
              <w:rPr>
                <w:rFonts w:cs="Arial"/>
                <w:sz w:val="24"/>
                <w:szCs w:val="24"/>
              </w:rPr>
              <w:t>Numeric)</w:t>
            </w:r>
            <w:r w:rsidRPr="005339A4">
              <w:rPr>
                <w:rFonts w:cs="Arial"/>
                <w:sz w:val="24"/>
                <w:szCs w:val="24"/>
              </w:rPr>
              <w:tab/>
              <w:t xml:space="preserve">Not applicable, </w:t>
            </w:r>
            <w:proofErr w:type="spellStart"/>
            <w:r w:rsidRPr="005339A4">
              <w:rPr>
                <w:rFonts w:cs="Arial"/>
                <w:sz w:val="24"/>
                <w:szCs w:val="24"/>
              </w:rPr>
              <w:t>noninterfund</w:t>
            </w:r>
            <w:proofErr w:type="spellEnd"/>
          </w:p>
          <w:p w14:paraId="45C0668D" w14:textId="77777777" w:rsidR="006004F8" w:rsidRPr="005339A4" w:rsidRDefault="006004F8" w:rsidP="00602397">
            <w:pPr>
              <w:tabs>
                <w:tab w:val="left" w:pos="350"/>
                <w:tab w:val="left" w:pos="5480"/>
              </w:tabs>
              <w:spacing w:before="60" w:after="60"/>
              <w:ind w:left="720"/>
              <w:rPr>
                <w:rFonts w:cs="Arial"/>
                <w:sz w:val="24"/>
                <w:szCs w:val="24"/>
              </w:rPr>
            </w:pPr>
            <w:r w:rsidRPr="005339A4">
              <w:rPr>
                <w:rFonts w:cs="Arial"/>
                <w:sz w:val="24"/>
                <w:szCs w:val="24"/>
              </w:rPr>
              <w:t>Army (A,</w:t>
            </w:r>
            <w:r w:rsidR="0043097B">
              <w:rPr>
                <w:rFonts w:cs="Arial"/>
                <w:sz w:val="24"/>
                <w:szCs w:val="24"/>
              </w:rPr>
              <w:t xml:space="preserve"> </w:t>
            </w:r>
            <w:r w:rsidRPr="005339A4">
              <w:rPr>
                <w:rFonts w:cs="Arial"/>
                <w:sz w:val="24"/>
                <w:szCs w:val="24"/>
              </w:rPr>
              <w:t>W)</w:t>
            </w:r>
            <w:r w:rsidRPr="005339A4">
              <w:rPr>
                <w:rFonts w:cs="Arial"/>
                <w:sz w:val="24"/>
                <w:szCs w:val="24"/>
              </w:rPr>
              <w:tab/>
              <w:t>21*2020</w:t>
            </w:r>
          </w:p>
          <w:p w14:paraId="45C0668E" w14:textId="77777777" w:rsidR="006004F8" w:rsidRPr="005339A4" w:rsidRDefault="006004F8" w:rsidP="00602397">
            <w:pPr>
              <w:tabs>
                <w:tab w:val="left" w:pos="350"/>
                <w:tab w:val="left" w:pos="5480"/>
              </w:tabs>
              <w:spacing w:before="60" w:after="60"/>
              <w:ind w:left="720"/>
              <w:rPr>
                <w:rFonts w:cs="Arial"/>
                <w:sz w:val="24"/>
                <w:szCs w:val="24"/>
              </w:rPr>
            </w:pPr>
            <w:r w:rsidRPr="005339A4">
              <w:rPr>
                <w:rFonts w:cs="Arial"/>
                <w:sz w:val="24"/>
                <w:szCs w:val="24"/>
              </w:rPr>
              <w:t>Air Force (D,</w:t>
            </w:r>
            <w:r w:rsidR="0043097B">
              <w:rPr>
                <w:rFonts w:cs="Arial"/>
                <w:sz w:val="24"/>
                <w:szCs w:val="24"/>
              </w:rPr>
              <w:t xml:space="preserve"> </w:t>
            </w:r>
            <w:r w:rsidRPr="005339A4">
              <w:rPr>
                <w:rFonts w:cs="Arial"/>
                <w:sz w:val="24"/>
                <w:szCs w:val="24"/>
              </w:rPr>
              <w:t>F)</w:t>
            </w:r>
            <w:r w:rsidRPr="005339A4">
              <w:rPr>
                <w:rFonts w:cs="Arial"/>
                <w:sz w:val="24"/>
                <w:szCs w:val="24"/>
              </w:rPr>
              <w:tab/>
              <w:t>57*3400</w:t>
            </w:r>
          </w:p>
          <w:p w14:paraId="45C0668F" w14:textId="77777777" w:rsidR="006004F8" w:rsidRPr="005339A4" w:rsidRDefault="006004F8" w:rsidP="00602397">
            <w:pPr>
              <w:tabs>
                <w:tab w:val="left" w:pos="350"/>
                <w:tab w:val="left" w:pos="5480"/>
              </w:tabs>
              <w:spacing w:before="60" w:after="60"/>
              <w:ind w:left="720"/>
              <w:rPr>
                <w:rFonts w:cs="Arial"/>
                <w:sz w:val="24"/>
                <w:szCs w:val="24"/>
              </w:rPr>
            </w:pPr>
            <w:r w:rsidRPr="005339A4">
              <w:rPr>
                <w:rFonts w:cs="Arial"/>
                <w:sz w:val="24"/>
                <w:szCs w:val="24"/>
              </w:rPr>
              <w:t>Navy (N,</w:t>
            </w:r>
            <w:r w:rsidR="0043097B">
              <w:rPr>
                <w:rFonts w:cs="Arial"/>
                <w:sz w:val="24"/>
                <w:szCs w:val="24"/>
              </w:rPr>
              <w:t xml:space="preserve"> </w:t>
            </w:r>
            <w:r w:rsidRPr="005339A4">
              <w:rPr>
                <w:rFonts w:cs="Arial"/>
                <w:sz w:val="24"/>
                <w:szCs w:val="24"/>
              </w:rPr>
              <w:t>P,</w:t>
            </w:r>
            <w:r w:rsidR="0043097B">
              <w:rPr>
                <w:rFonts w:cs="Arial"/>
                <w:sz w:val="24"/>
                <w:szCs w:val="24"/>
              </w:rPr>
              <w:t xml:space="preserve"> </w:t>
            </w:r>
            <w:r w:rsidRPr="005339A4">
              <w:rPr>
                <w:rFonts w:cs="Arial"/>
                <w:sz w:val="24"/>
                <w:szCs w:val="24"/>
              </w:rPr>
              <w:t>R,</w:t>
            </w:r>
            <w:r w:rsidR="0043097B">
              <w:rPr>
                <w:rFonts w:cs="Arial"/>
                <w:sz w:val="24"/>
                <w:szCs w:val="24"/>
              </w:rPr>
              <w:t xml:space="preserve"> </w:t>
            </w:r>
            <w:r w:rsidRPr="005339A4">
              <w:rPr>
                <w:rFonts w:cs="Arial"/>
                <w:sz w:val="24"/>
                <w:szCs w:val="24"/>
              </w:rPr>
              <w:t>V)</w:t>
            </w:r>
            <w:r w:rsidRPr="005339A4">
              <w:rPr>
                <w:rFonts w:cs="Arial"/>
                <w:sz w:val="24"/>
                <w:szCs w:val="24"/>
              </w:rPr>
              <w:tab/>
              <w:t>17*1804</w:t>
            </w:r>
          </w:p>
          <w:p w14:paraId="45C06690" w14:textId="77777777" w:rsidR="006004F8" w:rsidRPr="005339A4" w:rsidRDefault="006004F8" w:rsidP="00602397">
            <w:pPr>
              <w:tabs>
                <w:tab w:val="left" w:pos="350"/>
                <w:tab w:val="left" w:pos="5480"/>
              </w:tabs>
              <w:spacing w:before="60" w:after="60"/>
              <w:ind w:left="720"/>
              <w:rPr>
                <w:rFonts w:cs="Arial"/>
                <w:sz w:val="24"/>
                <w:szCs w:val="24"/>
              </w:rPr>
            </w:pPr>
            <w:r w:rsidRPr="005339A4">
              <w:rPr>
                <w:rFonts w:cs="Arial"/>
                <w:sz w:val="24"/>
                <w:szCs w:val="24"/>
              </w:rPr>
              <w:t>Marine Corps (K,</w:t>
            </w:r>
            <w:r w:rsidR="0043097B">
              <w:rPr>
                <w:rFonts w:cs="Arial"/>
                <w:sz w:val="24"/>
                <w:szCs w:val="24"/>
              </w:rPr>
              <w:t xml:space="preserve"> </w:t>
            </w:r>
            <w:r w:rsidRPr="005339A4">
              <w:rPr>
                <w:rFonts w:cs="Arial"/>
                <w:sz w:val="24"/>
                <w:szCs w:val="24"/>
              </w:rPr>
              <w:t>M)</w:t>
            </w:r>
            <w:r w:rsidRPr="005339A4">
              <w:rPr>
                <w:rFonts w:cs="Arial"/>
                <w:sz w:val="24"/>
                <w:szCs w:val="24"/>
              </w:rPr>
              <w:tab/>
              <w:t>17*1106</w:t>
            </w:r>
          </w:p>
          <w:p w14:paraId="45C06691" w14:textId="62173E65" w:rsidR="006004F8" w:rsidRPr="00617733" w:rsidRDefault="006004F8" w:rsidP="00602397">
            <w:pPr>
              <w:tabs>
                <w:tab w:val="left" w:pos="350"/>
                <w:tab w:val="left" w:pos="5480"/>
              </w:tabs>
              <w:spacing w:before="60" w:after="60"/>
              <w:ind w:left="720"/>
              <w:rPr>
                <w:rFonts w:cs="Arial"/>
                <w:sz w:val="24"/>
                <w:szCs w:val="24"/>
              </w:rPr>
            </w:pPr>
            <w:r w:rsidRPr="005339A4">
              <w:rPr>
                <w:rFonts w:cs="Arial"/>
                <w:sz w:val="24"/>
                <w:szCs w:val="24"/>
              </w:rPr>
              <w:t>Defense Logistics Agency (S,</w:t>
            </w:r>
            <w:r w:rsidR="0043097B">
              <w:rPr>
                <w:rFonts w:cs="Arial"/>
                <w:sz w:val="24"/>
                <w:szCs w:val="24"/>
              </w:rPr>
              <w:t xml:space="preserve"> </w:t>
            </w:r>
            <w:r w:rsidRPr="005339A4">
              <w:rPr>
                <w:rFonts w:cs="Arial"/>
                <w:sz w:val="24"/>
                <w:szCs w:val="24"/>
              </w:rPr>
              <w:t>T)</w:t>
            </w:r>
            <w:r w:rsidRPr="005339A4">
              <w:rPr>
                <w:rFonts w:cs="Arial"/>
                <w:sz w:val="24"/>
                <w:szCs w:val="24"/>
              </w:rPr>
              <w:tab/>
              <w:t>97X4930.</w:t>
            </w:r>
            <w:r w:rsidR="00EA13EC" w:rsidRPr="00617733">
              <w:rPr>
                <w:rFonts w:cs="Arial"/>
                <w:sz w:val="24"/>
                <w:szCs w:val="24"/>
              </w:rPr>
              <w:t>5CBX</w:t>
            </w:r>
          </w:p>
          <w:p w14:paraId="45C06692" w14:textId="77777777" w:rsidR="00747430" w:rsidRDefault="006004F8" w:rsidP="00602397">
            <w:pPr>
              <w:tabs>
                <w:tab w:val="left" w:pos="350"/>
                <w:tab w:val="left" w:pos="5480"/>
              </w:tabs>
              <w:spacing w:before="60" w:after="60"/>
              <w:ind w:left="720"/>
              <w:rPr>
                <w:rFonts w:cs="Arial"/>
                <w:sz w:val="24"/>
                <w:szCs w:val="24"/>
              </w:rPr>
            </w:pPr>
            <w:r w:rsidRPr="005339A4">
              <w:rPr>
                <w:rFonts w:cs="Arial"/>
                <w:sz w:val="24"/>
                <w:szCs w:val="24"/>
              </w:rPr>
              <w:t>Other Defense Agency (H)</w:t>
            </w:r>
            <w:r w:rsidRPr="005339A4">
              <w:rPr>
                <w:rFonts w:cs="Arial"/>
                <w:sz w:val="24"/>
                <w:szCs w:val="24"/>
              </w:rPr>
              <w:tab/>
              <w:t xml:space="preserve">Not applicable, </w:t>
            </w:r>
            <w:proofErr w:type="spellStart"/>
            <w:r w:rsidRPr="005339A4">
              <w:rPr>
                <w:rFonts w:cs="Arial"/>
                <w:sz w:val="24"/>
                <w:szCs w:val="24"/>
              </w:rPr>
              <w:t>noninterfund</w:t>
            </w:r>
            <w:proofErr w:type="spellEnd"/>
            <w:r w:rsidR="002E0889">
              <w:rPr>
                <w:rFonts w:cs="Arial"/>
                <w:sz w:val="24"/>
                <w:szCs w:val="24"/>
              </w:rPr>
              <w:t>.</w:t>
            </w:r>
          </w:p>
        </w:tc>
      </w:tr>
      <w:tr w:rsidR="006004F8" w:rsidRPr="005339A4" w14:paraId="45C06695" w14:textId="77777777" w:rsidTr="00602397">
        <w:trPr>
          <w:cantSplit/>
          <w:trHeight w:val="403"/>
          <w:jc w:val="center"/>
        </w:trPr>
        <w:tc>
          <w:tcPr>
            <w:tcW w:w="9360" w:type="dxa"/>
            <w:gridSpan w:val="2"/>
          </w:tcPr>
          <w:p w14:paraId="45C06694" w14:textId="36C66FA4" w:rsidR="00747430" w:rsidRDefault="006004F8" w:rsidP="00602397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339A4">
              <w:rPr>
                <w:rFonts w:cs="Arial"/>
                <w:sz w:val="24"/>
                <w:szCs w:val="24"/>
              </w:rPr>
              <w:t>AP2.</w:t>
            </w:r>
            <w:r w:rsidR="00411661">
              <w:rPr>
                <w:rFonts w:cs="Arial"/>
                <w:sz w:val="24"/>
                <w:szCs w:val="24"/>
              </w:rPr>
              <w:t>2.</w:t>
            </w:r>
            <w:r w:rsidRPr="005339A4">
              <w:rPr>
                <w:rFonts w:cs="Arial"/>
                <w:sz w:val="24"/>
                <w:szCs w:val="24"/>
              </w:rPr>
              <w:t xml:space="preserve">2.  An additional use for the fund code, when the signal code is C or L, is to indicate the </w:t>
            </w:r>
            <w:proofErr w:type="spellStart"/>
            <w:r w:rsidRPr="005339A4">
              <w:rPr>
                <w:rFonts w:cs="Arial"/>
                <w:sz w:val="24"/>
                <w:szCs w:val="24"/>
              </w:rPr>
              <w:t>DoDAAC</w:t>
            </w:r>
            <w:proofErr w:type="spellEnd"/>
            <w:r w:rsidRPr="005339A4">
              <w:rPr>
                <w:rFonts w:cs="Arial"/>
                <w:sz w:val="24"/>
                <w:szCs w:val="24"/>
              </w:rPr>
              <w:t xml:space="preserve"> of the “bill-to” office.  See AP1 for codes.</w:t>
            </w:r>
          </w:p>
        </w:tc>
      </w:tr>
      <w:tr w:rsidR="006004F8" w:rsidRPr="005339A4" w14:paraId="45C06697" w14:textId="77777777" w:rsidTr="00602397">
        <w:trPr>
          <w:cantSplit/>
          <w:trHeight w:val="403"/>
          <w:jc w:val="center"/>
        </w:trPr>
        <w:tc>
          <w:tcPr>
            <w:tcW w:w="9360" w:type="dxa"/>
            <w:gridSpan w:val="2"/>
          </w:tcPr>
          <w:p w14:paraId="45C06696" w14:textId="60611381" w:rsidR="00747430" w:rsidRDefault="006004F8" w:rsidP="008C3A1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339A4">
              <w:rPr>
                <w:rFonts w:cs="Arial"/>
                <w:sz w:val="24"/>
                <w:szCs w:val="24"/>
              </w:rPr>
              <w:t>AP2.</w:t>
            </w:r>
            <w:r w:rsidR="00411661">
              <w:rPr>
                <w:rFonts w:cs="Arial"/>
                <w:sz w:val="24"/>
                <w:szCs w:val="24"/>
              </w:rPr>
              <w:t>2.</w:t>
            </w:r>
            <w:r w:rsidRPr="005339A4">
              <w:rPr>
                <w:rFonts w:cs="Arial"/>
                <w:sz w:val="24"/>
                <w:szCs w:val="24"/>
              </w:rPr>
              <w:t xml:space="preserve">3.  Requisitions submitted to DoD </w:t>
            </w:r>
            <w:r w:rsidR="0043097B">
              <w:rPr>
                <w:rFonts w:cs="Arial"/>
                <w:sz w:val="24"/>
                <w:szCs w:val="24"/>
              </w:rPr>
              <w:t>A</w:t>
            </w:r>
            <w:r w:rsidRPr="005339A4">
              <w:rPr>
                <w:rFonts w:cs="Arial"/>
                <w:sz w:val="24"/>
                <w:szCs w:val="24"/>
              </w:rPr>
              <w:t xml:space="preserve">ctivities and the General Services Administration </w:t>
            </w:r>
            <w:r w:rsidR="008C3A18">
              <w:rPr>
                <w:rFonts w:cs="Arial"/>
                <w:sz w:val="24"/>
                <w:szCs w:val="24"/>
              </w:rPr>
              <w:t>wi</w:t>
            </w:r>
            <w:r w:rsidRPr="005339A4">
              <w:rPr>
                <w:rFonts w:cs="Arial"/>
                <w:sz w:val="24"/>
                <w:szCs w:val="24"/>
              </w:rPr>
              <w:t xml:space="preserve">ll always contain a fund code, unless the materiel requested </w:t>
            </w:r>
            <w:r w:rsidR="008C3A18">
              <w:rPr>
                <w:rFonts w:cs="Arial"/>
                <w:sz w:val="24"/>
                <w:szCs w:val="24"/>
              </w:rPr>
              <w:t>wi</w:t>
            </w:r>
            <w:r w:rsidRPr="005339A4">
              <w:rPr>
                <w:rFonts w:cs="Arial"/>
                <w:sz w:val="24"/>
                <w:szCs w:val="24"/>
              </w:rPr>
              <w:t xml:space="preserve">ll be issued without charge.  When the materiel </w:t>
            </w:r>
            <w:r w:rsidR="008C3A18">
              <w:rPr>
                <w:rFonts w:cs="Arial"/>
                <w:sz w:val="24"/>
                <w:szCs w:val="24"/>
              </w:rPr>
              <w:t>wi</w:t>
            </w:r>
            <w:r w:rsidRPr="005339A4">
              <w:rPr>
                <w:rFonts w:cs="Arial"/>
                <w:sz w:val="24"/>
                <w:szCs w:val="24"/>
              </w:rPr>
              <w:t xml:space="preserve">ll be issued without charge the signal code (pos. 51) </w:t>
            </w:r>
            <w:r w:rsidR="008C3A18">
              <w:rPr>
                <w:rFonts w:cs="Arial"/>
                <w:sz w:val="24"/>
                <w:szCs w:val="24"/>
              </w:rPr>
              <w:t>wi</w:t>
            </w:r>
            <w:r w:rsidRPr="005339A4">
              <w:rPr>
                <w:rFonts w:cs="Arial"/>
                <w:sz w:val="24"/>
                <w:szCs w:val="24"/>
              </w:rPr>
              <w:t xml:space="preserve">ll be D or M (free issue) and the fund code </w:t>
            </w:r>
            <w:r w:rsidR="008C3A18">
              <w:rPr>
                <w:rFonts w:cs="Arial"/>
                <w:sz w:val="24"/>
                <w:szCs w:val="24"/>
              </w:rPr>
              <w:t>wi</w:t>
            </w:r>
            <w:r w:rsidRPr="005339A4">
              <w:rPr>
                <w:rFonts w:cs="Arial"/>
                <w:sz w:val="24"/>
                <w:szCs w:val="24"/>
              </w:rPr>
              <w:t>ll not be significant.</w:t>
            </w:r>
          </w:p>
        </w:tc>
      </w:tr>
      <w:tr w:rsidR="006004F8" w:rsidRPr="005339A4" w14:paraId="45C06699" w14:textId="77777777" w:rsidTr="00602397">
        <w:trPr>
          <w:cantSplit/>
          <w:trHeight w:val="403"/>
          <w:jc w:val="center"/>
        </w:trPr>
        <w:tc>
          <w:tcPr>
            <w:tcW w:w="9360" w:type="dxa"/>
            <w:gridSpan w:val="2"/>
          </w:tcPr>
          <w:p w14:paraId="45C06698" w14:textId="5924F4B9" w:rsidR="00747430" w:rsidRDefault="00213F09" w:rsidP="00602397">
            <w:pPr>
              <w:tabs>
                <w:tab w:val="left" w:pos="2000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AP2.</w:t>
            </w:r>
            <w:r w:rsidR="00411661">
              <w:rPr>
                <w:rFonts w:cs="Arial"/>
                <w:sz w:val="24"/>
                <w:szCs w:val="24"/>
              </w:rPr>
              <w:t>2.</w:t>
            </w:r>
            <w:r w:rsidR="006004F8" w:rsidRPr="005339A4">
              <w:rPr>
                <w:rFonts w:cs="Arial"/>
                <w:sz w:val="24"/>
                <w:szCs w:val="24"/>
              </w:rPr>
              <w:t xml:space="preserve">4.  Defense Agencies and others using H series </w:t>
            </w:r>
            <w:proofErr w:type="spellStart"/>
            <w:r w:rsidR="006004F8" w:rsidRPr="005339A4">
              <w:rPr>
                <w:rFonts w:cs="Arial"/>
                <w:sz w:val="24"/>
                <w:szCs w:val="24"/>
              </w:rPr>
              <w:t>DoDAACs</w:t>
            </w:r>
            <w:proofErr w:type="spellEnd"/>
            <w:r w:rsidR="006004F8" w:rsidRPr="005339A4">
              <w:rPr>
                <w:rFonts w:cs="Arial"/>
                <w:sz w:val="24"/>
                <w:szCs w:val="24"/>
              </w:rPr>
              <w:t xml:space="preserve"> may use fund codes designating </w:t>
            </w:r>
            <w:proofErr w:type="spellStart"/>
            <w:r w:rsidR="006004F8" w:rsidRPr="005339A4">
              <w:rPr>
                <w:rFonts w:cs="Arial"/>
                <w:sz w:val="24"/>
                <w:szCs w:val="24"/>
              </w:rPr>
              <w:t>interfund</w:t>
            </w:r>
            <w:proofErr w:type="spellEnd"/>
            <w:r w:rsidR="006004F8" w:rsidRPr="005339A4">
              <w:rPr>
                <w:rFonts w:cs="Arial"/>
                <w:sz w:val="24"/>
                <w:szCs w:val="24"/>
              </w:rPr>
              <w:t xml:space="preserve"> billing only if the requisitioning </w:t>
            </w:r>
            <w:proofErr w:type="spellStart"/>
            <w:r w:rsidR="006004F8" w:rsidRPr="005339A4">
              <w:rPr>
                <w:rFonts w:cs="Arial"/>
                <w:sz w:val="24"/>
                <w:szCs w:val="24"/>
              </w:rPr>
              <w:t>DoDAAC</w:t>
            </w:r>
            <w:proofErr w:type="spellEnd"/>
            <w:r w:rsidR="006004F8" w:rsidRPr="005339A4">
              <w:rPr>
                <w:rFonts w:cs="Arial"/>
                <w:sz w:val="24"/>
                <w:szCs w:val="24"/>
              </w:rPr>
              <w:t xml:space="preserve"> is identified as authorized to use </w:t>
            </w:r>
            <w:proofErr w:type="spellStart"/>
            <w:r w:rsidR="006004F8" w:rsidRPr="005339A4">
              <w:rPr>
                <w:rFonts w:cs="Arial"/>
                <w:sz w:val="24"/>
                <w:szCs w:val="24"/>
              </w:rPr>
              <w:t>interfund</w:t>
            </w:r>
            <w:proofErr w:type="spellEnd"/>
            <w:r w:rsidR="006004F8" w:rsidRPr="005339A4">
              <w:rPr>
                <w:rFonts w:cs="Arial"/>
                <w:sz w:val="24"/>
                <w:szCs w:val="24"/>
              </w:rPr>
              <w:t xml:space="preserve">.  See AP1 for authorized </w:t>
            </w:r>
            <w:proofErr w:type="spellStart"/>
            <w:r w:rsidR="006004F8" w:rsidRPr="005339A4">
              <w:rPr>
                <w:rFonts w:cs="Arial"/>
                <w:sz w:val="24"/>
                <w:szCs w:val="24"/>
              </w:rPr>
              <w:t>DoDAACs</w:t>
            </w:r>
            <w:proofErr w:type="spellEnd"/>
            <w:r w:rsidR="006004F8" w:rsidRPr="005339A4">
              <w:rPr>
                <w:rFonts w:cs="Arial"/>
                <w:sz w:val="24"/>
                <w:szCs w:val="24"/>
              </w:rPr>
              <w:t>.</w:t>
            </w:r>
          </w:p>
        </w:tc>
      </w:tr>
      <w:tr w:rsidR="006004F8" w:rsidRPr="005339A4" w14:paraId="45C0669B" w14:textId="77777777" w:rsidTr="00602397">
        <w:trPr>
          <w:cantSplit/>
          <w:trHeight w:val="403"/>
          <w:jc w:val="center"/>
        </w:trPr>
        <w:tc>
          <w:tcPr>
            <w:tcW w:w="9360" w:type="dxa"/>
            <w:gridSpan w:val="2"/>
          </w:tcPr>
          <w:p w14:paraId="45C0669A" w14:textId="19C3C683" w:rsidR="00747430" w:rsidRDefault="00213F09" w:rsidP="005C3755">
            <w:pPr>
              <w:tabs>
                <w:tab w:val="left" w:pos="2000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AP2.</w:t>
            </w:r>
            <w:r w:rsidR="00411661">
              <w:rPr>
                <w:rFonts w:cs="Arial"/>
                <w:sz w:val="24"/>
                <w:szCs w:val="24"/>
              </w:rPr>
              <w:t>2.</w:t>
            </w:r>
            <w:r w:rsidR="006004F8" w:rsidRPr="005339A4">
              <w:rPr>
                <w:rFonts w:cs="Arial"/>
                <w:sz w:val="24"/>
                <w:szCs w:val="24"/>
              </w:rPr>
              <w:t>5.  Agency designated Fund Code Coordinators are responsible for maintaining fund codes for their Service or Agency.  With the exception of DLA</w:t>
            </w:r>
            <w:r>
              <w:rPr>
                <w:rFonts w:cs="Arial"/>
                <w:sz w:val="24"/>
                <w:szCs w:val="24"/>
              </w:rPr>
              <w:t>,</w:t>
            </w:r>
            <w:r w:rsidR="006004F8" w:rsidRPr="005339A4">
              <w:rPr>
                <w:rFonts w:cs="Arial"/>
                <w:sz w:val="24"/>
                <w:szCs w:val="24"/>
              </w:rPr>
              <w:t xml:space="preserve"> which has its own coordinator, Defense Finance and Accounting Service (DFAS) maintains fund codes for D</w:t>
            </w:r>
            <w:r>
              <w:rPr>
                <w:rFonts w:cs="Arial"/>
                <w:sz w:val="24"/>
                <w:szCs w:val="24"/>
              </w:rPr>
              <w:t>oD</w:t>
            </w:r>
            <w:r w:rsidR="006004F8" w:rsidRPr="005339A4">
              <w:rPr>
                <w:rFonts w:cs="Arial"/>
                <w:sz w:val="24"/>
                <w:szCs w:val="24"/>
              </w:rPr>
              <w:t xml:space="preserve"> Organizations and Agencies.  Fund code coordinators are identified </w:t>
            </w:r>
            <w:r w:rsidR="005C3755">
              <w:rPr>
                <w:rFonts w:cs="Arial"/>
                <w:sz w:val="24"/>
                <w:szCs w:val="24"/>
              </w:rPr>
              <w:t>in Volume 4 of the DLMS Manual.</w:t>
            </w:r>
          </w:p>
        </w:tc>
      </w:tr>
    </w:tbl>
    <w:p w14:paraId="45C0669C" w14:textId="77777777" w:rsidR="008776B3" w:rsidRDefault="008776B3">
      <w:pPr>
        <w:rPr>
          <w:rFonts w:cs="Arial"/>
          <w:sz w:val="24"/>
        </w:rPr>
      </w:pPr>
      <w:bookmarkStart w:id="0" w:name="_GoBack"/>
      <w:bookmarkEnd w:id="0"/>
    </w:p>
    <w:sectPr w:rsidR="008776B3" w:rsidSect="00FA57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endnotePr>
        <w:numFmt w:val="decimal"/>
      </w:endnotePr>
      <w:type w:val="continuous"/>
      <w:pgSz w:w="12240" w:h="15840"/>
      <w:pgMar w:top="1728" w:right="1440" w:bottom="172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669F" w14:textId="77777777" w:rsidR="001878AE" w:rsidRDefault="001878AE">
      <w:r>
        <w:separator/>
      </w:r>
    </w:p>
  </w:endnote>
  <w:endnote w:type="continuationSeparator" w:id="0">
    <w:p w14:paraId="45C066A0" w14:textId="77777777" w:rsidR="001878AE" w:rsidRDefault="0018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66A3" w14:textId="77777777" w:rsidR="001878AE" w:rsidRDefault="001878AE" w:rsidP="00BF26C9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5C066A4" w14:textId="77777777" w:rsidR="001878AE" w:rsidRDefault="00187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66A5" w14:textId="7EF8C7CF" w:rsidR="001878AE" w:rsidRPr="004A6A3D" w:rsidRDefault="001878AE" w:rsidP="00FA57FB">
    <w:pPr>
      <w:pStyle w:val="Footer"/>
      <w:tabs>
        <w:tab w:val="clear" w:pos="4320"/>
        <w:tab w:val="clear" w:pos="8640"/>
        <w:tab w:val="left" w:pos="4152"/>
        <w:tab w:val="left" w:pos="5592"/>
        <w:tab w:val="right" w:pos="9360"/>
      </w:tabs>
      <w:rPr>
        <w:sz w:val="24"/>
        <w:szCs w:val="24"/>
      </w:rPr>
    </w:pPr>
    <w:r w:rsidRPr="004A6A3D">
      <w:rPr>
        <w:sz w:val="24"/>
        <w:szCs w:val="24"/>
      </w:rPr>
      <w:tab/>
      <w:t>AP2.2-</w:t>
    </w:r>
    <w:r w:rsidRPr="004A6A3D">
      <w:rPr>
        <w:sz w:val="24"/>
        <w:szCs w:val="24"/>
      </w:rPr>
      <w:fldChar w:fldCharType="begin"/>
    </w:r>
    <w:r w:rsidRPr="004A6A3D">
      <w:rPr>
        <w:sz w:val="24"/>
        <w:szCs w:val="24"/>
      </w:rPr>
      <w:instrText xml:space="preserve"> PAGE   \* MERGEFORMAT </w:instrText>
    </w:r>
    <w:r w:rsidRPr="004A6A3D">
      <w:rPr>
        <w:sz w:val="24"/>
        <w:szCs w:val="24"/>
      </w:rPr>
      <w:fldChar w:fldCharType="separate"/>
    </w:r>
    <w:r w:rsidR="005C3755">
      <w:rPr>
        <w:noProof/>
        <w:sz w:val="24"/>
        <w:szCs w:val="24"/>
      </w:rPr>
      <w:t>2</w:t>
    </w:r>
    <w:r w:rsidRPr="004A6A3D">
      <w:rPr>
        <w:noProof/>
        <w:sz w:val="24"/>
        <w:szCs w:val="24"/>
      </w:rPr>
      <w:fldChar w:fldCharType="end"/>
    </w:r>
    <w:r w:rsidRPr="004A6A3D">
      <w:rPr>
        <w:sz w:val="24"/>
        <w:szCs w:val="24"/>
      </w:rPr>
      <w:tab/>
    </w:r>
    <w:r w:rsidRPr="004A6A3D">
      <w:rPr>
        <w:sz w:val="24"/>
        <w:szCs w:val="24"/>
      </w:rPr>
      <w:tab/>
      <w:t>APPENDIX 2.2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66A7" w14:textId="77777777" w:rsidR="001878AE" w:rsidRDefault="001878AE" w:rsidP="000672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5C066A8" w14:textId="77777777" w:rsidR="001878AE" w:rsidRPr="0006725F" w:rsidRDefault="001878AE" w:rsidP="0006725F">
    <w:pPr>
      <w:pStyle w:val="Footer"/>
      <w:tabs>
        <w:tab w:val="clear" w:pos="4320"/>
        <w:tab w:val="clear" w:pos="8640"/>
        <w:tab w:val="right" w:pos="9360"/>
      </w:tabs>
      <w:jc w:val="center"/>
    </w:pPr>
    <w:r>
      <w:rPr>
        <w:rStyle w:val="PageNumber"/>
      </w:rPr>
      <w:tab/>
      <w:t>APPENDIX 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669D" w14:textId="77777777" w:rsidR="001878AE" w:rsidRDefault="001878AE">
      <w:r>
        <w:separator/>
      </w:r>
    </w:p>
  </w:footnote>
  <w:footnote w:type="continuationSeparator" w:id="0">
    <w:p w14:paraId="45C0669E" w14:textId="77777777" w:rsidR="001878AE" w:rsidRDefault="0018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66A1" w14:textId="77777777" w:rsidR="001878AE" w:rsidRDefault="001878AE">
    <w:pPr>
      <w:rPr>
        <w:b/>
        <w:sz w:val="28"/>
      </w:rPr>
    </w:pPr>
    <w:r>
      <w:rPr>
        <w:b/>
        <w:sz w:val="28"/>
      </w:rPr>
      <w:t>DoD 4000.25-8-M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66A2" w14:textId="4687BA2A" w:rsidR="001878AE" w:rsidRPr="00E5522B" w:rsidRDefault="001878AE">
    <w:pPr>
      <w:jc w:val="right"/>
      <w:rPr>
        <w:rFonts w:cs="Arial"/>
        <w:i/>
        <w:sz w:val="24"/>
        <w:szCs w:val="24"/>
      </w:rPr>
    </w:pPr>
    <w:r w:rsidRPr="00E5522B">
      <w:rPr>
        <w:rFonts w:cs="Arial"/>
        <w:i/>
        <w:sz w:val="24"/>
        <w:szCs w:val="24"/>
      </w:rPr>
      <w:t xml:space="preserve">DLM 4000.25, Volume 4, </w:t>
    </w:r>
    <w:r w:rsidR="00CB34EF">
      <w:rPr>
        <w:rFonts w:cs="Arial"/>
        <w:i/>
        <w:sz w:val="24"/>
        <w:szCs w:val="24"/>
      </w:rPr>
      <w:t>April 29</w:t>
    </w:r>
    <w:r w:rsidR="00617733">
      <w:rPr>
        <w:rFonts w:cs="Arial"/>
        <w:i/>
        <w:sz w:val="24"/>
        <w:szCs w:val="24"/>
      </w:rPr>
      <w:t xml:space="preserve">, </w:t>
    </w:r>
    <w:r w:rsidR="00CB34EF">
      <w:rPr>
        <w:rFonts w:cs="Arial"/>
        <w:i/>
        <w:sz w:val="24"/>
        <w:szCs w:val="24"/>
      </w:rPr>
      <w:t>2016</w:t>
    </w:r>
  </w:p>
  <w:p w14:paraId="6E494A8A" w14:textId="745DD692" w:rsidR="00EA13EC" w:rsidRPr="00E5522B" w:rsidRDefault="00EA13EC">
    <w:pPr>
      <w:jc w:val="right"/>
      <w:rPr>
        <w:i/>
        <w:sz w:val="24"/>
        <w:szCs w:val="24"/>
      </w:rPr>
    </w:pPr>
    <w:r w:rsidRPr="00E5522B">
      <w:rPr>
        <w:rFonts w:cs="Arial"/>
        <w:i/>
        <w:sz w:val="24"/>
        <w:szCs w:val="24"/>
      </w:rPr>
      <w:t xml:space="preserve">Change </w:t>
    </w:r>
    <w:r w:rsidR="00617733">
      <w:rPr>
        <w:rFonts w:cs="Arial"/>
        <w:i/>
        <w:sz w:val="24"/>
        <w:szCs w:val="24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66A6" w14:textId="77777777" w:rsidR="001878AE" w:rsidRPr="0006725F" w:rsidRDefault="001878AE">
    <w:pPr>
      <w:jc w:val="right"/>
    </w:pPr>
    <w:r w:rsidRPr="0006725F">
      <w:t>DoD 4000.25-7-M</w:t>
    </w:r>
    <w:r>
      <w:t>, December 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7F8"/>
    <w:multiLevelType w:val="hybridMultilevel"/>
    <w:tmpl w:val="CCF679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AE4562"/>
    <w:multiLevelType w:val="hybridMultilevel"/>
    <w:tmpl w:val="073E51E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C731E"/>
    <w:multiLevelType w:val="hybridMultilevel"/>
    <w:tmpl w:val="0D224D6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E868E0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731004AA"/>
    <w:multiLevelType w:val="hybridMultilevel"/>
    <w:tmpl w:val="25441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041D"/>
    <w:multiLevelType w:val="hybridMultilevel"/>
    <w:tmpl w:val="D45669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AC"/>
    <w:rsid w:val="00020B8B"/>
    <w:rsid w:val="0006725F"/>
    <w:rsid w:val="000C213F"/>
    <w:rsid w:val="000F16B1"/>
    <w:rsid w:val="000F6F71"/>
    <w:rsid w:val="00100C46"/>
    <w:rsid w:val="0010526F"/>
    <w:rsid w:val="00155E5B"/>
    <w:rsid w:val="0016749B"/>
    <w:rsid w:val="001878AE"/>
    <w:rsid w:val="001A7C40"/>
    <w:rsid w:val="00213F09"/>
    <w:rsid w:val="00231E5C"/>
    <w:rsid w:val="002A14AB"/>
    <w:rsid w:val="002A595A"/>
    <w:rsid w:val="002E0889"/>
    <w:rsid w:val="002F5503"/>
    <w:rsid w:val="00334B88"/>
    <w:rsid w:val="003474CF"/>
    <w:rsid w:val="00383B54"/>
    <w:rsid w:val="003D118F"/>
    <w:rsid w:val="00407E09"/>
    <w:rsid w:val="00411661"/>
    <w:rsid w:val="00426CE2"/>
    <w:rsid w:val="0043097B"/>
    <w:rsid w:val="00445757"/>
    <w:rsid w:val="00460F20"/>
    <w:rsid w:val="004619D6"/>
    <w:rsid w:val="004A6A3D"/>
    <w:rsid w:val="00512BAC"/>
    <w:rsid w:val="00527362"/>
    <w:rsid w:val="005339A4"/>
    <w:rsid w:val="00561026"/>
    <w:rsid w:val="00582D58"/>
    <w:rsid w:val="005A0763"/>
    <w:rsid w:val="005C3755"/>
    <w:rsid w:val="005F00DD"/>
    <w:rsid w:val="006004F8"/>
    <w:rsid w:val="00602397"/>
    <w:rsid w:val="00617733"/>
    <w:rsid w:val="006224A7"/>
    <w:rsid w:val="00652338"/>
    <w:rsid w:val="0066119E"/>
    <w:rsid w:val="006739F2"/>
    <w:rsid w:val="00676F45"/>
    <w:rsid w:val="00677E7D"/>
    <w:rsid w:val="006A06B1"/>
    <w:rsid w:val="00727985"/>
    <w:rsid w:val="00744DAA"/>
    <w:rsid w:val="00747430"/>
    <w:rsid w:val="00805D34"/>
    <w:rsid w:val="008528BD"/>
    <w:rsid w:val="00861B92"/>
    <w:rsid w:val="008776B3"/>
    <w:rsid w:val="008C3A18"/>
    <w:rsid w:val="009825DB"/>
    <w:rsid w:val="009A34C2"/>
    <w:rsid w:val="009F3004"/>
    <w:rsid w:val="00A567F7"/>
    <w:rsid w:val="00A8028E"/>
    <w:rsid w:val="00B52B54"/>
    <w:rsid w:val="00B532BB"/>
    <w:rsid w:val="00B935BC"/>
    <w:rsid w:val="00BC71E6"/>
    <w:rsid w:val="00BF26C9"/>
    <w:rsid w:val="00C12E17"/>
    <w:rsid w:val="00C33A71"/>
    <w:rsid w:val="00C33FAE"/>
    <w:rsid w:val="00C83477"/>
    <w:rsid w:val="00CB34EF"/>
    <w:rsid w:val="00CD0830"/>
    <w:rsid w:val="00CE1649"/>
    <w:rsid w:val="00D21755"/>
    <w:rsid w:val="00D21FC7"/>
    <w:rsid w:val="00D71485"/>
    <w:rsid w:val="00DA6216"/>
    <w:rsid w:val="00DB5448"/>
    <w:rsid w:val="00DE0F9F"/>
    <w:rsid w:val="00E201AC"/>
    <w:rsid w:val="00E5522B"/>
    <w:rsid w:val="00E75AE9"/>
    <w:rsid w:val="00EA13EC"/>
    <w:rsid w:val="00EB48F5"/>
    <w:rsid w:val="00EC02DC"/>
    <w:rsid w:val="00F3050C"/>
    <w:rsid w:val="00F51597"/>
    <w:rsid w:val="00F60E88"/>
    <w:rsid w:val="00F713D5"/>
    <w:rsid w:val="00F9553F"/>
    <w:rsid w:val="00FA57FB"/>
    <w:rsid w:val="00FB1DBB"/>
    <w:rsid w:val="00FB1DD6"/>
    <w:rsid w:val="00FD3B4B"/>
    <w:rsid w:val="00FF387A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C0667E"/>
  <w15:docId w15:val="{5121455F-4256-428C-A2F8-F0FA2FEC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2DC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2DC"/>
    <w:pPr>
      <w:keepNext/>
      <w:jc w:val="center"/>
      <w:outlineLvl w:val="0"/>
    </w:pPr>
    <w:rPr>
      <w:b/>
      <w:sz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02DC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7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71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MeetingPara">
    <w:name w:val="1Meeting Para"/>
    <w:rsid w:val="00EC02DC"/>
    <w:pPr>
      <w:widowControl w:val="0"/>
      <w:jc w:val="both"/>
    </w:pPr>
    <w:rPr>
      <w:rFonts w:ascii="Arial" w:hAnsi="Arial"/>
      <w:sz w:val="24"/>
    </w:rPr>
  </w:style>
  <w:style w:type="paragraph" w:customStyle="1" w:styleId="2MeetingPara">
    <w:name w:val="2Meeting Para"/>
    <w:rsid w:val="00EC02DC"/>
    <w:pPr>
      <w:widowControl w:val="0"/>
      <w:jc w:val="both"/>
    </w:pPr>
    <w:rPr>
      <w:rFonts w:ascii="Arial" w:hAnsi="Arial"/>
      <w:sz w:val="24"/>
    </w:rPr>
  </w:style>
  <w:style w:type="paragraph" w:customStyle="1" w:styleId="3MeetingPara">
    <w:name w:val="3Meeting Para"/>
    <w:rsid w:val="00EC02DC"/>
    <w:pPr>
      <w:widowControl w:val="0"/>
      <w:jc w:val="both"/>
    </w:pPr>
    <w:rPr>
      <w:rFonts w:ascii="Arial" w:hAnsi="Arial"/>
      <w:sz w:val="24"/>
    </w:rPr>
  </w:style>
  <w:style w:type="paragraph" w:customStyle="1" w:styleId="4MeetingPara">
    <w:name w:val="4Meeting Para"/>
    <w:rsid w:val="00EC02DC"/>
    <w:pPr>
      <w:widowControl w:val="0"/>
      <w:jc w:val="both"/>
    </w:pPr>
    <w:rPr>
      <w:rFonts w:ascii="Arial" w:hAnsi="Arial"/>
      <w:sz w:val="24"/>
    </w:rPr>
  </w:style>
  <w:style w:type="paragraph" w:customStyle="1" w:styleId="5MeetingPara">
    <w:name w:val="5Meeting Para"/>
    <w:rsid w:val="00EC02DC"/>
    <w:pPr>
      <w:widowControl w:val="0"/>
      <w:jc w:val="both"/>
    </w:pPr>
    <w:rPr>
      <w:rFonts w:ascii="Arial" w:hAnsi="Arial"/>
      <w:sz w:val="24"/>
    </w:rPr>
  </w:style>
  <w:style w:type="paragraph" w:customStyle="1" w:styleId="6MeetingPara">
    <w:name w:val="6Meeting Para"/>
    <w:rsid w:val="00EC02DC"/>
    <w:pPr>
      <w:widowControl w:val="0"/>
      <w:jc w:val="both"/>
    </w:pPr>
    <w:rPr>
      <w:rFonts w:ascii="Arial" w:hAnsi="Arial"/>
      <w:sz w:val="24"/>
    </w:rPr>
  </w:style>
  <w:style w:type="paragraph" w:customStyle="1" w:styleId="7MeetingPara">
    <w:name w:val="7Meeting Para"/>
    <w:rsid w:val="00EC02DC"/>
    <w:pPr>
      <w:widowControl w:val="0"/>
      <w:jc w:val="both"/>
    </w:pPr>
    <w:rPr>
      <w:rFonts w:ascii="Arial" w:hAnsi="Arial"/>
      <w:sz w:val="24"/>
    </w:rPr>
  </w:style>
  <w:style w:type="paragraph" w:customStyle="1" w:styleId="8MeetingPara">
    <w:name w:val="8Meeting Para"/>
    <w:rsid w:val="00EC02D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6480" w:hanging="720"/>
      <w:jc w:val="both"/>
    </w:pPr>
    <w:rPr>
      <w:rFonts w:ascii="Arial" w:hAnsi="Arial"/>
      <w:sz w:val="24"/>
    </w:rPr>
  </w:style>
  <w:style w:type="paragraph" w:customStyle="1" w:styleId="Meeting">
    <w:name w:val="Meeting"/>
    <w:rsid w:val="00EC02D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</w:pPr>
    <w:rPr>
      <w:rFonts w:ascii="Arial" w:hAnsi="Arial"/>
      <w:sz w:val="24"/>
    </w:rPr>
  </w:style>
  <w:style w:type="paragraph" w:customStyle="1" w:styleId="MtgPara">
    <w:name w:val="Mtg Para"/>
    <w:rsid w:val="00EC02DC"/>
    <w:pPr>
      <w:widowControl w:val="0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EC02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71E"/>
    <w:rPr>
      <w:rFonts w:ascii="Arial" w:hAnsi="Arial"/>
    </w:rPr>
  </w:style>
  <w:style w:type="character" w:styleId="PageNumber">
    <w:name w:val="page number"/>
    <w:basedOn w:val="DefaultParagraphFont"/>
    <w:uiPriority w:val="99"/>
    <w:rsid w:val="00EC02D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C02D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C02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71E"/>
    <w:rPr>
      <w:rFonts w:ascii="Arial" w:hAnsi="Arial"/>
    </w:rPr>
  </w:style>
  <w:style w:type="character" w:styleId="Hyperlink">
    <w:name w:val="Hyperlink"/>
    <w:basedOn w:val="DefaultParagraphFont"/>
    <w:uiPriority w:val="99"/>
    <w:rsid w:val="00EC02D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C02D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45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1E"/>
    <w:rPr>
      <w:sz w:val="0"/>
      <w:sz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5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71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transactionservices.dla.mil/logreports/daasc_reports.as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E84F3-055C-410C-A59B-46D08634FEFE}"/>
</file>

<file path=customXml/itemProps2.xml><?xml version="1.0" encoding="utf-8"?>
<ds:datastoreItem xmlns:ds="http://schemas.openxmlformats.org/officeDocument/2006/customXml" ds:itemID="{5676394D-2CEE-4A97-8E52-EC60AA7A5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AF612-95D3-4C51-BDD8-4371D1E2142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sharepoint/v4"/>
    <ds:schemaRef ds:uri="http://purl.org/dc/elements/1.1/"/>
    <ds:schemaRef ds:uri="1019005c-580f-42ae-adec-ba9490377f66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1508711-3343-4BE2-B214-76A0A945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7E6EF9F6.dotm</Template>
  <TotalTime>24</TotalTime>
  <Pages>2</Pages>
  <Words>356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AP2.2 Fund Codes</vt:lpstr>
    </vt:vector>
  </TitlesOfParts>
  <Company>DLA/DLMSO</Company>
  <LinksUpToDate>false</LinksUpToDate>
  <CharactersWithSpaces>2428</CharactersWithSpaces>
  <SharedDoc>false</SharedDoc>
  <HLinks>
    <vt:vector size="12" baseType="variant">
      <vt:variant>
        <vt:i4>6750243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http://www.dla.mil/j-6/dlmso/elibrary/manuals/milsbills/ap1.asp</vt:lpwstr>
      </vt:variant>
      <vt:variant>
        <vt:lpwstr>fundcode</vt:lpwstr>
      </vt:variant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https://www.daas.dla.mil/daashome/services.asp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AP2.2 Fund Codes</dc:title>
  <dc:creator>hpo0020</dc:creator>
  <cp:lastModifiedBy>Nguyen, Bao X CTR DLA INFO OPERATIONS (US)</cp:lastModifiedBy>
  <cp:revision>17</cp:revision>
  <cp:lastPrinted>2012-02-24T13:43:00Z</cp:lastPrinted>
  <dcterms:created xsi:type="dcterms:W3CDTF">2013-10-07T17:35:00Z</dcterms:created>
  <dcterms:modified xsi:type="dcterms:W3CDTF">2017-11-02T16:31:00Z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2341400</vt:r8>
  </property>
</Properties>
</file>