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C81" w14:textId="77777777" w:rsidR="00336B67" w:rsidRDefault="00DF1FA6" w:rsidP="00084784">
      <w:pPr>
        <w:spacing w:after="240"/>
        <w:jc w:val="center"/>
        <w:rPr>
          <w:rFonts w:cs="Arial"/>
          <w:b/>
          <w:sz w:val="44"/>
          <w:szCs w:val="44"/>
          <w:u w:val="single"/>
        </w:rPr>
      </w:pPr>
      <w:r w:rsidRPr="000F73E3">
        <w:rPr>
          <w:rFonts w:cs="Arial"/>
          <w:b/>
          <w:sz w:val="44"/>
          <w:szCs w:val="44"/>
          <w:u w:val="single"/>
        </w:rPr>
        <w:t>AP2.5</w:t>
      </w:r>
      <w:r>
        <w:rPr>
          <w:rFonts w:cs="Arial"/>
          <w:b/>
          <w:sz w:val="44"/>
          <w:szCs w:val="44"/>
          <w:u w:val="single"/>
        </w:rPr>
        <w:t>.</w:t>
      </w:r>
      <w:r w:rsidRPr="000F73E3">
        <w:rPr>
          <w:rFonts w:cs="Arial"/>
          <w:b/>
          <w:sz w:val="44"/>
          <w:szCs w:val="44"/>
          <w:u w:val="single"/>
        </w:rPr>
        <w:t xml:space="preserve"> APPENDIX 2.5</w:t>
      </w:r>
    </w:p>
    <w:p w14:paraId="40E62C82" w14:textId="77777777" w:rsidR="00DF1FA6" w:rsidRPr="000F73E3" w:rsidRDefault="00DF1FA6" w:rsidP="005A5231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0F73E3">
        <w:rPr>
          <w:rFonts w:cs="Arial"/>
          <w:b/>
          <w:sz w:val="36"/>
          <w:szCs w:val="36"/>
          <w:u w:val="single"/>
        </w:rPr>
        <w:t>TYPE OF BILL CODES</w:t>
      </w:r>
    </w:p>
    <w:tbl>
      <w:tblPr>
        <w:tblW w:w="945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25"/>
        <w:gridCol w:w="7425"/>
      </w:tblGrid>
      <w:tr w:rsidR="00DF1FA6" w:rsidRPr="005A5231" w14:paraId="40E62C85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83" w14:textId="77777777" w:rsidR="00336B67" w:rsidRDefault="00AB31A0" w:rsidP="00B02C99">
            <w:pPr>
              <w:pStyle w:val="MtgPara"/>
              <w:spacing w:before="60" w:after="60"/>
              <w:rPr>
                <w:rFonts w:cs="Arial"/>
                <w:szCs w:val="24"/>
              </w:rPr>
            </w:pPr>
            <w:r w:rsidRPr="00084784">
              <w:rPr>
                <w:rFonts w:cs="Arial"/>
                <w:szCs w:val="24"/>
              </w:rPr>
              <w:t>NUMBER OF CHARACTERS</w:t>
            </w:r>
            <w:r w:rsidR="00DF1FA6" w:rsidRPr="00F71A9B">
              <w:rPr>
                <w:rFonts w:cs="Arial"/>
                <w:szCs w:val="24"/>
              </w:rPr>
              <w:t>:</w:t>
            </w:r>
          </w:p>
        </w:tc>
        <w:tc>
          <w:tcPr>
            <w:tcW w:w="7425" w:type="dxa"/>
          </w:tcPr>
          <w:p w14:paraId="40E62C84" w14:textId="77777777" w:rsidR="00336B67" w:rsidRDefault="00DF1FA6" w:rsidP="00B02C99">
            <w:pPr>
              <w:pStyle w:val="MtgPara"/>
              <w:spacing w:before="60" w:after="60"/>
              <w:rPr>
                <w:rFonts w:cs="Arial"/>
                <w:szCs w:val="24"/>
              </w:rPr>
            </w:pPr>
            <w:r w:rsidRPr="005A5231">
              <w:rPr>
                <w:rFonts w:cs="Arial"/>
                <w:szCs w:val="24"/>
              </w:rPr>
              <w:t>Two</w:t>
            </w:r>
          </w:p>
        </w:tc>
      </w:tr>
      <w:tr w:rsidR="00DF1FA6" w:rsidRPr="005A5231" w14:paraId="40E62C88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86" w14:textId="77777777" w:rsidR="00336B67" w:rsidRDefault="00AB31A0" w:rsidP="00B02C99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084784">
              <w:rPr>
                <w:rFonts w:cs="Arial"/>
                <w:sz w:val="24"/>
                <w:szCs w:val="24"/>
              </w:rPr>
              <w:t>TYPE OF CODE</w:t>
            </w:r>
            <w:r w:rsidR="00DF1FA6" w:rsidRPr="00F71A9B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425" w:type="dxa"/>
          </w:tcPr>
          <w:p w14:paraId="40E62C87" w14:textId="77777777" w:rsidR="00336B67" w:rsidRDefault="00DF1FA6" w:rsidP="00B02C99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Alphabetic</w:t>
            </w:r>
          </w:p>
        </w:tc>
      </w:tr>
      <w:tr w:rsidR="00DF1FA6" w:rsidRPr="005A5231" w14:paraId="40E62C8B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89" w14:textId="77777777" w:rsidR="00336B67" w:rsidRDefault="00AB31A0" w:rsidP="0008478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084784">
              <w:rPr>
                <w:rFonts w:cs="Arial"/>
                <w:sz w:val="24"/>
                <w:szCs w:val="24"/>
              </w:rPr>
              <w:t>EXPLANATION</w:t>
            </w:r>
            <w:r w:rsidR="00DF1FA6" w:rsidRPr="00F71A9B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7425" w:type="dxa"/>
          </w:tcPr>
          <w:p w14:paraId="40E62C8A" w14:textId="77777777" w:rsidR="00336B67" w:rsidRDefault="00DF1FA6" w:rsidP="00084784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Types of bill codes are provided, at the option of the billing office, on the detail billing records to indicate to the billed office the purpose of the billing.</w:t>
            </w:r>
          </w:p>
        </w:tc>
      </w:tr>
      <w:tr w:rsidR="00DF1FA6" w:rsidRPr="005A5231" w14:paraId="40E62C8E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8C" w14:textId="77777777" w:rsidR="00336B67" w:rsidRPr="00084784" w:rsidRDefault="00AB31A0" w:rsidP="00EF0D7C">
            <w:pPr>
              <w:tabs>
                <w:tab w:val="left" w:pos="-1440"/>
              </w:tabs>
              <w:spacing w:before="80" w:after="80"/>
              <w:rPr>
                <w:rFonts w:cs="Arial"/>
                <w:sz w:val="24"/>
                <w:szCs w:val="24"/>
              </w:rPr>
            </w:pPr>
            <w:r w:rsidRPr="00084784">
              <w:rPr>
                <w:rFonts w:cs="Arial"/>
                <w:sz w:val="24"/>
                <w:szCs w:val="24"/>
              </w:rPr>
              <w:t>Code</w:t>
            </w:r>
          </w:p>
        </w:tc>
        <w:tc>
          <w:tcPr>
            <w:tcW w:w="7425" w:type="dxa"/>
          </w:tcPr>
          <w:p w14:paraId="40E62C8D" w14:textId="77777777" w:rsidR="00336B67" w:rsidRPr="00084784" w:rsidRDefault="00AB31A0" w:rsidP="00EF0D7C">
            <w:pPr>
              <w:tabs>
                <w:tab w:val="left" w:pos="-1440"/>
              </w:tabs>
              <w:spacing w:before="80" w:after="80"/>
              <w:rPr>
                <w:rFonts w:cs="Arial"/>
                <w:sz w:val="24"/>
                <w:szCs w:val="24"/>
              </w:rPr>
            </w:pPr>
            <w:r w:rsidRPr="00084784">
              <w:rPr>
                <w:rFonts w:cs="Arial"/>
                <w:sz w:val="24"/>
                <w:szCs w:val="24"/>
              </w:rPr>
              <w:t>Description</w:t>
            </w:r>
          </w:p>
        </w:tc>
      </w:tr>
      <w:tr w:rsidR="00DF1FA6" w:rsidRPr="005A5231" w14:paraId="40E62C91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8F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AA</w:t>
            </w:r>
          </w:p>
        </w:tc>
        <w:tc>
          <w:tcPr>
            <w:tcW w:w="7425" w:type="dxa"/>
          </w:tcPr>
          <w:p w14:paraId="40E62C90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for materiel issued, quantity billed is equal to quantity requisitioned.</w:t>
            </w:r>
          </w:p>
        </w:tc>
      </w:tr>
      <w:tr w:rsidR="00DF1FA6" w:rsidRPr="005A5231" w14:paraId="40E62C94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92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AB</w:t>
            </w:r>
          </w:p>
        </w:tc>
        <w:tc>
          <w:tcPr>
            <w:tcW w:w="7425" w:type="dxa"/>
          </w:tcPr>
          <w:p w14:paraId="40E62C93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for materiel issued, quantity billed is less than quantity requisitioned due to partial issue.</w:t>
            </w:r>
          </w:p>
        </w:tc>
      </w:tr>
      <w:tr w:rsidR="00DF1FA6" w:rsidRPr="005A5231" w14:paraId="40E62C97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95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AC</w:t>
            </w:r>
          </w:p>
        </w:tc>
        <w:tc>
          <w:tcPr>
            <w:tcW w:w="7425" w:type="dxa"/>
          </w:tcPr>
          <w:p w14:paraId="40E62C96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for materiel issued, quantity billed is greater or less than quantity requisitioned due to unit pack adjustment.</w:t>
            </w:r>
            <w:r w:rsidRPr="005A5231">
              <w:rPr>
                <w:rFonts w:cs="Arial"/>
                <w:sz w:val="24"/>
                <w:szCs w:val="24"/>
              </w:rPr>
              <w:tab/>
            </w:r>
          </w:p>
        </w:tc>
      </w:tr>
      <w:tr w:rsidR="00DF1FA6" w:rsidRPr="005A5231" w14:paraId="40E62C9A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98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AR</w:t>
            </w:r>
          </w:p>
        </w:tc>
        <w:tc>
          <w:tcPr>
            <w:tcW w:w="7425" w:type="dxa"/>
          </w:tcPr>
          <w:p w14:paraId="40E62C99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IMM authorized returns under the Materiel Returns Program</w:t>
            </w:r>
            <w:r w:rsidR="00F71A9B">
              <w:rPr>
                <w:rFonts w:cs="Arial"/>
                <w:sz w:val="24"/>
                <w:szCs w:val="24"/>
              </w:rPr>
              <w:t>.</w:t>
            </w:r>
          </w:p>
        </w:tc>
      </w:tr>
      <w:tr w:rsidR="00DF1FA6" w:rsidRPr="005A5231" w14:paraId="40E62C9E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9B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DB</w:t>
            </w:r>
          </w:p>
        </w:tc>
        <w:tc>
          <w:tcPr>
            <w:tcW w:w="7425" w:type="dxa"/>
          </w:tcPr>
          <w:p w14:paraId="40E62C9C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for the Delta amount (Standard Price minus Exchange Price)</w:t>
            </w:r>
          </w:p>
          <w:p w14:paraId="40E62C9D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(Commonly referred to as “Carcass Charge” within Navy)</w:t>
            </w:r>
            <w:r w:rsidR="00F71A9B">
              <w:rPr>
                <w:rFonts w:cs="Arial"/>
                <w:sz w:val="24"/>
                <w:szCs w:val="24"/>
              </w:rPr>
              <w:t>.</w:t>
            </w:r>
          </w:p>
        </w:tc>
      </w:tr>
      <w:tr w:rsidR="00DF1FA6" w:rsidRPr="005A5231" w14:paraId="40E62CA1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9F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DR</w:t>
            </w:r>
          </w:p>
        </w:tc>
        <w:tc>
          <w:tcPr>
            <w:tcW w:w="7425" w:type="dxa"/>
          </w:tcPr>
          <w:p w14:paraId="40E62CA0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IMM directed returns under the Asset Visibility (Procurement Offset) Program</w:t>
            </w:r>
            <w:r w:rsidR="00F71A9B">
              <w:rPr>
                <w:rFonts w:cs="Arial"/>
                <w:sz w:val="24"/>
                <w:szCs w:val="24"/>
              </w:rPr>
              <w:t>.</w:t>
            </w:r>
          </w:p>
        </w:tc>
      </w:tr>
      <w:tr w:rsidR="00DF1FA6" w:rsidRPr="005A5231" w14:paraId="40E62CA5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A2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EP</w:t>
            </w:r>
          </w:p>
        </w:tc>
        <w:tc>
          <w:tcPr>
            <w:tcW w:w="7425" w:type="dxa"/>
          </w:tcPr>
          <w:p w14:paraId="40E62CA3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at Exchange Price</w:t>
            </w:r>
          </w:p>
          <w:p w14:paraId="40E62CA4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(Commonly referred to as “Net Price” within Navy)</w:t>
            </w:r>
            <w:r w:rsidR="00F71A9B">
              <w:rPr>
                <w:rFonts w:cs="Arial"/>
                <w:sz w:val="24"/>
                <w:szCs w:val="24"/>
              </w:rPr>
              <w:t>.</w:t>
            </w:r>
          </w:p>
        </w:tc>
      </w:tr>
      <w:tr w:rsidR="00DF1FA6" w:rsidRPr="005A5231" w14:paraId="40E62CA8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A6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HM</w:t>
            </w:r>
          </w:p>
        </w:tc>
        <w:tc>
          <w:tcPr>
            <w:tcW w:w="7425" w:type="dxa"/>
          </w:tcPr>
          <w:p w14:paraId="40E62CA7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 xml:space="preserve">Hazardous </w:t>
            </w:r>
            <w:proofErr w:type="spellStart"/>
            <w:r w:rsidRPr="005A5231">
              <w:rPr>
                <w:rFonts w:cs="Arial"/>
                <w:sz w:val="24"/>
                <w:szCs w:val="24"/>
              </w:rPr>
              <w:t>materiels</w:t>
            </w:r>
            <w:proofErr w:type="spellEnd"/>
            <w:r w:rsidRPr="005A5231">
              <w:rPr>
                <w:rFonts w:cs="Arial"/>
                <w:sz w:val="24"/>
                <w:szCs w:val="24"/>
              </w:rPr>
              <w:t>.</w:t>
            </w:r>
          </w:p>
        </w:tc>
      </w:tr>
      <w:tr w:rsidR="00DF1FA6" w:rsidRPr="005A5231" w14:paraId="40E62CAB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A9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HW</w:t>
            </w:r>
          </w:p>
        </w:tc>
        <w:tc>
          <w:tcPr>
            <w:tcW w:w="7425" w:type="dxa"/>
          </w:tcPr>
          <w:p w14:paraId="40E62CAA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Hazardous waste disposal services.</w:t>
            </w:r>
          </w:p>
        </w:tc>
      </w:tr>
      <w:tr w:rsidR="00DF1FA6" w:rsidRPr="005A5231" w14:paraId="40E62CAE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AC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LR</w:t>
            </w:r>
          </w:p>
        </w:tc>
        <w:tc>
          <w:tcPr>
            <w:tcW w:w="7425" w:type="dxa"/>
          </w:tcPr>
          <w:p w14:paraId="40E62CAD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IMM directed Lateral Redistributions</w:t>
            </w:r>
            <w:r w:rsidR="00F71A9B">
              <w:rPr>
                <w:rFonts w:cs="Arial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DF1FA6" w:rsidRPr="005A5231" w14:paraId="40E62CB1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AF" w14:textId="77777777" w:rsidR="00336B67" w:rsidRDefault="00DF1FA6" w:rsidP="00084784">
            <w:pPr>
              <w:spacing w:before="60" w:after="60" w:line="240" w:lineRule="exact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QD</w:t>
            </w:r>
          </w:p>
        </w:tc>
        <w:tc>
          <w:tcPr>
            <w:tcW w:w="7425" w:type="dxa"/>
          </w:tcPr>
          <w:p w14:paraId="40E62CB0" w14:textId="77777777" w:rsidR="00336B67" w:rsidRDefault="00DF1FA6" w:rsidP="00084784">
            <w:pPr>
              <w:spacing w:before="60" w:after="60" w:line="240" w:lineRule="exact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to adjust the amount previously billed d</w:t>
            </w:r>
            <w:r w:rsidR="00F71A9B">
              <w:rPr>
                <w:rFonts w:cs="Arial"/>
                <w:sz w:val="24"/>
                <w:szCs w:val="24"/>
              </w:rPr>
              <w:t>ue</w:t>
            </w:r>
            <w:r w:rsidRPr="005A5231">
              <w:rPr>
                <w:rFonts w:cs="Arial"/>
                <w:sz w:val="24"/>
                <w:szCs w:val="24"/>
              </w:rPr>
              <w:t xml:space="preserve"> to approval of a PQDR.</w:t>
            </w:r>
          </w:p>
        </w:tc>
      </w:tr>
      <w:tr w:rsidR="00DF1FA6" w:rsidRPr="005A5231" w14:paraId="40E62CB5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B2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RB</w:t>
            </w:r>
          </w:p>
        </w:tc>
        <w:tc>
          <w:tcPr>
            <w:tcW w:w="7425" w:type="dxa"/>
          </w:tcPr>
          <w:p w14:paraId="40E62CB3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Credit Bill to reverse a Delta Bill (DB) under Exchange Pricing</w:t>
            </w:r>
          </w:p>
          <w:p w14:paraId="40E62CB4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(Commonly referred to as “Carcass Charge Reversal” within Navy)</w:t>
            </w:r>
            <w:r w:rsidR="00F71A9B">
              <w:rPr>
                <w:rFonts w:cs="Arial"/>
                <w:sz w:val="24"/>
                <w:szCs w:val="24"/>
              </w:rPr>
              <w:t>.</w:t>
            </w:r>
          </w:p>
        </w:tc>
      </w:tr>
      <w:tr w:rsidR="00DF1FA6" w:rsidRPr="005A5231" w14:paraId="40E62CB9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B6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SC</w:t>
            </w:r>
          </w:p>
        </w:tc>
        <w:tc>
          <w:tcPr>
            <w:tcW w:w="7425" w:type="dxa"/>
          </w:tcPr>
          <w:p w14:paraId="40E62CB7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Credit Bill for Serviceable Credit under Exchange Pricing</w:t>
            </w:r>
          </w:p>
          <w:p w14:paraId="40E62CB8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(May be Exchange Price or Delta Price for Navy)</w:t>
            </w:r>
            <w:r w:rsidR="00F71A9B">
              <w:rPr>
                <w:rFonts w:cs="Arial"/>
                <w:sz w:val="24"/>
                <w:szCs w:val="24"/>
              </w:rPr>
              <w:t>.</w:t>
            </w:r>
          </w:p>
        </w:tc>
      </w:tr>
      <w:tr w:rsidR="00EF0D7C" w:rsidRPr="005A5231" w14:paraId="40E62CBC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BA" w14:textId="77777777" w:rsidR="00EF0D7C" w:rsidRPr="005A5231" w:rsidRDefault="00EF0D7C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Code</w:t>
            </w:r>
          </w:p>
        </w:tc>
        <w:tc>
          <w:tcPr>
            <w:tcW w:w="7425" w:type="dxa"/>
          </w:tcPr>
          <w:p w14:paraId="40E62CBB" w14:textId="77777777" w:rsidR="00EF0D7C" w:rsidRPr="005A5231" w:rsidRDefault="00EF0D7C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Description</w:t>
            </w:r>
          </w:p>
        </w:tc>
      </w:tr>
      <w:tr w:rsidR="00DF1FA6" w:rsidRPr="005A5231" w14:paraId="40E62CBF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BD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TD</w:t>
            </w:r>
          </w:p>
        </w:tc>
        <w:tc>
          <w:tcPr>
            <w:tcW w:w="7425" w:type="dxa"/>
          </w:tcPr>
          <w:p w14:paraId="40E62CBE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to adjust the amount previously billed due to approval of a TDR.</w:t>
            </w:r>
          </w:p>
        </w:tc>
      </w:tr>
      <w:tr w:rsidR="00DF1FA6" w:rsidRPr="005A5231" w14:paraId="40E62CC2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C0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TM</w:t>
            </w:r>
          </w:p>
        </w:tc>
        <w:tc>
          <w:tcPr>
            <w:tcW w:w="7425" w:type="dxa"/>
          </w:tcPr>
          <w:p w14:paraId="40E62CC1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for creditable excess materiel returned, reduced credit allowed for quantity shown.</w:t>
            </w:r>
          </w:p>
        </w:tc>
      </w:tr>
      <w:tr w:rsidR="00DF1FA6" w:rsidRPr="005A5231" w14:paraId="40E62CC5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C3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TN</w:t>
            </w:r>
          </w:p>
        </w:tc>
        <w:tc>
          <w:tcPr>
            <w:tcW w:w="7425" w:type="dxa"/>
          </w:tcPr>
          <w:p w14:paraId="40E62CC4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for creditable excess materiel returned, full credit allowed for quantity shown.</w:t>
            </w:r>
          </w:p>
        </w:tc>
      </w:tr>
      <w:tr w:rsidR="00DF1FA6" w:rsidRPr="005A5231" w14:paraId="40E62CC8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C6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WP</w:t>
            </w:r>
          </w:p>
        </w:tc>
        <w:tc>
          <w:tcPr>
            <w:tcW w:w="7425" w:type="dxa"/>
          </w:tcPr>
          <w:p w14:paraId="40E62CC7" w14:textId="55F517E9" w:rsidR="00336B67" w:rsidRDefault="00DF1FA6" w:rsidP="007E4760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to adjust the amount previously billed due to approval of an SDR</w:t>
            </w:r>
            <w:r w:rsidR="007E4760" w:rsidRPr="00044CCB">
              <w:rPr>
                <w:rFonts w:cs="Arial"/>
                <w:b/>
                <w:i/>
                <w:sz w:val="24"/>
                <w:szCs w:val="24"/>
              </w:rPr>
              <w:t>/</w:t>
            </w:r>
            <w:r w:rsidR="007E4760" w:rsidRPr="007E4760">
              <w:rPr>
                <w:rFonts w:cs="Arial"/>
                <w:b/>
                <w:i/>
                <w:sz w:val="24"/>
                <w:szCs w:val="24"/>
              </w:rPr>
              <w:t>SQCR</w:t>
            </w:r>
            <w:r w:rsidRPr="005A5231">
              <w:rPr>
                <w:rFonts w:cs="Arial"/>
                <w:sz w:val="24"/>
                <w:szCs w:val="24"/>
              </w:rPr>
              <w:t>.</w:t>
            </w:r>
            <w:r w:rsidR="007E4760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DF1FA6" w:rsidRPr="005A5231" w14:paraId="40E62CCB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C9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WR</w:t>
            </w:r>
          </w:p>
        </w:tc>
        <w:tc>
          <w:tcPr>
            <w:tcW w:w="7425" w:type="dxa"/>
          </w:tcPr>
          <w:p w14:paraId="40E62CCA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to adjust amount billed previously, due to warehouse refusal.</w:t>
            </w:r>
          </w:p>
        </w:tc>
      </w:tr>
      <w:tr w:rsidR="00DF1FA6" w:rsidRPr="005A5231" w14:paraId="40E62CCE" w14:textId="77777777" w:rsidTr="00E251F9">
        <w:trPr>
          <w:cantSplit/>
          <w:trHeight w:val="738"/>
          <w:jc w:val="center"/>
        </w:trPr>
        <w:tc>
          <w:tcPr>
            <w:tcW w:w="2025" w:type="dxa"/>
          </w:tcPr>
          <w:p w14:paraId="40E62CCC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WS</w:t>
            </w:r>
          </w:p>
        </w:tc>
        <w:tc>
          <w:tcPr>
            <w:tcW w:w="7425" w:type="dxa"/>
          </w:tcPr>
          <w:p w14:paraId="40E62CCD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to adjust amount billed previously, due to billing error detected by billing office.</w:t>
            </w:r>
          </w:p>
        </w:tc>
      </w:tr>
      <w:tr w:rsidR="00DF1FA6" w:rsidRPr="005A5231" w14:paraId="40E62CD1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CF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WT</w:t>
            </w:r>
          </w:p>
        </w:tc>
        <w:tc>
          <w:tcPr>
            <w:tcW w:w="7425" w:type="dxa"/>
          </w:tcPr>
          <w:p w14:paraId="40E62CD0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to adjust amount billed previously, due to billing error reporting by billed office.</w:t>
            </w:r>
          </w:p>
        </w:tc>
      </w:tr>
      <w:tr w:rsidR="00DF1FA6" w:rsidRPr="005A5231" w14:paraId="40E62CD4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D2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WU</w:t>
            </w:r>
          </w:p>
        </w:tc>
        <w:tc>
          <w:tcPr>
            <w:tcW w:w="7425" w:type="dxa"/>
          </w:tcPr>
          <w:p w14:paraId="40E62CD3" w14:textId="342D646F" w:rsidR="00336B67" w:rsidRDefault="00DF1FA6" w:rsidP="00044CCB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 xml:space="preserve">Bill to adjust the amount billed previously, due to approval of </w:t>
            </w:r>
            <w:r w:rsidR="00044CCB">
              <w:rPr>
                <w:rFonts w:cs="Arial"/>
                <w:sz w:val="24"/>
                <w:szCs w:val="24"/>
              </w:rPr>
              <w:t xml:space="preserve">a </w:t>
            </w:r>
            <w:r w:rsidR="00044CCB" w:rsidRPr="00044CCB">
              <w:rPr>
                <w:rFonts w:cs="Arial"/>
                <w:sz w:val="24"/>
                <w:szCs w:val="24"/>
              </w:rPr>
              <w:t>discrepancy report</w:t>
            </w:r>
            <w:r w:rsidRPr="00044CCB">
              <w:rPr>
                <w:rFonts w:cs="Arial"/>
                <w:sz w:val="24"/>
                <w:szCs w:val="24"/>
              </w:rPr>
              <w:t>.</w:t>
            </w:r>
            <w:r w:rsidRPr="005A5231">
              <w:rPr>
                <w:rFonts w:cs="Arial"/>
                <w:sz w:val="24"/>
                <w:szCs w:val="24"/>
              </w:rPr>
              <w:t xml:space="preserve">  Use until codes QD, WP, and TD are implemented.</w:t>
            </w:r>
          </w:p>
        </w:tc>
      </w:tr>
      <w:tr w:rsidR="00DF1FA6" w:rsidRPr="005A5231" w14:paraId="40E62CD7" w14:textId="77777777" w:rsidTr="00084784">
        <w:trPr>
          <w:cantSplit/>
          <w:trHeight w:val="403"/>
          <w:jc w:val="center"/>
        </w:trPr>
        <w:tc>
          <w:tcPr>
            <w:tcW w:w="2025" w:type="dxa"/>
          </w:tcPr>
          <w:p w14:paraId="40E62CD5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WV</w:t>
            </w:r>
          </w:p>
        </w:tc>
        <w:tc>
          <w:tcPr>
            <w:tcW w:w="7425" w:type="dxa"/>
          </w:tcPr>
          <w:p w14:paraId="40E62CD6" w14:textId="77777777" w:rsidR="00336B67" w:rsidRDefault="00DF1FA6" w:rsidP="00084784">
            <w:pPr>
              <w:tabs>
                <w:tab w:val="left" w:pos="-144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A5231">
              <w:rPr>
                <w:rFonts w:cs="Arial"/>
                <w:sz w:val="24"/>
                <w:szCs w:val="24"/>
              </w:rPr>
              <w:t>Bill to adjust amount billed previously, due to failure to return materiel as directed.</w:t>
            </w:r>
          </w:p>
        </w:tc>
      </w:tr>
    </w:tbl>
    <w:p w14:paraId="40E62CD8" w14:textId="77777777" w:rsidR="00DF1FA6" w:rsidRPr="000F73E3" w:rsidRDefault="00DF1FA6">
      <w:pPr>
        <w:rPr>
          <w:rFonts w:cs="Arial"/>
          <w:sz w:val="24"/>
          <w:szCs w:val="24"/>
        </w:rPr>
        <w:sectPr w:rsidR="00DF1FA6" w:rsidRPr="000F73E3" w:rsidSect="00CB0B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</w:endnotePr>
          <w:type w:val="continuous"/>
          <w:pgSz w:w="12240" w:h="15840"/>
          <w:pgMar w:top="1728" w:right="1440" w:bottom="1728" w:left="1440" w:header="720" w:footer="720" w:gutter="0"/>
          <w:pgNumType w:start="1"/>
          <w:cols w:space="720"/>
        </w:sectPr>
      </w:pPr>
    </w:p>
    <w:p w14:paraId="40E62CD9" w14:textId="77777777" w:rsidR="00DF1FA6" w:rsidRPr="000F73E3" w:rsidRDefault="00DF1FA6">
      <w:pPr>
        <w:rPr>
          <w:rFonts w:cs="Arial"/>
          <w:sz w:val="24"/>
          <w:szCs w:val="24"/>
        </w:rPr>
      </w:pPr>
    </w:p>
    <w:sectPr w:rsidR="00DF1FA6" w:rsidRPr="000F73E3" w:rsidSect="00B257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2CDC" w14:textId="77777777" w:rsidR="0066529C" w:rsidRDefault="0066529C">
      <w:r>
        <w:separator/>
      </w:r>
    </w:p>
  </w:endnote>
  <w:endnote w:type="continuationSeparator" w:id="0">
    <w:p w14:paraId="40E62CDD" w14:textId="77777777" w:rsidR="0066529C" w:rsidRDefault="0066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0" w14:textId="77777777" w:rsidR="00DF1FA6" w:rsidRDefault="00AB31A0" w:rsidP="009452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1F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62CE1" w14:textId="77777777" w:rsidR="00DF1FA6" w:rsidRDefault="00DF1FA6" w:rsidP="003753EA">
    <w:pPr>
      <w:pStyle w:val="Footer"/>
      <w:rPr>
        <w:rStyle w:val="PageNumber"/>
      </w:rPr>
    </w:pPr>
  </w:p>
  <w:p w14:paraId="40E62CE2" w14:textId="77777777" w:rsidR="00DF1FA6" w:rsidRDefault="00DF1FA6" w:rsidP="003753EA">
    <w:pPr>
      <w:pStyle w:val="Footer"/>
    </w:pPr>
    <w:r>
      <w:t>APPENDIX 2.5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EE3A" w14:textId="23061A40" w:rsidR="00DF3EDB" w:rsidRPr="00DF3EDB" w:rsidRDefault="00DF3EDB">
    <w:pPr>
      <w:pStyle w:val="Footer"/>
      <w:jc w:val="right"/>
      <w:rPr>
        <w:sz w:val="24"/>
      </w:rPr>
    </w:pPr>
    <w:r w:rsidRPr="00DF3EDB">
      <w:rPr>
        <w:sz w:val="24"/>
      </w:rPr>
      <w:t>AP2.5-</w:t>
    </w:r>
    <w:sdt>
      <w:sdtPr>
        <w:rPr>
          <w:sz w:val="24"/>
        </w:rPr>
        <w:id w:val="268401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F3EDB">
          <w:rPr>
            <w:sz w:val="24"/>
          </w:rPr>
          <w:fldChar w:fldCharType="begin"/>
        </w:r>
        <w:r w:rsidRPr="00DF3EDB">
          <w:rPr>
            <w:sz w:val="24"/>
          </w:rPr>
          <w:instrText xml:space="preserve"> PAGE   \* MERGEFORMAT </w:instrText>
        </w:r>
        <w:r w:rsidRPr="00DF3EDB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DF3EDB">
          <w:rPr>
            <w:noProof/>
            <w:sz w:val="24"/>
          </w:rPr>
          <w:fldChar w:fldCharType="end"/>
        </w:r>
        <w:r w:rsidRPr="00DF3EDB">
          <w:rPr>
            <w:noProof/>
            <w:sz w:val="24"/>
          </w:rPr>
          <w:tab/>
          <w:t>APPENDIX 2.5</w:t>
        </w:r>
      </w:sdtContent>
    </w:sdt>
  </w:p>
  <w:p w14:paraId="40E62CE4" w14:textId="1E198367" w:rsidR="00DF1FA6" w:rsidRPr="000F73E3" w:rsidRDefault="00DF1FA6" w:rsidP="0011307F">
    <w:pPr>
      <w:pStyle w:val="Footer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6" w14:textId="77777777" w:rsidR="00DF1FA6" w:rsidRDefault="00AB31A0" w:rsidP="003753EA">
    <w:pPr>
      <w:pStyle w:val="Footer"/>
      <w:rPr>
        <w:rStyle w:val="PageNumber"/>
      </w:rPr>
    </w:pPr>
    <w:r>
      <w:rPr>
        <w:rStyle w:val="PageNumber"/>
      </w:rPr>
      <w:fldChar w:fldCharType="begin"/>
    </w:r>
    <w:r w:rsidR="00DF1F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FA6">
      <w:rPr>
        <w:rStyle w:val="PageNumber"/>
        <w:noProof/>
      </w:rPr>
      <w:t>79</w:t>
    </w:r>
    <w:r>
      <w:rPr>
        <w:rStyle w:val="PageNumber"/>
      </w:rPr>
      <w:fldChar w:fldCharType="end"/>
    </w:r>
  </w:p>
  <w:p w14:paraId="40E62CE7" w14:textId="77777777" w:rsidR="00DF1FA6" w:rsidRDefault="00DF1FA6" w:rsidP="003753EA">
    <w:pPr>
      <w:pStyle w:val="Footer"/>
    </w:pPr>
    <w:r>
      <w:t>AP2.5-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A" w14:textId="77777777" w:rsidR="00DF1FA6" w:rsidRDefault="00AB31A0" w:rsidP="00041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1F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FA6">
      <w:rPr>
        <w:rStyle w:val="PageNumber"/>
        <w:noProof/>
      </w:rPr>
      <w:t>74</w:t>
    </w:r>
    <w:r>
      <w:rPr>
        <w:rStyle w:val="PageNumber"/>
      </w:rPr>
      <w:fldChar w:fldCharType="end"/>
    </w:r>
  </w:p>
  <w:p w14:paraId="40E62CEB" w14:textId="77777777" w:rsidR="00DF1FA6" w:rsidRDefault="00DF1FA6" w:rsidP="00EF487D">
    <w:pPr>
      <w:pStyle w:val="Footer"/>
      <w:jc w:val="right"/>
    </w:pPr>
    <w:r>
      <w:t>APPENDIX 2.5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C" w14:textId="77777777" w:rsidR="00DF1FA6" w:rsidRDefault="00AB31A0" w:rsidP="00041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1F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FA6">
      <w:rPr>
        <w:rStyle w:val="PageNumber"/>
        <w:noProof/>
      </w:rPr>
      <w:t>79</w:t>
    </w:r>
    <w:r>
      <w:rPr>
        <w:rStyle w:val="PageNumber"/>
      </w:rPr>
      <w:fldChar w:fldCharType="end"/>
    </w:r>
  </w:p>
  <w:p w14:paraId="40E62CED" w14:textId="77777777" w:rsidR="00DF1FA6" w:rsidRDefault="00DF1FA6" w:rsidP="0008089B">
    <w:pPr>
      <w:pStyle w:val="Footer"/>
      <w:tabs>
        <w:tab w:val="clear" w:pos="4320"/>
        <w:tab w:val="clear" w:pos="8640"/>
        <w:tab w:val="right" w:pos="9360"/>
      </w:tabs>
      <w:jc w:val="right"/>
    </w:pPr>
    <w:r>
      <w:t>APPENDIX 2.5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F" w14:textId="77777777" w:rsidR="00DF1FA6" w:rsidRDefault="00AB31A0" w:rsidP="000808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F1F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FA6">
      <w:rPr>
        <w:rStyle w:val="PageNumber"/>
        <w:noProof/>
      </w:rPr>
      <w:t>73</w:t>
    </w:r>
    <w:r>
      <w:rPr>
        <w:rStyle w:val="PageNumber"/>
      </w:rPr>
      <w:fldChar w:fldCharType="end"/>
    </w:r>
  </w:p>
  <w:p w14:paraId="40E62CF0" w14:textId="77777777" w:rsidR="00DF1FA6" w:rsidRDefault="00DF1FA6">
    <w:pPr>
      <w:pStyle w:val="Footer"/>
      <w:jc w:val="center"/>
      <w:rPr>
        <w:b/>
        <w:sz w:val="24"/>
      </w:rPr>
    </w:pPr>
    <w:r>
      <w:rPr>
        <w:b/>
        <w:sz w:val="24"/>
      </w:rPr>
      <w:t>AP2.5-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62CDA" w14:textId="77777777" w:rsidR="0066529C" w:rsidRDefault="0066529C">
      <w:r>
        <w:separator/>
      </w:r>
    </w:p>
  </w:footnote>
  <w:footnote w:type="continuationSeparator" w:id="0">
    <w:p w14:paraId="40E62CDB" w14:textId="77777777" w:rsidR="0066529C" w:rsidRDefault="0066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DE" w14:textId="77777777" w:rsidR="00DF1FA6" w:rsidRPr="008D19C7" w:rsidRDefault="00DF1FA6" w:rsidP="008D19C7">
    <w:pPr>
      <w:pStyle w:val="Header"/>
      <w:jc w:val="right"/>
      <w:rPr>
        <w:i/>
      </w:rPr>
    </w:pPr>
    <w:r w:rsidRPr="008D19C7">
      <w:rPr>
        <w:i/>
      </w:rPr>
      <w:t>DoD 4000.25-7-M, December 2003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DF" w14:textId="556F2CE8" w:rsidR="00DF1FA6" w:rsidRPr="00157616" w:rsidRDefault="00DF1FA6" w:rsidP="00957327">
    <w:pPr>
      <w:jc w:val="right"/>
      <w:rPr>
        <w:rFonts w:cs="Arial"/>
        <w:i/>
        <w:sz w:val="24"/>
        <w:szCs w:val="24"/>
      </w:rPr>
    </w:pPr>
    <w:r w:rsidRPr="00157616">
      <w:rPr>
        <w:rFonts w:cs="Arial"/>
        <w:i/>
        <w:sz w:val="24"/>
        <w:szCs w:val="24"/>
      </w:rPr>
      <w:t xml:space="preserve">DLM 4000.25, Volume 4, </w:t>
    </w:r>
    <w:r w:rsidR="004C20DA">
      <w:rPr>
        <w:rFonts w:cs="Arial"/>
        <w:i/>
        <w:sz w:val="24"/>
        <w:szCs w:val="24"/>
      </w:rPr>
      <w:t>April 29</w:t>
    </w:r>
    <w:r w:rsidR="00FB2EBF" w:rsidRPr="00157616">
      <w:rPr>
        <w:rFonts w:cs="Arial"/>
        <w:i/>
        <w:sz w:val="24"/>
        <w:szCs w:val="24"/>
      </w:rPr>
      <w:t xml:space="preserve">, </w:t>
    </w:r>
    <w:r w:rsidRPr="00157616">
      <w:rPr>
        <w:rFonts w:cs="Arial"/>
        <w:i/>
        <w:sz w:val="24"/>
        <w:szCs w:val="24"/>
      </w:rPr>
      <w:t>201</w:t>
    </w:r>
    <w:r w:rsidR="00157616" w:rsidRPr="00157616">
      <w:rPr>
        <w:rFonts w:cs="Arial"/>
        <w:i/>
        <w:sz w:val="24"/>
        <w:szCs w:val="24"/>
      </w:rPr>
      <w:t>6</w:t>
    </w:r>
  </w:p>
  <w:p w14:paraId="78F67B63" w14:textId="4C0D6298" w:rsidR="00157616" w:rsidRPr="00157616" w:rsidRDefault="00157616" w:rsidP="00957327">
    <w:pPr>
      <w:jc w:val="right"/>
      <w:rPr>
        <w:b/>
        <w:i/>
        <w:sz w:val="24"/>
        <w:szCs w:val="24"/>
      </w:rPr>
    </w:pPr>
    <w:r w:rsidRPr="00157616">
      <w:rPr>
        <w:rFonts w:cs="Arial"/>
        <w:i/>
        <w:sz w:val="24"/>
        <w:szCs w:val="24"/>
      </w:rPr>
      <w:t>Change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5" w14:textId="77777777" w:rsidR="00DF1FA6" w:rsidRPr="0008089B" w:rsidRDefault="00DF1FA6">
    <w:pPr>
      <w:jc w:val="right"/>
      <w:rPr>
        <w:i/>
      </w:rPr>
    </w:pPr>
    <w:r w:rsidRPr="0008089B">
      <w:rPr>
        <w:i/>
      </w:rPr>
      <w:t>DoD 4000.25-7-M</w:t>
    </w:r>
    <w:r>
      <w:rPr>
        <w:i/>
      </w:rPr>
      <w:t>, December 2003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8" w14:textId="77777777" w:rsidR="00DF1FA6" w:rsidRPr="008D19C7" w:rsidRDefault="00DF1FA6" w:rsidP="008D19C7">
    <w:pPr>
      <w:pStyle w:val="Header"/>
      <w:jc w:val="right"/>
      <w:rPr>
        <w:i/>
      </w:rPr>
    </w:pPr>
    <w:r w:rsidRPr="008D19C7">
      <w:rPr>
        <w:i/>
      </w:rPr>
      <w:t>DoD 4000.25-7-M, December 2003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9" w14:textId="77777777" w:rsidR="00DF1FA6" w:rsidRPr="0008089B" w:rsidRDefault="00DF1FA6">
    <w:pPr>
      <w:jc w:val="right"/>
      <w:rPr>
        <w:i/>
      </w:rPr>
    </w:pPr>
    <w:r w:rsidRPr="0008089B">
      <w:rPr>
        <w:i/>
      </w:rPr>
      <w:t>DoD 4000.25-7-M</w:t>
    </w:r>
    <w:r>
      <w:rPr>
        <w:i/>
      </w:rPr>
      <w:t>, March 2004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2CEE" w14:textId="77777777" w:rsidR="00DF1FA6" w:rsidRPr="0008089B" w:rsidRDefault="00DF1FA6">
    <w:pPr>
      <w:jc w:val="right"/>
      <w:rPr>
        <w:i/>
      </w:rPr>
    </w:pPr>
    <w:r w:rsidRPr="0008089B">
      <w:rPr>
        <w:i/>
      </w:rPr>
      <w:t>DoD 4000.25-7-M</w:t>
    </w:r>
    <w:r>
      <w:rPr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9B"/>
    <w:rsid w:val="00025463"/>
    <w:rsid w:val="00041256"/>
    <w:rsid w:val="00044CCB"/>
    <w:rsid w:val="000479F1"/>
    <w:rsid w:val="0008089B"/>
    <w:rsid w:val="00084784"/>
    <w:rsid w:val="000F73E3"/>
    <w:rsid w:val="0011307F"/>
    <w:rsid w:val="00157616"/>
    <w:rsid w:val="001F5EB3"/>
    <w:rsid w:val="00231384"/>
    <w:rsid w:val="002A1128"/>
    <w:rsid w:val="002E2580"/>
    <w:rsid w:val="00336B67"/>
    <w:rsid w:val="003753EA"/>
    <w:rsid w:val="004304A2"/>
    <w:rsid w:val="00462BAC"/>
    <w:rsid w:val="00463AAF"/>
    <w:rsid w:val="004C20DA"/>
    <w:rsid w:val="004E64FA"/>
    <w:rsid w:val="00555357"/>
    <w:rsid w:val="00555921"/>
    <w:rsid w:val="005A4F5E"/>
    <w:rsid w:val="005A5231"/>
    <w:rsid w:val="005E033D"/>
    <w:rsid w:val="005F41B4"/>
    <w:rsid w:val="005F46CC"/>
    <w:rsid w:val="005F5EF1"/>
    <w:rsid w:val="006405E5"/>
    <w:rsid w:val="0066529C"/>
    <w:rsid w:val="006743AF"/>
    <w:rsid w:val="006C6D43"/>
    <w:rsid w:val="006C7D97"/>
    <w:rsid w:val="007E4760"/>
    <w:rsid w:val="008643E4"/>
    <w:rsid w:val="008D19C7"/>
    <w:rsid w:val="008F3BF6"/>
    <w:rsid w:val="00903619"/>
    <w:rsid w:val="0094529A"/>
    <w:rsid w:val="00957327"/>
    <w:rsid w:val="00975055"/>
    <w:rsid w:val="00994E36"/>
    <w:rsid w:val="00A15E2B"/>
    <w:rsid w:val="00A6573C"/>
    <w:rsid w:val="00AB31A0"/>
    <w:rsid w:val="00AB58CD"/>
    <w:rsid w:val="00AC18A2"/>
    <w:rsid w:val="00B02C99"/>
    <w:rsid w:val="00B25771"/>
    <w:rsid w:val="00B837EE"/>
    <w:rsid w:val="00B83E17"/>
    <w:rsid w:val="00C626E4"/>
    <w:rsid w:val="00C64DC9"/>
    <w:rsid w:val="00C72A4F"/>
    <w:rsid w:val="00C8414C"/>
    <w:rsid w:val="00C9556A"/>
    <w:rsid w:val="00CA52A5"/>
    <w:rsid w:val="00CB0B97"/>
    <w:rsid w:val="00CD1D29"/>
    <w:rsid w:val="00CE1319"/>
    <w:rsid w:val="00DF1FA6"/>
    <w:rsid w:val="00DF3EDB"/>
    <w:rsid w:val="00E251F9"/>
    <w:rsid w:val="00EB568D"/>
    <w:rsid w:val="00EF0D7C"/>
    <w:rsid w:val="00EF487D"/>
    <w:rsid w:val="00F3050C"/>
    <w:rsid w:val="00F5557E"/>
    <w:rsid w:val="00F71A9B"/>
    <w:rsid w:val="00FB2EBF"/>
    <w:rsid w:val="00FD3631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62C81"/>
  <w15:docId w15:val="{6169342C-C595-4D61-97E4-C4CADE6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3D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3D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033D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8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MeetingPara">
    <w:name w:val="1Meeting Para"/>
    <w:rsid w:val="005E033D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5E033D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5E033D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5E033D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5E033D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5E033D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5E033D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5E033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5E033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5E033D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E03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8C4"/>
    <w:rPr>
      <w:rFonts w:ascii="Arial" w:hAnsi="Arial"/>
    </w:rPr>
  </w:style>
  <w:style w:type="character" w:styleId="PageNumber">
    <w:name w:val="page number"/>
    <w:basedOn w:val="DefaultParagraphFont"/>
    <w:uiPriority w:val="99"/>
    <w:rsid w:val="005E033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808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8C4"/>
    <w:rPr>
      <w:rFonts w:ascii="Arial" w:hAnsi="Arial"/>
    </w:rPr>
  </w:style>
  <w:style w:type="character" w:styleId="CommentReference">
    <w:name w:val="annotation reference"/>
    <w:basedOn w:val="DefaultParagraphFont"/>
    <w:rsid w:val="00F71A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A9B"/>
  </w:style>
  <w:style w:type="character" w:customStyle="1" w:styleId="CommentTextChar">
    <w:name w:val="Comment Text Char"/>
    <w:basedOn w:val="DefaultParagraphFont"/>
    <w:link w:val="CommentText"/>
    <w:rsid w:val="00F71A9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71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A9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71A9B"/>
    <w:rPr>
      <w:rFonts w:ascii="Arial" w:hAnsi="Arial"/>
    </w:rPr>
  </w:style>
  <w:style w:type="paragraph" w:styleId="BalloonText">
    <w:name w:val="Balloon Text"/>
    <w:basedOn w:val="Normal"/>
    <w:link w:val="BalloonTextChar"/>
    <w:rsid w:val="00F7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0BA90-BB2A-4D41-BC07-467247F9D92B}"/>
</file>

<file path=customXml/itemProps2.xml><?xml version="1.0" encoding="utf-8"?>
<ds:datastoreItem xmlns:ds="http://schemas.openxmlformats.org/officeDocument/2006/customXml" ds:itemID="{794B933E-75F3-452F-B036-82898766FDF0}">
  <ds:schemaRefs>
    <ds:schemaRef ds:uri="http://schemas.microsoft.com/sharepoint/v4"/>
    <ds:schemaRef ds:uri="http://purl.org/dc/elements/1.1/"/>
    <ds:schemaRef ds:uri="1019005c-580f-42ae-adec-ba9490377f66"/>
    <ds:schemaRef ds:uri="http://purl.org/dc/dcmitype/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EEDB803-9209-405E-A7B7-C5E2118F96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7E6EF9F6.dotm</Template>
  <TotalTime>30</TotalTime>
  <Pages>2</Pages>
  <Words>348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AP2.5 Type of Bill Code</vt:lpstr>
    </vt:vector>
  </TitlesOfParts>
  <Company>DLA/DLMSO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AP2.5 Type of Bill Code</dc:title>
  <dc:subject/>
  <dc:creator>UMS0092</dc:creator>
  <cp:keywords/>
  <dc:description/>
  <cp:lastModifiedBy>Nguyen, Bao X CTR DLA INFO OPERATIONS (US)</cp:lastModifiedBy>
  <cp:revision>18</cp:revision>
  <cp:lastPrinted>2000-05-04T17:21:00Z</cp:lastPrinted>
  <dcterms:created xsi:type="dcterms:W3CDTF">2012-01-05T22:27:00Z</dcterms:created>
  <dcterms:modified xsi:type="dcterms:W3CDTF">2017-11-02T17:27:00Z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2341700</vt:r8>
  </property>
</Properties>
</file>