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DB" w:rsidRPr="005941D8" w:rsidRDefault="009050DB" w:rsidP="00BB6543">
      <w:pPr>
        <w:spacing w:after="240"/>
        <w:jc w:val="center"/>
        <w:rPr>
          <w:b/>
          <w:sz w:val="44"/>
          <w:szCs w:val="44"/>
          <w:u w:val="single"/>
        </w:rPr>
      </w:pPr>
      <w:r w:rsidRPr="005941D8">
        <w:rPr>
          <w:b/>
          <w:sz w:val="44"/>
          <w:szCs w:val="44"/>
          <w:u w:val="single"/>
        </w:rPr>
        <w:t>AP2.6</w:t>
      </w:r>
      <w:r>
        <w:rPr>
          <w:b/>
          <w:sz w:val="44"/>
          <w:szCs w:val="44"/>
          <w:u w:val="single"/>
        </w:rPr>
        <w:t>.</w:t>
      </w:r>
      <w:r w:rsidRPr="005941D8">
        <w:rPr>
          <w:b/>
          <w:sz w:val="44"/>
          <w:szCs w:val="44"/>
          <w:u w:val="single"/>
        </w:rPr>
        <w:t xml:space="preserve"> APPENDIX 2.6</w:t>
      </w:r>
    </w:p>
    <w:p w:rsidR="009050DB" w:rsidRPr="005941D8" w:rsidRDefault="009050DB" w:rsidP="00B237F8">
      <w:pPr>
        <w:spacing w:after="360"/>
        <w:jc w:val="center"/>
        <w:rPr>
          <w:b/>
          <w:sz w:val="36"/>
          <w:szCs w:val="36"/>
          <w:u w:val="single"/>
        </w:rPr>
      </w:pPr>
      <w:r w:rsidRPr="005941D8">
        <w:rPr>
          <w:b/>
          <w:sz w:val="36"/>
          <w:szCs w:val="36"/>
          <w:u w:val="single"/>
        </w:rPr>
        <w:t>RECIPIENT OF BILLING STATUS CODES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70"/>
        <w:gridCol w:w="7380"/>
      </w:tblGrid>
      <w:tr w:rsidR="009050DB" w:rsidRPr="00B237F8" w:rsidTr="00BB6543">
        <w:trPr>
          <w:cantSplit/>
          <w:trHeight w:val="403"/>
        </w:trPr>
        <w:tc>
          <w:tcPr>
            <w:tcW w:w="2070" w:type="dxa"/>
          </w:tcPr>
          <w:p w:rsidR="009050DB" w:rsidRPr="00B237F8" w:rsidRDefault="009050DB" w:rsidP="00BB6543">
            <w:pPr>
              <w:spacing w:before="60" w:after="60"/>
              <w:rPr>
                <w:bCs/>
                <w:sz w:val="24"/>
                <w:szCs w:val="24"/>
              </w:rPr>
            </w:pPr>
            <w:r w:rsidRPr="00BB6543">
              <w:rPr>
                <w:bCs/>
                <w:sz w:val="24"/>
                <w:szCs w:val="24"/>
              </w:rPr>
              <w:t>NUMBER OF CHARACTERS</w:t>
            </w:r>
            <w:r w:rsidRPr="00B237F8">
              <w:rPr>
                <w:bCs/>
                <w:sz w:val="24"/>
                <w:szCs w:val="24"/>
              </w:rPr>
              <w:t>:</w:t>
            </w:r>
          </w:p>
          <w:p w:rsidR="009050DB" w:rsidRPr="00B237F8" w:rsidRDefault="009050DB" w:rsidP="00BB654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9050DB" w:rsidRPr="00B237F8" w:rsidRDefault="009050DB" w:rsidP="00BB6543">
            <w:pPr>
              <w:spacing w:before="60" w:after="60"/>
              <w:rPr>
                <w:sz w:val="24"/>
                <w:szCs w:val="24"/>
              </w:rPr>
            </w:pPr>
            <w:r w:rsidRPr="00B237F8">
              <w:rPr>
                <w:sz w:val="24"/>
                <w:szCs w:val="24"/>
              </w:rPr>
              <w:t>One</w:t>
            </w:r>
          </w:p>
        </w:tc>
      </w:tr>
      <w:tr w:rsidR="009050DB" w:rsidRPr="00B237F8" w:rsidTr="00BB6543">
        <w:trPr>
          <w:cantSplit/>
          <w:trHeight w:val="403"/>
        </w:trPr>
        <w:tc>
          <w:tcPr>
            <w:tcW w:w="2070" w:type="dxa"/>
          </w:tcPr>
          <w:p w:rsidR="009050DB" w:rsidRPr="00B237F8" w:rsidRDefault="009050DB" w:rsidP="00BB6543">
            <w:pPr>
              <w:spacing w:before="60" w:after="60"/>
              <w:rPr>
                <w:bCs/>
                <w:sz w:val="24"/>
                <w:szCs w:val="24"/>
              </w:rPr>
            </w:pPr>
            <w:r w:rsidRPr="00BB6543">
              <w:rPr>
                <w:bCs/>
                <w:sz w:val="24"/>
                <w:szCs w:val="24"/>
              </w:rPr>
              <w:t>TYPE OF CODE</w:t>
            </w:r>
            <w:r w:rsidRPr="00B237F8">
              <w:rPr>
                <w:bCs/>
                <w:sz w:val="24"/>
                <w:szCs w:val="24"/>
              </w:rPr>
              <w:t>:</w:t>
            </w:r>
          </w:p>
          <w:p w:rsidR="009050DB" w:rsidRPr="00B237F8" w:rsidRDefault="009050DB" w:rsidP="00BB654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9050DB" w:rsidRPr="00B237F8" w:rsidRDefault="009050DB" w:rsidP="00BB6543">
            <w:pPr>
              <w:spacing w:before="60" w:after="60"/>
              <w:rPr>
                <w:sz w:val="24"/>
                <w:szCs w:val="24"/>
              </w:rPr>
            </w:pPr>
            <w:r w:rsidRPr="00B237F8">
              <w:rPr>
                <w:sz w:val="24"/>
                <w:szCs w:val="24"/>
              </w:rPr>
              <w:t>Numeric</w:t>
            </w:r>
          </w:p>
        </w:tc>
      </w:tr>
      <w:tr w:rsidR="009050DB" w:rsidRPr="00B237F8" w:rsidTr="00BB6543">
        <w:trPr>
          <w:cantSplit/>
          <w:trHeight w:val="403"/>
        </w:trPr>
        <w:tc>
          <w:tcPr>
            <w:tcW w:w="2070" w:type="dxa"/>
          </w:tcPr>
          <w:p w:rsidR="009050DB" w:rsidRPr="00B237F8" w:rsidRDefault="009050DB" w:rsidP="00BB6543">
            <w:pPr>
              <w:spacing w:before="60" w:after="60"/>
              <w:rPr>
                <w:bCs/>
                <w:sz w:val="24"/>
                <w:szCs w:val="24"/>
              </w:rPr>
            </w:pPr>
            <w:r w:rsidRPr="00BB6543">
              <w:rPr>
                <w:bCs/>
                <w:sz w:val="24"/>
                <w:szCs w:val="24"/>
              </w:rPr>
              <w:t>EXPLANATION</w:t>
            </w:r>
            <w:r w:rsidRPr="00B237F8">
              <w:rPr>
                <w:bCs/>
                <w:sz w:val="24"/>
                <w:szCs w:val="24"/>
              </w:rPr>
              <w:t>:</w:t>
            </w:r>
          </w:p>
          <w:p w:rsidR="009050DB" w:rsidRPr="00B237F8" w:rsidRDefault="009050DB" w:rsidP="00BB6543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9050DB" w:rsidRPr="00B237F8" w:rsidRDefault="009050DB" w:rsidP="00896C91">
            <w:pPr>
              <w:spacing w:before="60" w:after="60"/>
              <w:rPr>
                <w:sz w:val="24"/>
                <w:szCs w:val="24"/>
              </w:rPr>
            </w:pPr>
            <w:r w:rsidRPr="00B237F8">
              <w:rPr>
                <w:sz w:val="24"/>
                <w:szCs w:val="24"/>
              </w:rPr>
              <w:t xml:space="preserve">Recipient of Billing Status Codes are used in requests for billing adjustment to convey to the processor or </w:t>
            </w:r>
            <w:r w:rsidR="00896C91">
              <w:rPr>
                <w:sz w:val="24"/>
                <w:szCs w:val="24"/>
              </w:rPr>
              <w:t>DAAS</w:t>
            </w:r>
            <w:r w:rsidRPr="00B237F8">
              <w:rPr>
                <w:sz w:val="24"/>
                <w:szCs w:val="24"/>
              </w:rPr>
              <w:t xml:space="preserve"> the identity of the activity to receive the billing reply and status.</w:t>
            </w:r>
          </w:p>
        </w:tc>
      </w:tr>
      <w:tr w:rsidR="009050DB" w:rsidRPr="00FE5236" w:rsidTr="00BB6543">
        <w:trPr>
          <w:cantSplit/>
        </w:trPr>
        <w:tc>
          <w:tcPr>
            <w:tcW w:w="2070" w:type="dxa"/>
          </w:tcPr>
          <w:p w:rsidR="009050DB" w:rsidRPr="00BB6543" w:rsidRDefault="009050DB" w:rsidP="00BD4AB8">
            <w:pPr>
              <w:pStyle w:val="Heading2"/>
              <w:spacing w:before="80" w:after="80"/>
              <w:rPr>
                <w:b w:val="0"/>
              </w:rPr>
            </w:pPr>
            <w:r w:rsidRPr="00BB6543">
              <w:rPr>
                <w:b w:val="0"/>
              </w:rPr>
              <w:t>Code</w:t>
            </w:r>
          </w:p>
        </w:tc>
        <w:tc>
          <w:tcPr>
            <w:tcW w:w="7380" w:type="dxa"/>
          </w:tcPr>
          <w:p w:rsidR="009050DB" w:rsidRPr="00BB6543" w:rsidRDefault="009050DB" w:rsidP="00BD4AB8">
            <w:pPr>
              <w:pStyle w:val="Heading1"/>
              <w:spacing w:before="80" w:after="80"/>
              <w:rPr>
                <w:b w:val="0"/>
              </w:rPr>
            </w:pPr>
            <w:r w:rsidRPr="00BB6543">
              <w:rPr>
                <w:b w:val="0"/>
              </w:rPr>
              <w:t>Description</w:t>
            </w:r>
          </w:p>
        </w:tc>
      </w:tr>
      <w:tr w:rsidR="009050DB" w:rsidRPr="00B237F8" w:rsidTr="00BB6543">
        <w:trPr>
          <w:cantSplit/>
          <w:trHeight w:val="403"/>
        </w:trPr>
        <w:tc>
          <w:tcPr>
            <w:tcW w:w="2070" w:type="dxa"/>
          </w:tcPr>
          <w:p w:rsidR="009050DB" w:rsidRPr="00B237F8" w:rsidRDefault="009050DB" w:rsidP="00BB65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37F8">
              <w:rPr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9050DB" w:rsidRPr="00B237F8" w:rsidRDefault="009050DB" w:rsidP="00BB6543">
            <w:pPr>
              <w:spacing w:before="60" w:after="60"/>
              <w:rPr>
                <w:sz w:val="24"/>
                <w:szCs w:val="24"/>
              </w:rPr>
            </w:pPr>
            <w:r w:rsidRPr="00B237F8">
              <w:rPr>
                <w:sz w:val="24"/>
                <w:szCs w:val="24"/>
              </w:rPr>
              <w:t xml:space="preserve">Reply to </w:t>
            </w:r>
            <w:proofErr w:type="spellStart"/>
            <w:r w:rsidRPr="00B237F8">
              <w:rPr>
                <w:sz w:val="24"/>
                <w:szCs w:val="24"/>
              </w:rPr>
              <w:t>DoDAAC</w:t>
            </w:r>
            <w:proofErr w:type="spellEnd"/>
            <w:r w:rsidRPr="00B237F8">
              <w:rPr>
                <w:sz w:val="24"/>
                <w:szCs w:val="24"/>
              </w:rPr>
              <w:t xml:space="preserve"> shown in pos. 30-35</w:t>
            </w:r>
          </w:p>
        </w:tc>
      </w:tr>
      <w:tr w:rsidR="009050DB" w:rsidRPr="00B237F8" w:rsidTr="00BB6543">
        <w:trPr>
          <w:cantSplit/>
          <w:trHeight w:val="403"/>
        </w:trPr>
        <w:tc>
          <w:tcPr>
            <w:tcW w:w="2070" w:type="dxa"/>
          </w:tcPr>
          <w:p w:rsidR="009050DB" w:rsidRPr="00B237F8" w:rsidRDefault="009050DB" w:rsidP="00BB65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37F8">
              <w:rPr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9050DB" w:rsidRPr="00B237F8" w:rsidRDefault="009050DB" w:rsidP="00BB6543">
            <w:pPr>
              <w:spacing w:before="60" w:after="60"/>
              <w:rPr>
                <w:sz w:val="24"/>
                <w:szCs w:val="24"/>
              </w:rPr>
            </w:pPr>
            <w:r w:rsidRPr="00B237F8">
              <w:rPr>
                <w:sz w:val="24"/>
                <w:szCs w:val="24"/>
              </w:rPr>
              <w:t xml:space="preserve">Reply to </w:t>
            </w:r>
            <w:proofErr w:type="spellStart"/>
            <w:r w:rsidRPr="00B237F8">
              <w:rPr>
                <w:sz w:val="24"/>
                <w:szCs w:val="24"/>
              </w:rPr>
              <w:t>DoDAAC</w:t>
            </w:r>
            <w:proofErr w:type="spellEnd"/>
            <w:r w:rsidRPr="00B237F8">
              <w:rPr>
                <w:sz w:val="24"/>
                <w:szCs w:val="24"/>
              </w:rPr>
              <w:t xml:space="preserve"> shown in pos. 45-50</w:t>
            </w:r>
          </w:p>
        </w:tc>
      </w:tr>
      <w:tr w:rsidR="009050DB" w:rsidRPr="00B237F8" w:rsidTr="00BB6543">
        <w:trPr>
          <w:cantSplit/>
          <w:trHeight w:val="403"/>
        </w:trPr>
        <w:tc>
          <w:tcPr>
            <w:tcW w:w="2070" w:type="dxa"/>
          </w:tcPr>
          <w:p w:rsidR="009050DB" w:rsidRPr="00B237F8" w:rsidRDefault="009050DB" w:rsidP="00BB6543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B237F8">
              <w:rPr>
                <w:sz w:val="24"/>
                <w:szCs w:val="24"/>
              </w:rPr>
              <w:t>9</w:t>
            </w:r>
          </w:p>
        </w:tc>
        <w:tc>
          <w:tcPr>
            <w:tcW w:w="7380" w:type="dxa"/>
          </w:tcPr>
          <w:p w:rsidR="009050DB" w:rsidRPr="00B237F8" w:rsidRDefault="009050DB" w:rsidP="00BB6543">
            <w:pPr>
              <w:spacing w:before="60" w:after="60"/>
              <w:rPr>
                <w:sz w:val="24"/>
                <w:szCs w:val="24"/>
              </w:rPr>
            </w:pPr>
            <w:r w:rsidRPr="00B237F8">
              <w:rPr>
                <w:sz w:val="24"/>
                <w:szCs w:val="24"/>
              </w:rPr>
              <w:t xml:space="preserve">Reply to </w:t>
            </w:r>
            <w:proofErr w:type="spellStart"/>
            <w:r w:rsidRPr="00B237F8">
              <w:rPr>
                <w:sz w:val="24"/>
                <w:szCs w:val="24"/>
              </w:rPr>
              <w:t>DoDAAC</w:t>
            </w:r>
            <w:proofErr w:type="spellEnd"/>
            <w:r w:rsidRPr="00B237F8">
              <w:rPr>
                <w:sz w:val="24"/>
                <w:szCs w:val="24"/>
              </w:rPr>
              <w:t xml:space="preserve"> designated by pos. 52</w:t>
            </w:r>
          </w:p>
        </w:tc>
      </w:tr>
    </w:tbl>
    <w:p w:rsidR="009050DB" w:rsidRPr="005941D8" w:rsidRDefault="009050DB">
      <w:pPr>
        <w:rPr>
          <w:sz w:val="24"/>
          <w:szCs w:val="24"/>
        </w:rPr>
        <w:sectPr w:rsidR="009050DB" w:rsidRPr="005941D8" w:rsidSect="00C309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728" w:right="1440" w:bottom="1728" w:left="1440" w:header="720" w:footer="720" w:gutter="0"/>
          <w:pgNumType w:start="1"/>
          <w:cols w:space="720"/>
        </w:sectPr>
      </w:pPr>
    </w:p>
    <w:p w:rsidR="009050DB" w:rsidRPr="005941D8" w:rsidRDefault="009050DB">
      <w:pPr>
        <w:rPr>
          <w:sz w:val="24"/>
          <w:szCs w:val="24"/>
        </w:rPr>
      </w:pPr>
      <w:bookmarkStart w:id="0" w:name="_GoBack"/>
      <w:bookmarkEnd w:id="0"/>
    </w:p>
    <w:sectPr w:rsidR="009050DB" w:rsidRPr="005941D8" w:rsidSect="000758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440" w:left="1440" w:header="720" w:footer="720" w:gutter="0"/>
      <w:pgNumType w:start="8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B7" w:rsidRDefault="00ED50B7">
      <w:r>
        <w:separator/>
      </w:r>
    </w:p>
  </w:endnote>
  <w:endnote w:type="continuationSeparator" w:id="0">
    <w:p w:rsidR="00ED50B7" w:rsidRDefault="00ED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B7" w:rsidRDefault="00ED50B7" w:rsidP="0049466B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ED50B7" w:rsidRDefault="00ED50B7" w:rsidP="000A0870">
    <w:pPr>
      <w:pStyle w:val="Footer"/>
      <w:rPr>
        <w:rStyle w:val="PageNumber"/>
        <w:rFonts w:cs="Arial"/>
      </w:rPr>
    </w:pPr>
  </w:p>
  <w:p w:rsidR="00ED50B7" w:rsidRDefault="00ED50B7" w:rsidP="000A0870">
    <w:pPr>
      <w:pStyle w:val="Footer"/>
    </w:pPr>
    <w:r>
      <w:t>APPENDIX 2.6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5E" w:rsidRPr="0017295E" w:rsidRDefault="0017295E">
    <w:pPr>
      <w:pStyle w:val="Footer"/>
      <w:jc w:val="right"/>
      <w:rPr>
        <w:sz w:val="24"/>
      </w:rPr>
    </w:pPr>
    <w:r w:rsidRPr="0017295E">
      <w:rPr>
        <w:sz w:val="24"/>
      </w:rPr>
      <w:t>AP2.6-</w:t>
    </w:r>
    <w:sdt>
      <w:sdtPr>
        <w:rPr>
          <w:sz w:val="24"/>
        </w:rPr>
        <w:id w:val="-13388449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7295E">
          <w:rPr>
            <w:sz w:val="24"/>
          </w:rPr>
          <w:fldChar w:fldCharType="begin"/>
        </w:r>
        <w:r w:rsidRPr="0017295E">
          <w:rPr>
            <w:sz w:val="24"/>
          </w:rPr>
          <w:instrText xml:space="preserve"> PAGE   \* MERGEFORMAT </w:instrText>
        </w:r>
        <w:r w:rsidRPr="0017295E">
          <w:rPr>
            <w:sz w:val="24"/>
          </w:rPr>
          <w:fldChar w:fldCharType="separate"/>
        </w:r>
        <w:r>
          <w:rPr>
            <w:noProof/>
            <w:sz w:val="24"/>
          </w:rPr>
          <w:t>1</w:t>
        </w:r>
        <w:r w:rsidRPr="0017295E">
          <w:rPr>
            <w:noProof/>
            <w:sz w:val="24"/>
          </w:rPr>
          <w:fldChar w:fldCharType="end"/>
        </w:r>
        <w:r w:rsidRPr="0017295E">
          <w:rPr>
            <w:noProof/>
            <w:sz w:val="24"/>
          </w:rPr>
          <w:tab/>
          <w:t>APPENDIX 2.6</w:t>
        </w:r>
      </w:sdtContent>
    </w:sdt>
  </w:p>
  <w:p w:rsidR="00ED50B7" w:rsidRPr="005941D8" w:rsidRDefault="00ED50B7" w:rsidP="0049466B">
    <w:pPr>
      <w:pStyle w:val="Footer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B7" w:rsidRDefault="00ED50B7" w:rsidP="000A0870">
    <w:pPr>
      <w:pStyle w:val="Footer"/>
    </w:pPr>
    <w:r>
      <w:t>AP2.6-</w:t>
    </w:r>
    <w:r>
      <w:rPr>
        <w:rStyle w:val="PageNumber"/>
        <w:rFonts w:cs="Arial"/>
        <w:b/>
        <w:bCs/>
        <w:sz w:val="24"/>
        <w:szCs w:val="24"/>
      </w:rPr>
      <w:fldChar w:fldCharType="begin"/>
    </w:r>
    <w:r>
      <w:rPr>
        <w:rStyle w:val="PageNumber"/>
        <w:rFonts w:cs="Arial"/>
        <w:b/>
        <w:bCs/>
        <w:sz w:val="24"/>
        <w:szCs w:val="24"/>
      </w:rPr>
      <w:instrText xml:space="preserve"> NUMPAGES </w:instrText>
    </w:r>
    <w:r>
      <w:rPr>
        <w:rStyle w:val="PageNumber"/>
        <w:rFonts w:cs="Arial"/>
        <w:b/>
        <w:bCs/>
        <w:sz w:val="24"/>
        <w:szCs w:val="24"/>
      </w:rPr>
      <w:fldChar w:fldCharType="separate"/>
    </w:r>
    <w:r>
      <w:rPr>
        <w:rStyle w:val="PageNumber"/>
        <w:rFonts w:cs="Arial"/>
        <w:b/>
        <w:bCs/>
        <w:noProof/>
        <w:sz w:val="24"/>
        <w:szCs w:val="24"/>
      </w:rPr>
      <w:t>1</w:t>
    </w:r>
    <w:r>
      <w:rPr>
        <w:rStyle w:val="PageNumber"/>
        <w:rFonts w:cs="Arial"/>
        <w:b/>
        <w:bCs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B7" w:rsidRDefault="00ED50B7" w:rsidP="009A0A89">
    <w:pPr>
      <w:pStyle w:val="Footer"/>
      <w:framePr w:wrap="around" w:vAnchor="text" w:hAnchor="margin" w:xAlign="center" w:y="1"/>
      <w:jc w:val="right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80</w:t>
    </w:r>
    <w:r>
      <w:rPr>
        <w:rStyle w:val="PageNumber"/>
        <w:rFonts w:cs="Arial"/>
      </w:rPr>
      <w:fldChar w:fldCharType="end"/>
    </w:r>
  </w:p>
  <w:p w:rsidR="00ED50B7" w:rsidRDefault="00ED50B7" w:rsidP="00222D5A">
    <w:pPr>
      <w:pStyle w:val="Footer"/>
      <w:tabs>
        <w:tab w:val="clear" w:pos="4320"/>
        <w:tab w:val="clear" w:pos="8640"/>
        <w:tab w:val="right" w:pos="9360"/>
      </w:tabs>
      <w:jc w:val="right"/>
    </w:pPr>
    <w:r>
      <w:t>APPENDIX 2.6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B7" w:rsidRDefault="00ED50B7" w:rsidP="009A0A89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75</w:t>
    </w:r>
    <w:r>
      <w:rPr>
        <w:rStyle w:val="PageNumber"/>
        <w:rFonts w:cs="Arial"/>
      </w:rPr>
      <w:fldChar w:fldCharType="end"/>
    </w:r>
  </w:p>
  <w:p w:rsidR="00ED50B7" w:rsidRDefault="00ED50B7" w:rsidP="009A0A89">
    <w:pPr>
      <w:pStyle w:val="Footer"/>
      <w:tabs>
        <w:tab w:val="clear" w:pos="4320"/>
        <w:tab w:val="clear" w:pos="8640"/>
        <w:tab w:val="right" w:pos="9360"/>
      </w:tabs>
    </w:pPr>
    <w:r>
      <w:tab/>
      <w:t>APPENDIX 2.6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B7" w:rsidRDefault="00ED50B7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AP2.6-</w:t>
    </w:r>
    <w:r>
      <w:rPr>
        <w:rStyle w:val="PageNumber"/>
        <w:rFonts w:cs="Arial"/>
        <w:b/>
        <w:bCs/>
        <w:sz w:val="24"/>
        <w:szCs w:val="24"/>
      </w:rPr>
      <w:fldChar w:fldCharType="begin"/>
    </w:r>
    <w:r>
      <w:rPr>
        <w:rStyle w:val="PageNumber"/>
        <w:rFonts w:cs="Arial"/>
        <w:b/>
        <w:bCs/>
        <w:sz w:val="24"/>
        <w:szCs w:val="24"/>
      </w:rPr>
      <w:instrText xml:space="preserve"> NUMPAGES </w:instrText>
    </w:r>
    <w:r>
      <w:rPr>
        <w:rStyle w:val="PageNumber"/>
        <w:rFonts w:cs="Arial"/>
        <w:b/>
        <w:bCs/>
        <w:sz w:val="24"/>
        <w:szCs w:val="24"/>
      </w:rPr>
      <w:fldChar w:fldCharType="separate"/>
    </w:r>
    <w:r>
      <w:rPr>
        <w:rStyle w:val="PageNumber"/>
        <w:rFonts w:cs="Arial"/>
        <w:b/>
        <w:bCs/>
        <w:noProof/>
        <w:sz w:val="24"/>
        <w:szCs w:val="24"/>
      </w:rPr>
      <w:t>1</w:t>
    </w:r>
    <w:r>
      <w:rPr>
        <w:rStyle w:val="PageNumber"/>
        <w:rFonts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B7" w:rsidRDefault="00ED50B7">
      <w:r>
        <w:separator/>
      </w:r>
    </w:p>
  </w:footnote>
  <w:footnote w:type="continuationSeparator" w:id="0">
    <w:p w:rsidR="00ED50B7" w:rsidRDefault="00ED5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B7" w:rsidRPr="00222D5A" w:rsidRDefault="00ED50B7" w:rsidP="00222D5A">
    <w:pPr>
      <w:jc w:val="right"/>
      <w:rPr>
        <w:bCs/>
        <w:i/>
      </w:rPr>
    </w:pPr>
    <w:r w:rsidRPr="00222D5A">
      <w:rPr>
        <w:bCs/>
        <w:i/>
      </w:rPr>
      <w:t>DoD 4000.25-</w:t>
    </w:r>
    <w:r>
      <w:rPr>
        <w:bCs/>
        <w:i/>
      </w:rPr>
      <w:t>7</w:t>
    </w:r>
    <w:r w:rsidRPr="00222D5A">
      <w:rPr>
        <w:bCs/>
        <w:i/>
      </w:rPr>
      <w:t>-M</w:t>
    </w:r>
    <w:r>
      <w:rPr>
        <w:bCs/>
        <w:i/>
      </w:rPr>
      <w:t>, March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B7" w:rsidRPr="00B237F8" w:rsidRDefault="00ED50B7">
    <w:pPr>
      <w:jc w:val="right"/>
      <w:rPr>
        <w:b/>
        <w:bCs/>
        <w:i/>
        <w:sz w:val="24"/>
        <w:szCs w:val="24"/>
      </w:rPr>
    </w:pPr>
    <w:r w:rsidRPr="00B237F8">
      <w:rPr>
        <w:sz w:val="24"/>
        <w:szCs w:val="24"/>
      </w:rPr>
      <w:t xml:space="preserve">DLM 4000.25, Volume 4, </w:t>
    </w:r>
    <w:r w:rsidR="00327B42">
      <w:rPr>
        <w:sz w:val="24"/>
        <w:szCs w:val="24"/>
      </w:rPr>
      <w:t>April 11</w:t>
    </w:r>
    <w:r w:rsidR="008B14D1">
      <w:rPr>
        <w:sz w:val="24"/>
        <w:szCs w:val="24"/>
      </w:rPr>
      <w:t xml:space="preserve">, </w:t>
    </w:r>
    <w:r w:rsidRPr="00B237F8">
      <w:rPr>
        <w:sz w:val="24"/>
        <w:szCs w:val="24"/>
      </w:rPr>
      <w:t>201</w:t>
    </w:r>
    <w:r w:rsidR="008940DF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B7" w:rsidRPr="009A0A89" w:rsidRDefault="00ED50B7">
    <w:pPr>
      <w:jc w:val="right"/>
      <w:rPr>
        <w:bCs/>
        <w:i/>
      </w:rPr>
    </w:pPr>
    <w:r w:rsidRPr="009A0A89">
      <w:rPr>
        <w:bCs/>
        <w:i/>
      </w:rPr>
      <w:t>DoD 4000.25-7-M</w:t>
    </w:r>
    <w:r>
      <w:rPr>
        <w:bCs/>
        <w:i/>
      </w:rPr>
      <w:t>, December 2003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B7" w:rsidRPr="00222D5A" w:rsidRDefault="00ED50B7" w:rsidP="00222D5A">
    <w:pPr>
      <w:jc w:val="right"/>
      <w:rPr>
        <w:bCs/>
        <w:i/>
      </w:rPr>
    </w:pPr>
    <w:r w:rsidRPr="00222D5A">
      <w:rPr>
        <w:bCs/>
        <w:i/>
      </w:rPr>
      <w:t>DoD 4000.25-</w:t>
    </w:r>
    <w:r>
      <w:rPr>
        <w:bCs/>
        <w:i/>
      </w:rPr>
      <w:t>7</w:t>
    </w:r>
    <w:r w:rsidRPr="00222D5A">
      <w:rPr>
        <w:bCs/>
        <w:i/>
      </w:rPr>
      <w:t>-M</w:t>
    </w:r>
    <w:r>
      <w:rPr>
        <w:bCs/>
        <w:i/>
      </w:rPr>
      <w:t>, March 2004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B7" w:rsidRPr="009A0A89" w:rsidRDefault="00ED50B7">
    <w:pPr>
      <w:jc w:val="right"/>
      <w:rPr>
        <w:bCs/>
        <w:i/>
      </w:rPr>
    </w:pPr>
    <w:r w:rsidRPr="009A0A89">
      <w:rPr>
        <w:bCs/>
        <w:i/>
      </w:rPr>
      <w:t>DoD 4000.25-7-M</w:t>
    </w:r>
    <w:r>
      <w:rPr>
        <w:bCs/>
        <w:i/>
      </w:rPr>
      <w:t>, December 2003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B7" w:rsidRPr="009A0A89" w:rsidRDefault="00ED50B7">
    <w:pPr>
      <w:jc w:val="right"/>
      <w:rPr>
        <w:bCs/>
        <w:i/>
      </w:rPr>
    </w:pPr>
    <w:r w:rsidRPr="009A0A89">
      <w:rPr>
        <w:bCs/>
        <w:i/>
      </w:rPr>
      <w:t>DoD 4000.25-7-M</w:t>
    </w:r>
    <w:r>
      <w:rPr>
        <w:bCs/>
        <w:i/>
      </w:rPr>
      <w:t>, December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4A"/>
    <w:rsid w:val="00052A4B"/>
    <w:rsid w:val="00075844"/>
    <w:rsid w:val="000A0870"/>
    <w:rsid w:val="000D5A0F"/>
    <w:rsid w:val="000E6CDF"/>
    <w:rsid w:val="000F52E7"/>
    <w:rsid w:val="0017295E"/>
    <w:rsid w:val="001E0B7A"/>
    <w:rsid w:val="001F7923"/>
    <w:rsid w:val="00222D5A"/>
    <w:rsid w:val="00234C4B"/>
    <w:rsid w:val="002A424D"/>
    <w:rsid w:val="00327B42"/>
    <w:rsid w:val="00362E40"/>
    <w:rsid w:val="003921F9"/>
    <w:rsid w:val="003A1D95"/>
    <w:rsid w:val="003A534E"/>
    <w:rsid w:val="00401B79"/>
    <w:rsid w:val="004103AC"/>
    <w:rsid w:val="0049466B"/>
    <w:rsid w:val="00505759"/>
    <w:rsid w:val="00520F5D"/>
    <w:rsid w:val="0056017B"/>
    <w:rsid w:val="00566997"/>
    <w:rsid w:val="005732E1"/>
    <w:rsid w:val="005941D8"/>
    <w:rsid w:val="005E76D4"/>
    <w:rsid w:val="005F350D"/>
    <w:rsid w:val="00664A53"/>
    <w:rsid w:val="006C136E"/>
    <w:rsid w:val="006F7D1A"/>
    <w:rsid w:val="0074567E"/>
    <w:rsid w:val="00766BB8"/>
    <w:rsid w:val="00783DE0"/>
    <w:rsid w:val="007D51E9"/>
    <w:rsid w:val="00812DA9"/>
    <w:rsid w:val="00843767"/>
    <w:rsid w:val="008940DF"/>
    <w:rsid w:val="00896C91"/>
    <w:rsid w:val="00897C04"/>
    <w:rsid w:val="008B14D1"/>
    <w:rsid w:val="008D2585"/>
    <w:rsid w:val="008F4F32"/>
    <w:rsid w:val="009050DB"/>
    <w:rsid w:val="009342C4"/>
    <w:rsid w:val="00936FE8"/>
    <w:rsid w:val="009A0A89"/>
    <w:rsid w:val="009E652E"/>
    <w:rsid w:val="00A31BD3"/>
    <w:rsid w:val="00A94F1E"/>
    <w:rsid w:val="00AF6972"/>
    <w:rsid w:val="00B237F8"/>
    <w:rsid w:val="00B5163E"/>
    <w:rsid w:val="00BB6543"/>
    <w:rsid w:val="00BD4AB8"/>
    <w:rsid w:val="00BE194A"/>
    <w:rsid w:val="00C30997"/>
    <w:rsid w:val="00C656D5"/>
    <w:rsid w:val="00C952FD"/>
    <w:rsid w:val="00CA7CDF"/>
    <w:rsid w:val="00CB2B2A"/>
    <w:rsid w:val="00CC2F5E"/>
    <w:rsid w:val="00D57DE9"/>
    <w:rsid w:val="00DA7D0E"/>
    <w:rsid w:val="00ED50B7"/>
    <w:rsid w:val="00EF0AD9"/>
    <w:rsid w:val="00F04572"/>
    <w:rsid w:val="00F3050C"/>
    <w:rsid w:val="00F31FB5"/>
    <w:rsid w:val="00F42A82"/>
    <w:rsid w:val="00F71CBB"/>
    <w:rsid w:val="00FE319E"/>
    <w:rsid w:val="00FE5236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CF0E9"/>
  <w15:docId w15:val="{91FCD7FE-43C8-4B6C-972C-9055A88F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40"/>
    <w:pPr>
      <w:widowControl w:val="0"/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E40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2E40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1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1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MeetingPara">
    <w:name w:val="1Meeting Para"/>
    <w:rsid w:val="00362E40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2MeetingPara">
    <w:name w:val="2Meeting Para"/>
    <w:rsid w:val="00362E40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3MeetingPara">
    <w:name w:val="3Meeting Para"/>
    <w:rsid w:val="00362E40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4MeetingPara">
    <w:name w:val="4Meeting Para"/>
    <w:rsid w:val="00362E40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5MeetingPara">
    <w:name w:val="5Meeting Para"/>
    <w:rsid w:val="00362E40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6MeetingPara">
    <w:name w:val="6Meeting Para"/>
    <w:rsid w:val="00362E40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7MeetingPara">
    <w:name w:val="7Meeting Para"/>
    <w:rsid w:val="00362E40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8MeetingPara">
    <w:name w:val="8Meeting Para"/>
    <w:rsid w:val="00362E4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ind w:left="6480" w:hanging="720"/>
      <w:jc w:val="both"/>
    </w:pPr>
    <w:rPr>
      <w:rFonts w:ascii="Arial" w:hAnsi="Arial" w:cs="Arial"/>
      <w:sz w:val="24"/>
      <w:szCs w:val="24"/>
    </w:rPr>
  </w:style>
  <w:style w:type="paragraph" w:customStyle="1" w:styleId="Meeting">
    <w:name w:val="Meeting"/>
    <w:rsid w:val="00362E4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720"/>
    </w:pPr>
    <w:rPr>
      <w:rFonts w:ascii="Arial" w:hAnsi="Arial" w:cs="Arial"/>
      <w:sz w:val="24"/>
      <w:szCs w:val="24"/>
    </w:rPr>
  </w:style>
  <w:style w:type="paragraph" w:customStyle="1" w:styleId="MtgPara">
    <w:name w:val="Mtg Para"/>
    <w:rsid w:val="00362E40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2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132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362E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04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132"/>
    <w:rPr>
      <w:rFonts w:cs="Arial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A49B8F02-8ED2-429E-9976-327783E6A832}"/>
</file>

<file path=customXml/itemProps2.xml><?xml version="1.0" encoding="utf-8"?>
<ds:datastoreItem xmlns:ds="http://schemas.openxmlformats.org/officeDocument/2006/customXml" ds:itemID="{8135848E-FEB7-4EEF-8DF7-5D87F5143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AE000-F6D2-4ED1-9A45-751B6E2AC233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1019005c-580f-42ae-adec-ba9490377f66"/>
    <ds:schemaRef ds:uri="http://schemas.microsoft.com/sharepoint/v3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7E6EF9F6.dotm</Template>
  <TotalTime>24</TotalTime>
  <Pages>1</Pages>
  <Words>74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AP2.6 Recipient of Billing Status Codes</vt:lpstr>
    </vt:vector>
  </TitlesOfParts>
  <Company>DLA/DLMSO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AP2.6 Recipient of Billing Status Codes</dc:title>
  <dc:subject/>
  <dc:creator>UMS0092</dc:creator>
  <cp:keywords/>
  <dc:description/>
  <cp:lastModifiedBy>Nguyen, Bao X CTR DLA INFO OPERATIONS (US)</cp:lastModifiedBy>
  <cp:revision>12</cp:revision>
  <cp:lastPrinted>2007-06-12T15:51:00Z</cp:lastPrinted>
  <dcterms:created xsi:type="dcterms:W3CDTF">2012-01-06T22:11:00Z</dcterms:created>
  <dcterms:modified xsi:type="dcterms:W3CDTF">2017-11-02T17:50:00Z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Order">
    <vt:r8>2341800</vt:r8>
  </property>
</Properties>
</file>