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36DCE" w14:textId="77777777" w:rsidR="00293565" w:rsidRPr="009D39CD" w:rsidRDefault="00293565" w:rsidP="006466B0">
      <w:pPr>
        <w:tabs>
          <w:tab w:val="left" w:pos="-1440"/>
        </w:tabs>
        <w:spacing w:after="240"/>
        <w:jc w:val="center"/>
        <w:rPr>
          <w:rFonts w:cs="Arial"/>
          <w:b/>
          <w:sz w:val="44"/>
          <w:szCs w:val="44"/>
          <w:u w:val="single"/>
        </w:rPr>
      </w:pPr>
      <w:r w:rsidRPr="009D39CD">
        <w:rPr>
          <w:rFonts w:cs="Arial"/>
          <w:b/>
          <w:sz w:val="44"/>
          <w:szCs w:val="44"/>
          <w:u w:val="single"/>
        </w:rPr>
        <w:t>AP3. APPENDIX 3</w:t>
      </w:r>
    </w:p>
    <w:p w14:paraId="25F36DCF" w14:textId="00DFF5DB" w:rsidR="00293565" w:rsidRPr="009D39CD" w:rsidRDefault="00A41BC7" w:rsidP="00293565">
      <w:pPr>
        <w:tabs>
          <w:tab w:val="left" w:pos="-1440"/>
        </w:tabs>
        <w:spacing w:after="360"/>
        <w:jc w:val="center"/>
        <w:rPr>
          <w:rFonts w:cs="Arial"/>
          <w:b/>
          <w:sz w:val="36"/>
          <w:szCs w:val="36"/>
          <w:u w:val="single"/>
        </w:rPr>
      </w:pPr>
      <w:r w:rsidRPr="00A41BC7">
        <w:rPr>
          <w:rFonts w:cs="Arial"/>
          <w:b/>
          <w:i/>
          <w:sz w:val="36"/>
          <w:szCs w:val="36"/>
          <w:u w:val="single"/>
        </w:rPr>
        <w:t>MILSBILLS TRANSACTIONS</w:t>
      </w:r>
      <w:bookmarkStart w:id="0" w:name="_GoBack"/>
      <w:bookmarkEnd w:id="0"/>
    </w:p>
    <w:tbl>
      <w:tblPr>
        <w:tblW w:w="10260" w:type="dxa"/>
        <w:jc w:val="center"/>
        <w:tblLayout w:type="fixed"/>
        <w:tblCellMar>
          <w:left w:w="144" w:type="dxa"/>
          <w:right w:w="144" w:type="dxa"/>
        </w:tblCellMar>
        <w:tblLook w:val="0000" w:firstRow="0" w:lastRow="0" w:firstColumn="0" w:lastColumn="0" w:noHBand="0" w:noVBand="0"/>
      </w:tblPr>
      <w:tblGrid>
        <w:gridCol w:w="1530"/>
        <w:gridCol w:w="8730"/>
      </w:tblGrid>
      <w:tr w:rsidR="00A41BC7" w:rsidRPr="006466B0" w14:paraId="2F8A58B4" w14:textId="77777777" w:rsidTr="00925795">
        <w:trPr>
          <w:cantSplit/>
          <w:tblHeader/>
          <w:jc w:val="center"/>
        </w:trPr>
        <w:tc>
          <w:tcPr>
            <w:tcW w:w="10260" w:type="dxa"/>
            <w:gridSpan w:val="2"/>
            <w:tcMar>
              <w:top w:w="72" w:type="dxa"/>
              <w:bottom w:w="72" w:type="dxa"/>
            </w:tcMar>
            <w:vAlign w:val="center"/>
          </w:tcPr>
          <w:p w14:paraId="0B16AB84" w14:textId="0A114F9A" w:rsidR="00A41BC7" w:rsidRPr="00A41BC7" w:rsidRDefault="00A41BC7" w:rsidP="00925795">
            <w:pPr>
              <w:spacing w:after="180"/>
              <w:rPr>
                <w:rFonts w:cs="Arial"/>
                <w:b/>
                <w:i/>
                <w:sz w:val="22"/>
                <w:szCs w:val="22"/>
              </w:rPr>
            </w:pPr>
            <w:r w:rsidRPr="00A41BC7">
              <w:rPr>
                <w:rFonts w:cs="Arial"/>
                <w:b/>
                <w:bCs/>
                <w:i/>
                <w:sz w:val="22"/>
                <w:szCs w:val="22"/>
              </w:rPr>
              <w:t>The authoritative source for MILSBILLS legacy and DLMS transactions is the DLM 4000.25.  All transactions are available</w:t>
            </w:r>
            <w:r w:rsidR="00535FFC">
              <w:rPr>
                <w:rFonts w:cs="Arial"/>
                <w:b/>
                <w:bCs/>
                <w:i/>
                <w:sz w:val="22"/>
                <w:szCs w:val="22"/>
              </w:rPr>
              <w:t xml:space="preserve"> at the DLMS Website on the </w:t>
            </w:r>
            <w:r w:rsidR="00535FFC" w:rsidRPr="00361A4A">
              <w:rPr>
                <w:rFonts w:cs="Arial"/>
                <w:b/>
                <w:bCs/>
                <w:i/>
                <w:sz w:val="22"/>
                <w:szCs w:val="22"/>
              </w:rPr>
              <w:t>DLMS IC page</w:t>
            </w:r>
            <w:r w:rsidR="00535FFC">
              <w:rPr>
                <w:rFonts w:cs="Arial"/>
                <w:b/>
                <w:bCs/>
                <w:i/>
                <w:sz w:val="22"/>
                <w:szCs w:val="22"/>
              </w:rPr>
              <w:t>.</w:t>
            </w:r>
          </w:p>
          <w:p w14:paraId="6B657D71" w14:textId="4FBE2E0B" w:rsidR="00A41BC7" w:rsidRPr="006466B0" w:rsidRDefault="00A41BC7" w:rsidP="00A41BC7">
            <w:pPr>
              <w:spacing w:after="58"/>
              <w:jc w:val="center"/>
              <w:rPr>
                <w:rFonts w:cs="Arial"/>
                <w:sz w:val="22"/>
                <w:szCs w:val="22"/>
              </w:rPr>
            </w:pPr>
            <w:r w:rsidRPr="00A41BC7">
              <w:rPr>
                <w:rFonts w:cs="Arial"/>
                <w:b/>
                <w:i/>
                <w:sz w:val="22"/>
                <w:szCs w:val="22"/>
                <w:u w:val="single"/>
              </w:rPr>
              <w:t>MILSBILLS LEGACY FORMATS</w:t>
            </w:r>
          </w:p>
        </w:tc>
      </w:tr>
      <w:tr w:rsidR="00FF2069" w:rsidRPr="006466B0" w14:paraId="25F36DD2" w14:textId="77777777" w:rsidTr="00925795">
        <w:trPr>
          <w:cantSplit/>
          <w:tblHeader/>
          <w:jc w:val="center"/>
        </w:trPr>
        <w:tc>
          <w:tcPr>
            <w:tcW w:w="1530" w:type="dxa"/>
            <w:tcMar>
              <w:top w:w="72" w:type="dxa"/>
              <w:bottom w:w="72" w:type="dxa"/>
            </w:tcMar>
            <w:vAlign w:val="center"/>
          </w:tcPr>
          <w:p w14:paraId="25F36DD0"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DIC</w:t>
            </w:r>
            <w:r w:rsidR="006466B0" w:rsidRPr="006466B0">
              <w:rPr>
                <w:rFonts w:cs="Arial"/>
                <w:sz w:val="22"/>
                <w:szCs w:val="22"/>
              </w:rPr>
              <w:t xml:space="preserve"> </w:t>
            </w:r>
          </w:p>
        </w:tc>
        <w:tc>
          <w:tcPr>
            <w:tcW w:w="8730" w:type="dxa"/>
            <w:tcMar>
              <w:top w:w="72" w:type="dxa"/>
              <w:bottom w:w="72" w:type="dxa"/>
            </w:tcMar>
            <w:vAlign w:val="center"/>
          </w:tcPr>
          <w:p w14:paraId="25F36DD1" w14:textId="77777777" w:rsidR="00FF2069" w:rsidRPr="006466B0" w:rsidRDefault="00FF2069" w:rsidP="00925795">
            <w:pPr>
              <w:rPr>
                <w:rFonts w:cs="Arial"/>
                <w:sz w:val="22"/>
                <w:szCs w:val="22"/>
              </w:rPr>
            </w:pPr>
            <w:r w:rsidRPr="006466B0">
              <w:rPr>
                <w:rFonts w:cs="Arial"/>
                <w:sz w:val="22"/>
                <w:szCs w:val="22"/>
              </w:rPr>
              <w:t>TITLE</w:t>
            </w:r>
          </w:p>
        </w:tc>
      </w:tr>
      <w:tr w:rsidR="00FF2069" w:rsidRPr="006466B0" w14:paraId="25F36DD8" w14:textId="77777777" w:rsidTr="00925795">
        <w:trPr>
          <w:cantSplit/>
          <w:jc w:val="center"/>
        </w:trPr>
        <w:tc>
          <w:tcPr>
            <w:tcW w:w="1530" w:type="dxa"/>
            <w:tcMar>
              <w:top w:w="72" w:type="dxa"/>
              <w:bottom w:w="72" w:type="dxa"/>
            </w:tcMar>
          </w:tcPr>
          <w:p w14:paraId="25F36DD3"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FAE</w:t>
            </w:r>
          </w:p>
          <w:p w14:paraId="25F36DD4"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FAF</w:t>
            </w:r>
          </w:p>
        </w:tc>
        <w:tc>
          <w:tcPr>
            <w:tcW w:w="8730" w:type="dxa"/>
            <w:tcMar>
              <w:top w:w="72" w:type="dxa"/>
              <w:bottom w:w="72" w:type="dxa"/>
            </w:tcMar>
          </w:tcPr>
          <w:p w14:paraId="25F36DD5" w14:textId="77777777" w:rsidR="00FF2069" w:rsidRPr="006466B0" w:rsidRDefault="00FF2069" w:rsidP="00925795">
            <w:pPr>
              <w:rPr>
                <w:rFonts w:cs="Arial"/>
                <w:sz w:val="22"/>
                <w:szCs w:val="22"/>
              </w:rPr>
            </w:pPr>
            <w:r w:rsidRPr="006466B0">
              <w:rPr>
                <w:rFonts w:cs="Arial"/>
                <w:sz w:val="22"/>
                <w:szCs w:val="22"/>
              </w:rPr>
              <w:t>Request for Adjustment of Non-Fuel Billing</w:t>
            </w:r>
          </w:p>
          <w:p w14:paraId="25F36DD7" w14:textId="49D7F1CF" w:rsidR="00FF2069" w:rsidRPr="006466B0" w:rsidRDefault="00FF2069" w:rsidP="00925795">
            <w:pPr>
              <w:rPr>
                <w:rFonts w:cs="Arial"/>
                <w:sz w:val="22"/>
                <w:szCs w:val="22"/>
              </w:rPr>
            </w:pPr>
            <w:r w:rsidRPr="006466B0">
              <w:rPr>
                <w:rFonts w:cs="Arial"/>
                <w:sz w:val="22"/>
                <w:szCs w:val="22"/>
              </w:rPr>
              <w:t>Follow-up on Request for Adjustment of Non-Fuel Billing</w:t>
            </w:r>
          </w:p>
        </w:tc>
      </w:tr>
      <w:tr w:rsidR="00FF2069" w:rsidRPr="006466B0" w14:paraId="25F36DDE" w14:textId="77777777" w:rsidTr="00925795">
        <w:trPr>
          <w:cantSplit/>
          <w:jc w:val="center"/>
        </w:trPr>
        <w:tc>
          <w:tcPr>
            <w:tcW w:w="1530" w:type="dxa"/>
            <w:tcMar>
              <w:top w:w="72" w:type="dxa"/>
              <w:bottom w:w="72" w:type="dxa"/>
            </w:tcMar>
          </w:tcPr>
          <w:p w14:paraId="25F36DD9"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FAR</w:t>
            </w:r>
          </w:p>
          <w:p w14:paraId="25F36DDA"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FAS</w:t>
            </w:r>
          </w:p>
        </w:tc>
        <w:tc>
          <w:tcPr>
            <w:tcW w:w="8730" w:type="dxa"/>
            <w:tcMar>
              <w:top w:w="72" w:type="dxa"/>
              <w:bottom w:w="72" w:type="dxa"/>
            </w:tcMar>
          </w:tcPr>
          <w:p w14:paraId="25F36DDB" w14:textId="77777777" w:rsidR="00FF2069" w:rsidRPr="006466B0" w:rsidRDefault="00FF2069" w:rsidP="00925795">
            <w:pPr>
              <w:rPr>
                <w:rFonts w:cs="Arial"/>
                <w:sz w:val="22"/>
                <w:szCs w:val="22"/>
              </w:rPr>
            </w:pPr>
            <w:r w:rsidRPr="006466B0">
              <w:rPr>
                <w:rFonts w:cs="Arial"/>
                <w:sz w:val="22"/>
                <w:szCs w:val="22"/>
              </w:rPr>
              <w:t>Reply to Request for Adjustment of Non-Fuel Billing</w:t>
            </w:r>
          </w:p>
          <w:p w14:paraId="25F36DDD" w14:textId="2D536509" w:rsidR="00FF2069" w:rsidRPr="006466B0" w:rsidRDefault="00FF2069" w:rsidP="00925795">
            <w:pPr>
              <w:rPr>
                <w:rFonts w:cs="Arial"/>
                <w:sz w:val="22"/>
                <w:szCs w:val="22"/>
              </w:rPr>
            </w:pPr>
            <w:r w:rsidRPr="006466B0">
              <w:rPr>
                <w:rFonts w:cs="Arial"/>
                <w:sz w:val="22"/>
                <w:szCs w:val="22"/>
              </w:rPr>
              <w:t>Response to Follow-up on Request for Adjustment of Non-Fuel Billing</w:t>
            </w:r>
          </w:p>
        </w:tc>
      </w:tr>
      <w:tr w:rsidR="00FF2069" w:rsidRPr="006466B0" w14:paraId="25F36DE4" w14:textId="77777777" w:rsidTr="00925795">
        <w:trPr>
          <w:cantSplit/>
          <w:jc w:val="center"/>
        </w:trPr>
        <w:tc>
          <w:tcPr>
            <w:tcW w:w="1530" w:type="dxa"/>
            <w:tcMar>
              <w:top w:w="72" w:type="dxa"/>
              <w:bottom w:w="72" w:type="dxa"/>
            </w:tcMar>
          </w:tcPr>
          <w:p w14:paraId="25F36DDF"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FA1, GA1</w:t>
            </w:r>
          </w:p>
          <w:p w14:paraId="25F36DE0"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FA2, GA2</w:t>
            </w:r>
          </w:p>
        </w:tc>
        <w:tc>
          <w:tcPr>
            <w:tcW w:w="8730" w:type="dxa"/>
            <w:tcMar>
              <w:top w:w="72" w:type="dxa"/>
              <w:bottom w:w="72" w:type="dxa"/>
            </w:tcMar>
          </w:tcPr>
          <w:p w14:paraId="25F36DE1" w14:textId="77777777" w:rsidR="00FF2069" w:rsidRPr="006466B0" w:rsidRDefault="00FF2069" w:rsidP="00925795">
            <w:pPr>
              <w:rPr>
                <w:rFonts w:cs="Arial"/>
                <w:sz w:val="22"/>
                <w:szCs w:val="22"/>
              </w:rPr>
            </w:pPr>
            <w:r w:rsidRPr="006466B0">
              <w:rPr>
                <w:rFonts w:cs="Arial"/>
                <w:sz w:val="22"/>
                <w:szCs w:val="22"/>
              </w:rPr>
              <w:t>Billing for Issue from Stock (Charge)</w:t>
            </w:r>
          </w:p>
          <w:p w14:paraId="25F36DE3" w14:textId="7357D45F" w:rsidR="00FF2069" w:rsidRPr="006466B0" w:rsidRDefault="00FF2069" w:rsidP="00925795">
            <w:pPr>
              <w:rPr>
                <w:rFonts w:cs="Arial"/>
                <w:sz w:val="22"/>
                <w:szCs w:val="22"/>
              </w:rPr>
            </w:pPr>
            <w:r w:rsidRPr="006466B0">
              <w:rPr>
                <w:rFonts w:cs="Arial"/>
                <w:sz w:val="22"/>
                <w:szCs w:val="22"/>
              </w:rPr>
              <w:t>Billing for Issue from Stock (Credit)</w:t>
            </w:r>
          </w:p>
        </w:tc>
      </w:tr>
      <w:tr w:rsidR="00FF2069" w:rsidRPr="006466B0" w14:paraId="25F36DEA" w14:textId="77777777" w:rsidTr="00925795">
        <w:trPr>
          <w:cantSplit/>
          <w:jc w:val="center"/>
        </w:trPr>
        <w:tc>
          <w:tcPr>
            <w:tcW w:w="1530" w:type="dxa"/>
            <w:tcMar>
              <w:top w:w="72" w:type="dxa"/>
              <w:bottom w:w="72" w:type="dxa"/>
            </w:tcMar>
          </w:tcPr>
          <w:p w14:paraId="25F36DE5"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FB1, GB1</w:t>
            </w:r>
          </w:p>
          <w:p w14:paraId="25F36DE6"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FB2, GB2</w:t>
            </w:r>
          </w:p>
        </w:tc>
        <w:tc>
          <w:tcPr>
            <w:tcW w:w="8730" w:type="dxa"/>
            <w:tcMar>
              <w:top w:w="72" w:type="dxa"/>
              <w:bottom w:w="72" w:type="dxa"/>
            </w:tcMar>
          </w:tcPr>
          <w:p w14:paraId="25F36DE7" w14:textId="63A3211D" w:rsidR="00FF2069" w:rsidRPr="006466B0" w:rsidRDefault="00FF2069" w:rsidP="00925795">
            <w:pPr>
              <w:rPr>
                <w:rFonts w:cs="Arial"/>
                <w:sz w:val="22"/>
                <w:szCs w:val="22"/>
              </w:rPr>
            </w:pPr>
            <w:r w:rsidRPr="006466B0">
              <w:rPr>
                <w:rFonts w:cs="Arial"/>
                <w:sz w:val="22"/>
                <w:szCs w:val="22"/>
              </w:rPr>
              <w:t xml:space="preserve">Billing for Direct Delivery of Stocked Items </w:t>
            </w:r>
            <w:r w:rsidR="00532957">
              <w:rPr>
                <w:rFonts w:cs="Arial"/>
                <w:sz w:val="22"/>
                <w:szCs w:val="22"/>
              </w:rPr>
              <w:t>(</w:t>
            </w:r>
            <w:r w:rsidRPr="006466B0">
              <w:rPr>
                <w:rFonts w:cs="Arial"/>
                <w:sz w:val="22"/>
                <w:szCs w:val="22"/>
              </w:rPr>
              <w:t>Charge)</w:t>
            </w:r>
          </w:p>
          <w:p w14:paraId="25F36DE9" w14:textId="11135292" w:rsidR="00FF2069" w:rsidRPr="006466B0" w:rsidRDefault="00FF2069" w:rsidP="00925795">
            <w:pPr>
              <w:rPr>
                <w:rFonts w:cs="Arial"/>
                <w:sz w:val="22"/>
                <w:szCs w:val="22"/>
              </w:rPr>
            </w:pPr>
            <w:r w:rsidRPr="006466B0">
              <w:rPr>
                <w:rFonts w:cs="Arial"/>
                <w:sz w:val="22"/>
                <w:szCs w:val="22"/>
              </w:rPr>
              <w:t>Billing for Direct Delivery of Stocked Items (Credit)</w:t>
            </w:r>
          </w:p>
        </w:tc>
      </w:tr>
      <w:tr w:rsidR="00FF2069" w:rsidRPr="006466B0" w14:paraId="25F36DFC" w14:textId="77777777" w:rsidTr="00925795">
        <w:trPr>
          <w:cantSplit/>
          <w:jc w:val="center"/>
        </w:trPr>
        <w:tc>
          <w:tcPr>
            <w:tcW w:w="1530" w:type="dxa"/>
            <w:tcMar>
              <w:top w:w="72" w:type="dxa"/>
              <w:bottom w:w="72" w:type="dxa"/>
            </w:tcMar>
          </w:tcPr>
          <w:p w14:paraId="25F36DF7"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FC1, GC1</w:t>
            </w:r>
          </w:p>
          <w:p w14:paraId="25F36DF8"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FC2, GC2</w:t>
            </w:r>
          </w:p>
        </w:tc>
        <w:tc>
          <w:tcPr>
            <w:tcW w:w="8730" w:type="dxa"/>
            <w:tcMar>
              <w:top w:w="72" w:type="dxa"/>
              <w:bottom w:w="72" w:type="dxa"/>
            </w:tcMar>
          </w:tcPr>
          <w:p w14:paraId="25F36DF9" w14:textId="77777777" w:rsidR="00FF2069" w:rsidRPr="006466B0" w:rsidRDefault="00FF2069" w:rsidP="00925795">
            <w:pPr>
              <w:rPr>
                <w:rFonts w:cs="Arial"/>
                <w:sz w:val="22"/>
                <w:szCs w:val="22"/>
              </w:rPr>
            </w:pPr>
            <w:r w:rsidRPr="006466B0">
              <w:rPr>
                <w:rFonts w:cs="Arial"/>
                <w:sz w:val="22"/>
                <w:szCs w:val="22"/>
              </w:rPr>
              <w:t>Billing for Decentralized, Noncatalogued, and Nonstocked Items (Charge)</w:t>
            </w:r>
          </w:p>
          <w:p w14:paraId="25F36DFB" w14:textId="600092F9" w:rsidR="00FF2069" w:rsidRPr="006466B0" w:rsidRDefault="00FF2069" w:rsidP="00925795">
            <w:pPr>
              <w:rPr>
                <w:rFonts w:cs="Arial"/>
                <w:sz w:val="22"/>
                <w:szCs w:val="22"/>
              </w:rPr>
            </w:pPr>
            <w:r w:rsidRPr="006466B0">
              <w:rPr>
                <w:rFonts w:cs="Arial"/>
                <w:sz w:val="22"/>
                <w:szCs w:val="22"/>
              </w:rPr>
              <w:t>Billing for Decentralized, Noncatalogued, and Nonstocked Items (Credit)</w:t>
            </w:r>
          </w:p>
        </w:tc>
      </w:tr>
      <w:tr w:rsidR="00FF2069" w:rsidRPr="006466B0" w14:paraId="25F36E02" w14:textId="77777777" w:rsidTr="00925795">
        <w:trPr>
          <w:cantSplit/>
          <w:trHeight w:val="140"/>
          <w:jc w:val="center"/>
        </w:trPr>
        <w:tc>
          <w:tcPr>
            <w:tcW w:w="1530" w:type="dxa"/>
            <w:tcMar>
              <w:top w:w="72" w:type="dxa"/>
              <w:bottom w:w="72" w:type="dxa"/>
            </w:tcMar>
          </w:tcPr>
          <w:p w14:paraId="25F36DFD"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FDE</w:t>
            </w:r>
          </w:p>
          <w:p w14:paraId="25F36DFE"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FDF</w:t>
            </w:r>
          </w:p>
        </w:tc>
        <w:tc>
          <w:tcPr>
            <w:tcW w:w="8730" w:type="dxa"/>
            <w:tcMar>
              <w:top w:w="72" w:type="dxa"/>
              <w:bottom w:w="72" w:type="dxa"/>
            </w:tcMar>
          </w:tcPr>
          <w:p w14:paraId="25F36DFF" w14:textId="77777777" w:rsidR="00FF2069" w:rsidRPr="006466B0" w:rsidRDefault="00FF2069" w:rsidP="00925795">
            <w:pPr>
              <w:rPr>
                <w:rFonts w:cs="Arial"/>
                <w:sz w:val="22"/>
                <w:szCs w:val="22"/>
              </w:rPr>
            </w:pPr>
            <w:r w:rsidRPr="006466B0">
              <w:rPr>
                <w:rFonts w:cs="Arial"/>
                <w:sz w:val="22"/>
                <w:szCs w:val="22"/>
              </w:rPr>
              <w:t>Request for Summary Level Billing Adjustment</w:t>
            </w:r>
          </w:p>
          <w:p w14:paraId="25F36E01" w14:textId="7FC997B3" w:rsidR="00FF2069" w:rsidRPr="006466B0" w:rsidRDefault="00FF2069" w:rsidP="00925795">
            <w:pPr>
              <w:rPr>
                <w:rFonts w:cs="Arial"/>
                <w:sz w:val="22"/>
                <w:szCs w:val="22"/>
              </w:rPr>
            </w:pPr>
            <w:r w:rsidRPr="006466B0">
              <w:rPr>
                <w:rFonts w:cs="Arial"/>
                <w:sz w:val="22"/>
                <w:szCs w:val="22"/>
              </w:rPr>
              <w:t>Follow-up on Request for Summary Level Billing Adjustment</w:t>
            </w:r>
          </w:p>
        </w:tc>
      </w:tr>
      <w:tr w:rsidR="00FF2069" w:rsidRPr="006466B0" w14:paraId="25F36E08" w14:textId="77777777" w:rsidTr="00925795">
        <w:trPr>
          <w:cantSplit/>
          <w:trHeight w:val="140"/>
          <w:jc w:val="center"/>
        </w:trPr>
        <w:tc>
          <w:tcPr>
            <w:tcW w:w="1530" w:type="dxa"/>
            <w:tcMar>
              <w:top w:w="72" w:type="dxa"/>
              <w:bottom w:w="72" w:type="dxa"/>
            </w:tcMar>
          </w:tcPr>
          <w:p w14:paraId="25F36E03"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FDR</w:t>
            </w:r>
          </w:p>
          <w:p w14:paraId="25F36E04"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FDS</w:t>
            </w:r>
          </w:p>
        </w:tc>
        <w:tc>
          <w:tcPr>
            <w:tcW w:w="8730" w:type="dxa"/>
            <w:tcMar>
              <w:top w:w="72" w:type="dxa"/>
              <w:bottom w:w="72" w:type="dxa"/>
            </w:tcMar>
          </w:tcPr>
          <w:p w14:paraId="25F36E05" w14:textId="77777777" w:rsidR="00FF2069" w:rsidRPr="006466B0" w:rsidRDefault="00FF2069" w:rsidP="00925795">
            <w:pPr>
              <w:rPr>
                <w:rFonts w:cs="Arial"/>
                <w:sz w:val="22"/>
                <w:szCs w:val="22"/>
              </w:rPr>
            </w:pPr>
            <w:r w:rsidRPr="006466B0">
              <w:rPr>
                <w:rFonts w:cs="Arial"/>
                <w:sz w:val="22"/>
                <w:szCs w:val="22"/>
              </w:rPr>
              <w:t>Reply to Request for Summary Level Billing Adjustment</w:t>
            </w:r>
          </w:p>
          <w:p w14:paraId="25F36E07" w14:textId="1800566F" w:rsidR="00FF2069" w:rsidRPr="006466B0" w:rsidRDefault="00FF2069" w:rsidP="00925795">
            <w:pPr>
              <w:rPr>
                <w:rFonts w:cs="Arial"/>
                <w:sz w:val="22"/>
                <w:szCs w:val="22"/>
              </w:rPr>
            </w:pPr>
            <w:r w:rsidRPr="006466B0">
              <w:rPr>
                <w:rFonts w:cs="Arial"/>
                <w:sz w:val="22"/>
                <w:szCs w:val="22"/>
              </w:rPr>
              <w:t>Response to Follow-up on Request for Summary Level Billing Adjustment</w:t>
            </w:r>
          </w:p>
        </w:tc>
      </w:tr>
      <w:tr w:rsidR="00FF2069" w:rsidRPr="006466B0" w14:paraId="25F36E0E" w14:textId="77777777" w:rsidTr="00925795">
        <w:trPr>
          <w:cantSplit/>
          <w:trHeight w:val="140"/>
          <w:jc w:val="center"/>
        </w:trPr>
        <w:tc>
          <w:tcPr>
            <w:tcW w:w="1530" w:type="dxa"/>
            <w:tcMar>
              <w:top w:w="72" w:type="dxa"/>
              <w:bottom w:w="72" w:type="dxa"/>
            </w:tcMar>
          </w:tcPr>
          <w:p w14:paraId="25F36E09"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FD1, GD1</w:t>
            </w:r>
          </w:p>
          <w:p w14:paraId="25F36E0A"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FD2, GD2</w:t>
            </w:r>
          </w:p>
        </w:tc>
        <w:tc>
          <w:tcPr>
            <w:tcW w:w="8730" w:type="dxa"/>
            <w:tcMar>
              <w:top w:w="72" w:type="dxa"/>
              <w:bottom w:w="72" w:type="dxa"/>
            </w:tcMar>
          </w:tcPr>
          <w:p w14:paraId="25F36E0B" w14:textId="77777777" w:rsidR="00FF2069" w:rsidRPr="006466B0" w:rsidRDefault="00FF2069" w:rsidP="00925795">
            <w:pPr>
              <w:rPr>
                <w:rFonts w:cs="Arial"/>
                <w:sz w:val="22"/>
                <w:szCs w:val="22"/>
              </w:rPr>
            </w:pPr>
            <w:r w:rsidRPr="006466B0">
              <w:rPr>
                <w:rFonts w:cs="Arial"/>
                <w:sz w:val="22"/>
                <w:szCs w:val="22"/>
              </w:rPr>
              <w:t>Credit for Excess Materiel Return (Reversal)</w:t>
            </w:r>
          </w:p>
          <w:p w14:paraId="25F36E0D" w14:textId="54AE9743" w:rsidR="0034159B" w:rsidRPr="006466B0" w:rsidRDefault="00D6370E" w:rsidP="00925795">
            <w:pPr>
              <w:rPr>
                <w:rFonts w:cs="Arial"/>
                <w:sz w:val="22"/>
                <w:szCs w:val="22"/>
              </w:rPr>
            </w:pPr>
            <w:r>
              <w:rPr>
                <w:rFonts w:cs="Arial"/>
                <w:sz w:val="22"/>
                <w:szCs w:val="22"/>
              </w:rPr>
              <w:t>Credit for Excess M</w:t>
            </w:r>
            <w:r w:rsidR="00FF2069" w:rsidRPr="006466B0">
              <w:rPr>
                <w:rFonts w:cs="Arial"/>
                <w:sz w:val="22"/>
                <w:szCs w:val="22"/>
              </w:rPr>
              <w:t>ateriel Return (No Charge)</w:t>
            </w:r>
          </w:p>
        </w:tc>
      </w:tr>
      <w:tr w:rsidR="00FF2069" w:rsidRPr="006466B0" w14:paraId="25F36E14" w14:textId="77777777" w:rsidTr="00925795">
        <w:trPr>
          <w:cantSplit/>
          <w:trHeight w:val="140"/>
          <w:jc w:val="center"/>
        </w:trPr>
        <w:tc>
          <w:tcPr>
            <w:tcW w:w="1530" w:type="dxa"/>
            <w:tcMar>
              <w:top w:w="72" w:type="dxa"/>
              <w:bottom w:w="72" w:type="dxa"/>
            </w:tcMar>
          </w:tcPr>
          <w:p w14:paraId="25F36E0F" w14:textId="77777777" w:rsidR="00FF2069" w:rsidRPr="006466B0" w:rsidRDefault="00FF2069" w:rsidP="00925795">
            <w:pPr>
              <w:rPr>
                <w:rFonts w:cs="Arial"/>
                <w:sz w:val="22"/>
                <w:szCs w:val="22"/>
              </w:rPr>
            </w:pPr>
            <w:r w:rsidRPr="006466B0">
              <w:rPr>
                <w:rFonts w:cs="Arial"/>
                <w:sz w:val="22"/>
                <w:szCs w:val="22"/>
              </w:rPr>
              <w:t>FE3, GE3</w:t>
            </w:r>
          </w:p>
          <w:p w14:paraId="25F36E10" w14:textId="77777777" w:rsidR="00FF2069" w:rsidRPr="006466B0" w:rsidRDefault="00FF2069" w:rsidP="00925795">
            <w:pPr>
              <w:rPr>
                <w:rFonts w:cs="Arial"/>
                <w:sz w:val="22"/>
                <w:szCs w:val="22"/>
              </w:rPr>
            </w:pPr>
            <w:r w:rsidRPr="006466B0">
              <w:rPr>
                <w:rFonts w:cs="Arial"/>
                <w:sz w:val="22"/>
                <w:szCs w:val="22"/>
              </w:rPr>
              <w:t>FE4, GE4</w:t>
            </w:r>
          </w:p>
        </w:tc>
        <w:tc>
          <w:tcPr>
            <w:tcW w:w="8730" w:type="dxa"/>
            <w:tcMar>
              <w:top w:w="72" w:type="dxa"/>
              <w:bottom w:w="72" w:type="dxa"/>
            </w:tcMar>
          </w:tcPr>
          <w:p w14:paraId="25F36E11" w14:textId="77777777" w:rsidR="00FF2069" w:rsidRPr="006466B0" w:rsidRDefault="00FF2069" w:rsidP="00925795">
            <w:pPr>
              <w:rPr>
                <w:rFonts w:cs="Arial"/>
                <w:sz w:val="22"/>
                <w:szCs w:val="22"/>
              </w:rPr>
            </w:pPr>
            <w:r w:rsidRPr="006466B0">
              <w:rPr>
                <w:rFonts w:cs="Arial"/>
                <w:sz w:val="22"/>
                <w:szCs w:val="22"/>
              </w:rPr>
              <w:t>Notice of Nonreimbursable Issue</w:t>
            </w:r>
          </w:p>
          <w:p w14:paraId="25F36E13" w14:textId="3359D2FF" w:rsidR="0034159B" w:rsidRPr="006466B0" w:rsidRDefault="00FF2069" w:rsidP="00925795">
            <w:pPr>
              <w:rPr>
                <w:rFonts w:cs="Arial"/>
                <w:sz w:val="22"/>
                <w:szCs w:val="22"/>
              </w:rPr>
            </w:pPr>
            <w:r w:rsidRPr="006466B0">
              <w:rPr>
                <w:rFonts w:cs="Arial"/>
                <w:sz w:val="22"/>
                <w:szCs w:val="22"/>
              </w:rPr>
              <w:t xml:space="preserve">Notice of </w:t>
            </w:r>
            <w:r w:rsidR="00532957">
              <w:rPr>
                <w:rFonts w:cs="Arial"/>
                <w:sz w:val="22"/>
                <w:szCs w:val="22"/>
              </w:rPr>
              <w:t>Nonreimbursable issue (R</w:t>
            </w:r>
            <w:r w:rsidRPr="006466B0">
              <w:rPr>
                <w:rFonts w:cs="Arial"/>
                <w:sz w:val="22"/>
                <w:szCs w:val="22"/>
              </w:rPr>
              <w:t>eversal)</w:t>
            </w:r>
          </w:p>
        </w:tc>
      </w:tr>
      <w:tr w:rsidR="00FF2069" w:rsidRPr="006466B0" w14:paraId="25F36E1A" w14:textId="77777777" w:rsidTr="00925795">
        <w:trPr>
          <w:cantSplit/>
          <w:trHeight w:val="140"/>
          <w:jc w:val="center"/>
        </w:trPr>
        <w:tc>
          <w:tcPr>
            <w:tcW w:w="1530" w:type="dxa"/>
            <w:tcMar>
              <w:top w:w="72" w:type="dxa"/>
              <w:bottom w:w="72" w:type="dxa"/>
            </w:tcMar>
          </w:tcPr>
          <w:p w14:paraId="25F36E15" w14:textId="77777777" w:rsidR="00FF2069" w:rsidRPr="006466B0" w:rsidRDefault="00FF2069" w:rsidP="00925795">
            <w:pPr>
              <w:rPr>
                <w:rFonts w:cs="Arial"/>
                <w:sz w:val="22"/>
                <w:szCs w:val="22"/>
              </w:rPr>
            </w:pPr>
            <w:r w:rsidRPr="006466B0">
              <w:rPr>
                <w:rFonts w:cs="Arial"/>
                <w:sz w:val="22"/>
                <w:szCs w:val="22"/>
              </w:rPr>
              <w:t>FF1, GF1</w:t>
            </w:r>
          </w:p>
          <w:p w14:paraId="25F36E16" w14:textId="77777777" w:rsidR="00FF2069" w:rsidRPr="006466B0" w:rsidRDefault="00FF2069" w:rsidP="00925795">
            <w:pPr>
              <w:rPr>
                <w:rFonts w:cs="Arial"/>
                <w:sz w:val="22"/>
                <w:szCs w:val="22"/>
              </w:rPr>
            </w:pPr>
            <w:r w:rsidRPr="006466B0">
              <w:rPr>
                <w:rFonts w:cs="Arial"/>
                <w:sz w:val="22"/>
                <w:szCs w:val="22"/>
              </w:rPr>
              <w:t>FF2, GF2</w:t>
            </w:r>
          </w:p>
        </w:tc>
        <w:tc>
          <w:tcPr>
            <w:tcW w:w="8730" w:type="dxa"/>
            <w:tcMar>
              <w:top w:w="72" w:type="dxa"/>
              <w:bottom w:w="72" w:type="dxa"/>
            </w:tcMar>
          </w:tcPr>
          <w:p w14:paraId="25F36E17" w14:textId="77777777" w:rsidR="00FF2069" w:rsidRPr="006466B0" w:rsidRDefault="00FF2069" w:rsidP="00925795">
            <w:pPr>
              <w:rPr>
                <w:rFonts w:cs="Arial"/>
                <w:sz w:val="22"/>
                <w:szCs w:val="22"/>
              </w:rPr>
            </w:pPr>
            <w:r w:rsidRPr="006466B0">
              <w:rPr>
                <w:rFonts w:cs="Arial"/>
                <w:sz w:val="22"/>
                <w:szCs w:val="22"/>
              </w:rPr>
              <w:t>Billing for DoD Dependent School Supplies (Charge)</w:t>
            </w:r>
          </w:p>
          <w:p w14:paraId="25F36E19" w14:textId="36ECBEA0" w:rsidR="0034159B" w:rsidRPr="006466B0" w:rsidRDefault="00FF2069" w:rsidP="00925795">
            <w:pPr>
              <w:rPr>
                <w:rFonts w:cs="Arial"/>
                <w:sz w:val="22"/>
                <w:szCs w:val="22"/>
              </w:rPr>
            </w:pPr>
            <w:r w:rsidRPr="006466B0">
              <w:rPr>
                <w:rFonts w:cs="Arial"/>
                <w:sz w:val="22"/>
                <w:szCs w:val="22"/>
              </w:rPr>
              <w:t>Billing for DoD Dependent School Supplies (Credit)</w:t>
            </w:r>
          </w:p>
        </w:tc>
      </w:tr>
      <w:tr w:rsidR="00FF2069" w:rsidRPr="006466B0" w14:paraId="25F36E20" w14:textId="77777777" w:rsidTr="00925795">
        <w:trPr>
          <w:cantSplit/>
          <w:trHeight w:val="140"/>
          <w:jc w:val="center"/>
        </w:trPr>
        <w:tc>
          <w:tcPr>
            <w:tcW w:w="1530" w:type="dxa"/>
            <w:tcMar>
              <w:top w:w="72" w:type="dxa"/>
              <w:bottom w:w="72" w:type="dxa"/>
            </w:tcMar>
          </w:tcPr>
          <w:p w14:paraId="25F36E1B" w14:textId="77777777" w:rsidR="00FF2069" w:rsidRPr="006466B0" w:rsidRDefault="00FF2069" w:rsidP="00925795">
            <w:pPr>
              <w:rPr>
                <w:rFonts w:cs="Arial"/>
                <w:sz w:val="22"/>
                <w:szCs w:val="22"/>
              </w:rPr>
            </w:pPr>
            <w:r w:rsidRPr="006466B0">
              <w:rPr>
                <w:rFonts w:cs="Arial"/>
                <w:sz w:val="22"/>
                <w:szCs w:val="22"/>
              </w:rPr>
              <w:t>FG1, GG1</w:t>
            </w:r>
          </w:p>
          <w:p w14:paraId="25F36E1C" w14:textId="77777777" w:rsidR="00FF2069" w:rsidRPr="006466B0" w:rsidRDefault="00FF2069" w:rsidP="00925795">
            <w:pPr>
              <w:rPr>
                <w:rFonts w:cs="Arial"/>
                <w:sz w:val="22"/>
                <w:szCs w:val="22"/>
              </w:rPr>
            </w:pPr>
            <w:r w:rsidRPr="006466B0">
              <w:rPr>
                <w:rFonts w:cs="Arial"/>
                <w:sz w:val="22"/>
                <w:szCs w:val="22"/>
              </w:rPr>
              <w:t>FG2, GG2</w:t>
            </w:r>
          </w:p>
        </w:tc>
        <w:tc>
          <w:tcPr>
            <w:tcW w:w="8730" w:type="dxa"/>
            <w:tcMar>
              <w:top w:w="72" w:type="dxa"/>
              <w:bottom w:w="72" w:type="dxa"/>
            </w:tcMar>
          </w:tcPr>
          <w:p w14:paraId="25F36E1D" w14:textId="77777777" w:rsidR="00FF2069" w:rsidRPr="006466B0" w:rsidRDefault="00FF2069" w:rsidP="00925795">
            <w:pPr>
              <w:rPr>
                <w:rFonts w:cs="Arial"/>
                <w:sz w:val="22"/>
                <w:szCs w:val="22"/>
              </w:rPr>
            </w:pPr>
            <w:r w:rsidRPr="006466B0">
              <w:rPr>
                <w:rFonts w:cs="Arial"/>
                <w:sz w:val="22"/>
                <w:szCs w:val="22"/>
              </w:rPr>
              <w:t>GSA Customer Supply Center Billing (Charge)</w:t>
            </w:r>
          </w:p>
          <w:p w14:paraId="25F36E1F" w14:textId="0B7B3301" w:rsidR="0034159B" w:rsidRPr="006466B0" w:rsidRDefault="00FF2069" w:rsidP="00925795">
            <w:pPr>
              <w:rPr>
                <w:rFonts w:cs="Arial"/>
                <w:sz w:val="22"/>
                <w:szCs w:val="22"/>
              </w:rPr>
            </w:pPr>
            <w:r w:rsidRPr="006466B0">
              <w:rPr>
                <w:rFonts w:cs="Arial"/>
                <w:sz w:val="22"/>
                <w:szCs w:val="22"/>
              </w:rPr>
              <w:t>GSA Customer Supply Center Billing (Credit)</w:t>
            </w:r>
          </w:p>
        </w:tc>
      </w:tr>
      <w:tr w:rsidR="00FF2069" w:rsidRPr="006466B0" w14:paraId="25F36E26" w14:textId="77777777" w:rsidTr="00925795">
        <w:trPr>
          <w:cantSplit/>
          <w:trHeight w:val="140"/>
          <w:jc w:val="center"/>
        </w:trPr>
        <w:tc>
          <w:tcPr>
            <w:tcW w:w="1530" w:type="dxa"/>
            <w:tcMar>
              <w:top w:w="72" w:type="dxa"/>
              <w:bottom w:w="72" w:type="dxa"/>
            </w:tcMar>
          </w:tcPr>
          <w:p w14:paraId="25F36E21" w14:textId="77777777" w:rsidR="00FF2069" w:rsidRPr="006466B0" w:rsidRDefault="00FF2069" w:rsidP="00925795">
            <w:pPr>
              <w:rPr>
                <w:rFonts w:cs="Arial"/>
                <w:sz w:val="22"/>
                <w:szCs w:val="22"/>
              </w:rPr>
            </w:pPr>
            <w:r w:rsidRPr="006466B0">
              <w:rPr>
                <w:rFonts w:cs="Arial"/>
                <w:sz w:val="22"/>
                <w:szCs w:val="22"/>
              </w:rPr>
              <w:t>FJE</w:t>
            </w:r>
          </w:p>
          <w:p w14:paraId="25F36E22" w14:textId="77777777" w:rsidR="00FF2069" w:rsidRPr="006466B0" w:rsidRDefault="00FF2069" w:rsidP="00925795">
            <w:pPr>
              <w:rPr>
                <w:rFonts w:cs="Arial"/>
                <w:sz w:val="22"/>
                <w:szCs w:val="22"/>
              </w:rPr>
            </w:pPr>
            <w:r w:rsidRPr="006466B0">
              <w:rPr>
                <w:rFonts w:cs="Arial"/>
                <w:sz w:val="22"/>
                <w:szCs w:val="22"/>
              </w:rPr>
              <w:t>FJF</w:t>
            </w:r>
          </w:p>
        </w:tc>
        <w:tc>
          <w:tcPr>
            <w:tcW w:w="8730" w:type="dxa"/>
            <w:tcMar>
              <w:top w:w="72" w:type="dxa"/>
              <w:bottom w:w="72" w:type="dxa"/>
            </w:tcMar>
          </w:tcPr>
          <w:p w14:paraId="25F36E23" w14:textId="77777777" w:rsidR="00FF2069" w:rsidRPr="006466B0" w:rsidRDefault="00FF2069" w:rsidP="00925795">
            <w:pPr>
              <w:rPr>
                <w:rFonts w:cs="Arial"/>
                <w:sz w:val="22"/>
                <w:szCs w:val="22"/>
              </w:rPr>
            </w:pPr>
            <w:r w:rsidRPr="006466B0">
              <w:rPr>
                <w:rFonts w:cs="Arial"/>
                <w:sz w:val="22"/>
                <w:szCs w:val="22"/>
              </w:rPr>
              <w:t>Request for Adjustment of Fuel Billing</w:t>
            </w:r>
          </w:p>
          <w:p w14:paraId="25F36E25" w14:textId="680F884C" w:rsidR="0034159B" w:rsidRPr="006466B0" w:rsidRDefault="00FF2069" w:rsidP="00925795">
            <w:pPr>
              <w:rPr>
                <w:rFonts w:cs="Arial"/>
                <w:sz w:val="22"/>
                <w:szCs w:val="22"/>
              </w:rPr>
            </w:pPr>
            <w:r w:rsidRPr="006466B0">
              <w:rPr>
                <w:rFonts w:cs="Arial"/>
                <w:sz w:val="22"/>
                <w:szCs w:val="22"/>
              </w:rPr>
              <w:t>Follow-up on Request for Adjustment of Fuel Billing</w:t>
            </w:r>
          </w:p>
        </w:tc>
      </w:tr>
      <w:tr w:rsidR="0034159B" w:rsidRPr="006466B0" w14:paraId="25F36E2C" w14:textId="77777777" w:rsidTr="00925795">
        <w:trPr>
          <w:cantSplit/>
          <w:trHeight w:val="576"/>
          <w:jc w:val="center"/>
        </w:trPr>
        <w:tc>
          <w:tcPr>
            <w:tcW w:w="1530" w:type="dxa"/>
            <w:tcMar>
              <w:top w:w="72" w:type="dxa"/>
              <w:bottom w:w="72" w:type="dxa"/>
            </w:tcMar>
          </w:tcPr>
          <w:p w14:paraId="25F36E27" w14:textId="77777777" w:rsidR="0034159B" w:rsidRPr="006466B0" w:rsidRDefault="0034159B" w:rsidP="00925795">
            <w:pPr>
              <w:rPr>
                <w:rFonts w:cs="Arial"/>
                <w:sz w:val="22"/>
                <w:szCs w:val="22"/>
              </w:rPr>
            </w:pPr>
            <w:r w:rsidRPr="006466B0">
              <w:rPr>
                <w:rFonts w:cs="Arial"/>
                <w:sz w:val="22"/>
                <w:szCs w:val="22"/>
              </w:rPr>
              <w:t>FJR</w:t>
            </w:r>
          </w:p>
          <w:p w14:paraId="25F36E28" w14:textId="77777777" w:rsidR="0034159B" w:rsidRPr="006466B0" w:rsidRDefault="0034159B" w:rsidP="00925795">
            <w:pPr>
              <w:rPr>
                <w:rFonts w:cs="Arial"/>
                <w:sz w:val="22"/>
                <w:szCs w:val="22"/>
              </w:rPr>
            </w:pPr>
            <w:r w:rsidRPr="006466B0">
              <w:rPr>
                <w:rFonts w:cs="Arial"/>
                <w:sz w:val="22"/>
                <w:szCs w:val="22"/>
              </w:rPr>
              <w:t>FJS</w:t>
            </w:r>
          </w:p>
        </w:tc>
        <w:tc>
          <w:tcPr>
            <w:tcW w:w="8730" w:type="dxa"/>
            <w:tcMar>
              <w:top w:w="72" w:type="dxa"/>
              <w:bottom w:w="72" w:type="dxa"/>
            </w:tcMar>
          </w:tcPr>
          <w:p w14:paraId="25F36E29" w14:textId="77777777" w:rsidR="0034159B" w:rsidRPr="006466B0" w:rsidRDefault="0034159B" w:rsidP="00925795">
            <w:pPr>
              <w:ind w:left="288" w:hanging="288"/>
              <w:rPr>
                <w:rFonts w:cs="Arial"/>
                <w:sz w:val="22"/>
                <w:szCs w:val="22"/>
              </w:rPr>
            </w:pPr>
            <w:r w:rsidRPr="006466B0">
              <w:rPr>
                <w:rFonts w:cs="Arial"/>
                <w:sz w:val="22"/>
                <w:szCs w:val="22"/>
              </w:rPr>
              <w:t>Reply to Request for Adjustment of Fuel Billing</w:t>
            </w:r>
          </w:p>
          <w:p w14:paraId="25F36E2B" w14:textId="30DCF91C" w:rsidR="0034159B" w:rsidRPr="006466B0" w:rsidRDefault="0034159B" w:rsidP="00925795">
            <w:pPr>
              <w:rPr>
                <w:rFonts w:cs="Arial"/>
                <w:sz w:val="22"/>
                <w:szCs w:val="22"/>
              </w:rPr>
            </w:pPr>
            <w:r w:rsidRPr="006466B0">
              <w:rPr>
                <w:rFonts w:cs="Arial"/>
                <w:sz w:val="22"/>
                <w:szCs w:val="22"/>
              </w:rPr>
              <w:t>Reply to Follow-up on Request for Adjustment of Fuel Billing</w:t>
            </w:r>
          </w:p>
        </w:tc>
      </w:tr>
      <w:tr w:rsidR="00FF2069" w:rsidRPr="006466B0" w14:paraId="25F36E32" w14:textId="77777777" w:rsidTr="00925795">
        <w:trPr>
          <w:cantSplit/>
          <w:trHeight w:val="576"/>
          <w:jc w:val="center"/>
        </w:trPr>
        <w:tc>
          <w:tcPr>
            <w:tcW w:w="1530" w:type="dxa"/>
            <w:tcMar>
              <w:top w:w="72" w:type="dxa"/>
              <w:bottom w:w="72" w:type="dxa"/>
            </w:tcMar>
          </w:tcPr>
          <w:p w14:paraId="25F36E2D" w14:textId="77777777" w:rsidR="00FF2069" w:rsidRPr="006466B0" w:rsidRDefault="00FF2069" w:rsidP="00925795">
            <w:pPr>
              <w:rPr>
                <w:rFonts w:cs="Arial"/>
                <w:sz w:val="22"/>
                <w:szCs w:val="22"/>
              </w:rPr>
            </w:pPr>
            <w:r w:rsidRPr="006466B0">
              <w:rPr>
                <w:rFonts w:cs="Arial"/>
                <w:sz w:val="22"/>
                <w:szCs w:val="22"/>
              </w:rPr>
              <w:t>FJ1, GJ1</w:t>
            </w:r>
          </w:p>
          <w:p w14:paraId="25F36E2E" w14:textId="77777777" w:rsidR="00FF2069" w:rsidRPr="006466B0" w:rsidRDefault="00FF2069" w:rsidP="00925795">
            <w:pPr>
              <w:rPr>
                <w:rFonts w:cs="Arial"/>
                <w:sz w:val="22"/>
                <w:szCs w:val="22"/>
              </w:rPr>
            </w:pPr>
            <w:r w:rsidRPr="006466B0">
              <w:rPr>
                <w:rFonts w:cs="Arial"/>
                <w:sz w:val="22"/>
                <w:szCs w:val="22"/>
              </w:rPr>
              <w:t>FJ2, GJ2</w:t>
            </w:r>
          </w:p>
        </w:tc>
        <w:tc>
          <w:tcPr>
            <w:tcW w:w="8730" w:type="dxa"/>
            <w:tcMar>
              <w:top w:w="72" w:type="dxa"/>
              <w:bottom w:w="72" w:type="dxa"/>
            </w:tcMar>
          </w:tcPr>
          <w:p w14:paraId="25F36E2F" w14:textId="77777777" w:rsidR="00FF2069" w:rsidRPr="006466B0" w:rsidRDefault="00FF2069" w:rsidP="00925795">
            <w:pPr>
              <w:rPr>
                <w:rFonts w:cs="Arial"/>
                <w:sz w:val="22"/>
                <w:szCs w:val="22"/>
              </w:rPr>
            </w:pPr>
            <w:r w:rsidRPr="006466B0">
              <w:rPr>
                <w:rFonts w:cs="Arial"/>
                <w:sz w:val="22"/>
                <w:szCs w:val="22"/>
              </w:rPr>
              <w:t>Billing for Bulk Petroleum (Charge)</w:t>
            </w:r>
          </w:p>
          <w:p w14:paraId="25F36E31" w14:textId="00788BA2" w:rsidR="0034159B" w:rsidRPr="006466B0" w:rsidRDefault="00FF2069" w:rsidP="00925795">
            <w:pPr>
              <w:rPr>
                <w:rFonts w:cs="Arial"/>
                <w:sz w:val="22"/>
                <w:szCs w:val="22"/>
              </w:rPr>
            </w:pPr>
            <w:r w:rsidRPr="006466B0">
              <w:rPr>
                <w:rFonts w:cs="Arial"/>
                <w:sz w:val="22"/>
                <w:szCs w:val="22"/>
              </w:rPr>
              <w:t>Billing for Bulk Petroleum (Credit)</w:t>
            </w:r>
          </w:p>
        </w:tc>
      </w:tr>
      <w:tr w:rsidR="00FF2069" w:rsidRPr="006466B0" w14:paraId="25F36E38" w14:textId="77777777" w:rsidTr="00925795">
        <w:trPr>
          <w:cantSplit/>
          <w:trHeight w:val="140"/>
          <w:jc w:val="center"/>
        </w:trPr>
        <w:tc>
          <w:tcPr>
            <w:tcW w:w="1530" w:type="dxa"/>
            <w:tcMar>
              <w:top w:w="72" w:type="dxa"/>
              <w:bottom w:w="72" w:type="dxa"/>
            </w:tcMar>
          </w:tcPr>
          <w:p w14:paraId="25F36E33"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lastRenderedPageBreak/>
              <w:t>FL1, GL1</w:t>
            </w:r>
          </w:p>
          <w:p w14:paraId="25F36E34"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FL2, GL2</w:t>
            </w:r>
          </w:p>
        </w:tc>
        <w:tc>
          <w:tcPr>
            <w:tcW w:w="8730" w:type="dxa"/>
            <w:tcMar>
              <w:top w:w="72" w:type="dxa"/>
              <w:bottom w:w="72" w:type="dxa"/>
            </w:tcMar>
          </w:tcPr>
          <w:p w14:paraId="25F36E35" w14:textId="77777777" w:rsidR="00FF2069" w:rsidRPr="006466B0" w:rsidRDefault="00FF2069" w:rsidP="00925795">
            <w:pPr>
              <w:rPr>
                <w:rFonts w:cs="Arial"/>
                <w:sz w:val="22"/>
                <w:szCs w:val="22"/>
              </w:rPr>
            </w:pPr>
            <w:r w:rsidRPr="006466B0">
              <w:rPr>
                <w:rFonts w:cs="Arial"/>
                <w:sz w:val="22"/>
                <w:szCs w:val="22"/>
              </w:rPr>
              <w:t>Retail Loss Allowance - Credit Reversal</w:t>
            </w:r>
          </w:p>
          <w:p w14:paraId="25F36E37" w14:textId="064A444E" w:rsidR="0034159B" w:rsidRPr="006466B0" w:rsidRDefault="00FF2069" w:rsidP="00925795">
            <w:pPr>
              <w:rPr>
                <w:rFonts w:cs="Arial"/>
                <w:sz w:val="22"/>
                <w:szCs w:val="22"/>
              </w:rPr>
            </w:pPr>
            <w:r w:rsidRPr="006466B0">
              <w:rPr>
                <w:rFonts w:cs="Arial"/>
                <w:sz w:val="22"/>
                <w:szCs w:val="22"/>
              </w:rPr>
              <w:t xml:space="preserve">Retail Loss Allowance - Credit </w:t>
            </w:r>
          </w:p>
        </w:tc>
      </w:tr>
      <w:tr w:rsidR="00FF2069" w:rsidRPr="006466B0" w14:paraId="25F36E3E" w14:textId="77777777" w:rsidTr="00925795">
        <w:trPr>
          <w:cantSplit/>
          <w:trHeight w:val="140"/>
          <w:jc w:val="center"/>
        </w:trPr>
        <w:tc>
          <w:tcPr>
            <w:tcW w:w="1530" w:type="dxa"/>
            <w:tcMar>
              <w:top w:w="72" w:type="dxa"/>
              <w:bottom w:w="72" w:type="dxa"/>
            </w:tcMar>
          </w:tcPr>
          <w:p w14:paraId="25F36E39"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FN1, GN1</w:t>
            </w:r>
          </w:p>
          <w:p w14:paraId="25F36E3A"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FN2, GN2</w:t>
            </w:r>
          </w:p>
        </w:tc>
        <w:tc>
          <w:tcPr>
            <w:tcW w:w="8730" w:type="dxa"/>
            <w:tcMar>
              <w:top w:w="72" w:type="dxa"/>
              <w:bottom w:w="72" w:type="dxa"/>
            </w:tcMar>
          </w:tcPr>
          <w:p w14:paraId="25F36E3B" w14:textId="77777777" w:rsidR="00FF2069" w:rsidRPr="006466B0" w:rsidRDefault="00FF2069" w:rsidP="00925795">
            <w:pPr>
              <w:rPr>
                <w:rFonts w:cs="Arial"/>
                <w:sz w:val="22"/>
                <w:szCs w:val="22"/>
              </w:rPr>
            </w:pPr>
            <w:r w:rsidRPr="006466B0">
              <w:rPr>
                <w:rFonts w:cs="Arial"/>
                <w:sz w:val="22"/>
                <w:szCs w:val="22"/>
              </w:rPr>
              <w:t>Accessorial and Other Miscellaneous Billings (Charge)</w:t>
            </w:r>
          </w:p>
          <w:p w14:paraId="25F36E3D" w14:textId="3C9CD7CC" w:rsidR="0034159B" w:rsidRPr="006466B0" w:rsidRDefault="00FF2069" w:rsidP="00925795">
            <w:pPr>
              <w:rPr>
                <w:rFonts w:cs="Arial"/>
                <w:sz w:val="22"/>
                <w:szCs w:val="22"/>
              </w:rPr>
            </w:pPr>
            <w:r w:rsidRPr="006466B0">
              <w:rPr>
                <w:rFonts w:cs="Arial"/>
                <w:sz w:val="22"/>
                <w:szCs w:val="22"/>
              </w:rPr>
              <w:t>Accessorial and Other Miscellaneous Billings (Credit)</w:t>
            </w:r>
          </w:p>
        </w:tc>
      </w:tr>
      <w:tr w:rsidR="00FF2069" w:rsidRPr="006466B0" w14:paraId="25F36E46" w14:textId="77777777" w:rsidTr="00925795">
        <w:trPr>
          <w:cantSplit/>
          <w:trHeight w:val="140"/>
          <w:jc w:val="center"/>
        </w:trPr>
        <w:tc>
          <w:tcPr>
            <w:tcW w:w="1530" w:type="dxa"/>
            <w:tcMar>
              <w:top w:w="72" w:type="dxa"/>
              <w:bottom w:w="72" w:type="dxa"/>
            </w:tcMar>
          </w:tcPr>
          <w:p w14:paraId="25F36E40" w14:textId="7F861EF9"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FP1, GP1</w:t>
            </w:r>
          </w:p>
          <w:p w14:paraId="25F36E41"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FP2, GP2</w:t>
            </w:r>
          </w:p>
        </w:tc>
        <w:tc>
          <w:tcPr>
            <w:tcW w:w="8730" w:type="dxa"/>
            <w:tcMar>
              <w:top w:w="72" w:type="dxa"/>
              <w:bottom w:w="72" w:type="dxa"/>
            </w:tcMar>
          </w:tcPr>
          <w:p w14:paraId="25F36E42" w14:textId="63E4D0AB" w:rsidR="00FF2069" w:rsidRPr="006466B0" w:rsidRDefault="00FF2069" w:rsidP="00925795">
            <w:pPr>
              <w:rPr>
                <w:rFonts w:cs="Arial"/>
                <w:sz w:val="22"/>
                <w:szCs w:val="22"/>
              </w:rPr>
            </w:pPr>
            <w:r w:rsidRPr="006466B0">
              <w:rPr>
                <w:rFonts w:cs="Arial"/>
                <w:sz w:val="22"/>
                <w:szCs w:val="22"/>
              </w:rPr>
              <w:t>Billing for Into-Plane Issues (Charge)</w:t>
            </w:r>
            <w:r w:rsidR="004C40D9">
              <w:rPr>
                <w:rFonts w:cs="Arial"/>
                <w:sz w:val="22"/>
                <w:szCs w:val="22"/>
              </w:rPr>
              <w:t xml:space="preserve"> / Retail Petroleum</w:t>
            </w:r>
            <w:r w:rsidR="004C40D9" w:rsidRPr="006466B0">
              <w:rPr>
                <w:rFonts w:cs="Arial"/>
                <w:sz w:val="22"/>
                <w:szCs w:val="22"/>
              </w:rPr>
              <w:t xml:space="preserve"> Issues</w:t>
            </w:r>
            <w:r w:rsidR="004C40D9">
              <w:rPr>
                <w:rFonts w:cs="Arial"/>
                <w:sz w:val="22"/>
                <w:szCs w:val="22"/>
              </w:rPr>
              <w:t xml:space="preserve"> (Charge)</w:t>
            </w:r>
          </w:p>
          <w:p w14:paraId="25F36E45" w14:textId="29A316AE" w:rsidR="00FF2069" w:rsidRPr="006466B0" w:rsidRDefault="004C40D9" w:rsidP="00925795">
            <w:pPr>
              <w:rPr>
                <w:rFonts w:cs="Arial"/>
                <w:sz w:val="22"/>
                <w:szCs w:val="22"/>
              </w:rPr>
            </w:pPr>
            <w:r w:rsidRPr="006466B0">
              <w:rPr>
                <w:rFonts w:cs="Arial"/>
                <w:sz w:val="22"/>
                <w:szCs w:val="22"/>
              </w:rPr>
              <w:t>Billi</w:t>
            </w:r>
            <w:r>
              <w:rPr>
                <w:rFonts w:cs="Arial"/>
                <w:sz w:val="22"/>
                <w:szCs w:val="22"/>
              </w:rPr>
              <w:t xml:space="preserve">ng for Into-Plane Issues (Credit) / </w:t>
            </w:r>
            <w:r w:rsidR="00587600">
              <w:rPr>
                <w:rFonts w:cs="Arial"/>
                <w:sz w:val="22"/>
                <w:szCs w:val="22"/>
              </w:rPr>
              <w:t>Retail Petroleum</w:t>
            </w:r>
            <w:r w:rsidR="00FF2069" w:rsidRPr="006466B0">
              <w:rPr>
                <w:rFonts w:cs="Arial"/>
                <w:sz w:val="22"/>
                <w:szCs w:val="22"/>
              </w:rPr>
              <w:t xml:space="preserve"> Issues (Credit) </w:t>
            </w:r>
          </w:p>
        </w:tc>
      </w:tr>
      <w:tr w:rsidR="00FF2069" w:rsidRPr="006466B0" w14:paraId="25F36E4C" w14:textId="77777777" w:rsidTr="00925795">
        <w:trPr>
          <w:cantSplit/>
          <w:trHeight w:val="140"/>
          <w:jc w:val="center"/>
        </w:trPr>
        <w:tc>
          <w:tcPr>
            <w:tcW w:w="1530" w:type="dxa"/>
            <w:tcMar>
              <w:top w:w="72" w:type="dxa"/>
              <w:bottom w:w="72" w:type="dxa"/>
            </w:tcMar>
          </w:tcPr>
          <w:p w14:paraId="25F36E47"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FQ1, GQ1</w:t>
            </w:r>
          </w:p>
          <w:p w14:paraId="25F36E48"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FQ2, GQ2</w:t>
            </w:r>
          </w:p>
        </w:tc>
        <w:tc>
          <w:tcPr>
            <w:tcW w:w="8730" w:type="dxa"/>
            <w:tcMar>
              <w:top w:w="72" w:type="dxa"/>
              <w:bottom w:w="72" w:type="dxa"/>
            </w:tcMar>
          </w:tcPr>
          <w:p w14:paraId="25F36E49" w14:textId="77777777" w:rsidR="00FF2069" w:rsidRPr="006466B0" w:rsidRDefault="00FF2069" w:rsidP="00925795">
            <w:pPr>
              <w:rPr>
                <w:rFonts w:cs="Arial"/>
                <w:sz w:val="22"/>
                <w:szCs w:val="22"/>
              </w:rPr>
            </w:pPr>
            <w:r w:rsidRPr="006466B0">
              <w:rPr>
                <w:rFonts w:cs="Arial"/>
                <w:sz w:val="22"/>
                <w:szCs w:val="22"/>
              </w:rPr>
              <w:t>Billing for Transportation (Charge)</w:t>
            </w:r>
          </w:p>
          <w:p w14:paraId="25F36E4B" w14:textId="016736C5" w:rsidR="0034159B" w:rsidRPr="006466B0" w:rsidRDefault="00FF2069" w:rsidP="00925795">
            <w:pPr>
              <w:rPr>
                <w:rFonts w:cs="Arial"/>
                <w:sz w:val="22"/>
                <w:szCs w:val="22"/>
              </w:rPr>
            </w:pPr>
            <w:r w:rsidRPr="006466B0">
              <w:rPr>
                <w:rFonts w:cs="Arial"/>
                <w:sz w:val="22"/>
                <w:szCs w:val="22"/>
              </w:rPr>
              <w:t xml:space="preserve">Billing for Transportation (Credit) </w:t>
            </w:r>
          </w:p>
        </w:tc>
      </w:tr>
      <w:tr w:rsidR="00FF2069" w:rsidRPr="006466B0" w14:paraId="25F36E52" w14:textId="77777777" w:rsidTr="00925795">
        <w:trPr>
          <w:cantSplit/>
          <w:trHeight w:val="140"/>
          <w:jc w:val="center"/>
        </w:trPr>
        <w:tc>
          <w:tcPr>
            <w:tcW w:w="1530" w:type="dxa"/>
            <w:tcMar>
              <w:top w:w="72" w:type="dxa"/>
              <w:bottom w:w="72" w:type="dxa"/>
            </w:tcMar>
          </w:tcPr>
          <w:p w14:paraId="25F36E4D"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FR1, GR1</w:t>
            </w:r>
          </w:p>
          <w:p w14:paraId="25F36E4E"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FR2, GR2</w:t>
            </w:r>
          </w:p>
        </w:tc>
        <w:tc>
          <w:tcPr>
            <w:tcW w:w="8730" w:type="dxa"/>
            <w:tcMar>
              <w:top w:w="72" w:type="dxa"/>
              <w:bottom w:w="72" w:type="dxa"/>
            </w:tcMar>
          </w:tcPr>
          <w:p w14:paraId="25F36E4F" w14:textId="77777777" w:rsidR="00FF2069" w:rsidRPr="006466B0" w:rsidRDefault="00FF2069" w:rsidP="00925795">
            <w:pPr>
              <w:rPr>
                <w:rFonts w:cs="Arial"/>
                <w:sz w:val="22"/>
                <w:szCs w:val="22"/>
              </w:rPr>
            </w:pPr>
            <w:r w:rsidRPr="006466B0">
              <w:rPr>
                <w:rFonts w:cs="Arial"/>
                <w:sz w:val="22"/>
                <w:szCs w:val="22"/>
              </w:rPr>
              <w:t>Billing for Export Transportation (Charge)</w:t>
            </w:r>
          </w:p>
          <w:p w14:paraId="25F36E51" w14:textId="548ED4FF" w:rsidR="0034159B" w:rsidRPr="006466B0" w:rsidRDefault="00FF2069" w:rsidP="00925795">
            <w:pPr>
              <w:rPr>
                <w:rFonts w:cs="Arial"/>
                <w:sz w:val="22"/>
                <w:szCs w:val="22"/>
              </w:rPr>
            </w:pPr>
            <w:r w:rsidRPr="006466B0">
              <w:rPr>
                <w:rFonts w:cs="Arial"/>
                <w:sz w:val="22"/>
                <w:szCs w:val="22"/>
              </w:rPr>
              <w:t xml:space="preserve">Billing for Export Transportation (Credit) </w:t>
            </w:r>
          </w:p>
        </w:tc>
      </w:tr>
      <w:tr w:rsidR="00FF2069" w:rsidRPr="006466B0" w14:paraId="25F36E58" w14:textId="77777777" w:rsidTr="00925795">
        <w:trPr>
          <w:cantSplit/>
          <w:trHeight w:val="140"/>
          <w:jc w:val="center"/>
        </w:trPr>
        <w:tc>
          <w:tcPr>
            <w:tcW w:w="1530" w:type="dxa"/>
            <w:tcMar>
              <w:top w:w="72" w:type="dxa"/>
              <w:bottom w:w="72" w:type="dxa"/>
            </w:tcMar>
          </w:tcPr>
          <w:p w14:paraId="25F36E53"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FS1, GS1</w:t>
            </w:r>
          </w:p>
          <w:p w14:paraId="25F36E54"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FS2, GS2</w:t>
            </w:r>
          </w:p>
        </w:tc>
        <w:tc>
          <w:tcPr>
            <w:tcW w:w="8730" w:type="dxa"/>
            <w:tcMar>
              <w:top w:w="72" w:type="dxa"/>
              <w:bottom w:w="72" w:type="dxa"/>
            </w:tcMar>
          </w:tcPr>
          <w:p w14:paraId="25F36E55" w14:textId="77777777" w:rsidR="00FF2069" w:rsidRPr="006466B0" w:rsidRDefault="00FF2069" w:rsidP="00925795">
            <w:pPr>
              <w:rPr>
                <w:rFonts w:cs="Arial"/>
                <w:sz w:val="22"/>
                <w:szCs w:val="22"/>
              </w:rPr>
            </w:pPr>
            <w:r w:rsidRPr="006466B0">
              <w:rPr>
                <w:rFonts w:cs="Arial"/>
                <w:sz w:val="22"/>
                <w:szCs w:val="22"/>
              </w:rPr>
              <w:t>Summary Billing Record (Net Charge)</w:t>
            </w:r>
          </w:p>
          <w:p w14:paraId="25F36E57" w14:textId="14FC0F41" w:rsidR="00FF2069" w:rsidRPr="006466B0" w:rsidRDefault="00FF2069" w:rsidP="00925795">
            <w:pPr>
              <w:rPr>
                <w:rFonts w:cs="Arial"/>
                <w:sz w:val="22"/>
                <w:szCs w:val="22"/>
              </w:rPr>
            </w:pPr>
            <w:r w:rsidRPr="006466B0">
              <w:rPr>
                <w:rFonts w:cs="Arial"/>
                <w:sz w:val="22"/>
                <w:szCs w:val="22"/>
              </w:rPr>
              <w:t xml:space="preserve">Summary Billing Record (Net Credit) </w:t>
            </w:r>
          </w:p>
        </w:tc>
      </w:tr>
      <w:tr w:rsidR="00FF2069" w:rsidRPr="006466B0" w14:paraId="25F36E5C" w14:textId="77777777" w:rsidTr="00925795">
        <w:trPr>
          <w:cantSplit/>
          <w:trHeight w:val="140"/>
          <w:jc w:val="center"/>
        </w:trPr>
        <w:tc>
          <w:tcPr>
            <w:tcW w:w="1530" w:type="dxa"/>
            <w:tcMar>
              <w:top w:w="72" w:type="dxa"/>
              <w:bottom w:w="72" w:type="dxa"/>
            </w:tcMar>
          </w:tcPr>
          <w:p w14:paraId="25F36E59"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FTB</w:t>
            </w:r>
          </w:p>
        </w:tc>
        <w:tc>
          <w:tcPr>
            <w:tcW w:w="8730" w:type="dxa"/>
            <w:tcMar>
              <w:top w:w="72" w:type="dxa"/>
              <w:bottom w:w="72" w:type="dxa"/>
            </w:tcMar>
          </w:tcPr>
          <w:p w14:paraId="25F36E5B" w14:textId="022E1308" w:rsidR="00FF2069" w:rsidRPr="006466B0" w:rsidRDefault="00FF2069" w:rsidP="00925795">
            <w:pPr>
              <w:rPr>
                <w:rFonts w:cs="Arial"/>
                <w:sz w:val="22"/>
                <w:szCs w:val="22"/>
              </w:rPr>
            </w:pPr>
            <w:r w:rsidRPr="006466B0">
              <w:rPr>
                <w:rFonts w:cs="Arial"/>
                <w:sz w:val="22"/>
                <w:szCs w:val="22"/>
              </w:rPr>
              <w:t>Reply to Follow-up for Materiel Return Program Credit</w:t>
            </w:r>
          </w:p>
        </w:tc>
      </w:tr>
      <w:tr w:rsidR="00FF2069" w:rsidRPr="006466B0" w14:paraId="25F36E60" w14:textId="77777777" w:rsidTr="00925795">
        <w:trPr>
          <w:cantSplit/>
          <w:trHeight w:val="140"/>
          <w:jc w:val="center"/>
        </w:trPr>
        <w:tc>
          <w:tcPr>
            <w:tcW w:w="1530" w:type="dxa"/>
            <w:tcMar>
              <w:top w:w="72" w:type="dxa"/>
              <w:bottom w:w="72" w:type="dxa"/>
            </w:tcMar>
          </w:tcPr>
          <w:p w14:paraId="25F36E5D"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FTP</w:t>
            </w:r>
          </w:p>
        </w:tc>
        <w:tc>
          <w:tcPr>
            <w:tcW w:w="8730" w:type="dxa"/>
            <w:tcMar>
              <w:top w:w="72" w:type="dxa"/>
              <w:bottom w:w="72" w:type="dxa"/>
            </w:tcMar>
          </w:tcPr>
          <w:p w14:paraId="25F36E5F" w14:textId="44FB9273" w:rsidR="0034159B" w:rsidRPr="006466B0" w:rsidRDefault="00FF2069" w:rsidP="00925795">
            <w:pPr>
              <w:rPr>
                <w:rFonts w:cs="Arial"/>
                <w:sz w:val="22"/>
                <w:szCs w:val="22"/>
              </w:rPr>
            </w:pPr>
            <w:r w:rsidRPr="006466B0">
              <w:rPr>
                <w:rFonts w:cs="Arial"/>
                <w:sz w:val="22"/>
                <w:szCs w:val="22"/>
              </w:rPr>
              <w:t>Follow-up for Materiel Return Program Credit</w:t>
            </w:r>
          </w:p>
        </w:tc>
      </w:tr>
      <w:tr w:rsidR="00FF2069" w:rsidRPr="006466B0" w14:paraId="25F36E66" w14:textId="77777777" w:rsidTr="00925795">
        <w:trPr>
          <w:cantSplit/>
          <w:trHeight w:val="140"/>
          <w:jc w:val="center"/>
        </w:trPr>
        <w:tc>
          <w:tcPr>
            <w:tcW w:w="1530" w:type="dxa"/>
            <w:tcMar>
              <w:top w:w="72" w:type="dxa"/>
              <w:bottom w:w="72" w:type="dxa"/>
            </w:tcMar>
          </w:tcPr>
          <w:p w14:paraId="25F36E61"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FU1, GU1</w:t>
            </w:r>
          </w:p>
          <w:p w14:paraId="25F36E62"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FU2, GU2</w:t>
            </w:r>
          </w:p>
        </w:tc>
        <w:tc>
          <w:tcPr>
            <w:tcW w:w="8730" w:type="dxa"/>
            <w:tcMar>
              <w:top w:w="72" w:type="dxa"/>
              <w:bottom w:w="72" w:type="dxa"/>
            </w:tcMar>
          </w:tcPr>
          <w:p w14:paraId="25F36E63" w14:textId="77777777" w:rsidR="00FF2069" w:rsidRPr="006466B0" w:rsidRDefault="00FF2069" w:rsidP="00925795">
            <w:pPr>
              <w:rPr>
                <w:rFonts w:cs="Arial"/>
                <w:sz w:val="22"/>
                <w:szCs w:val="22"/>
              </w:rPr>
            </w:pPr>
            <w:r w:rsidRPr="006466B0">
              <w:rPr>
                <w:rFonts w:cs="Arial"/>
                <w:sz w:val="22"/>
                <w:szCs w:val="22"/>
              </w:rPr>
              <w:t>Progress Payment (Charge)</w:t>
            </w:r>
          </w:p>
          <w:p w14:paraId="25F36E65" w14:textId="3E06570B" w:rsidR="006466B0" w:rsidRPr="006466B0" w:rsidRDefault="00FF2069" w:rsidP="00925795">
            <w:pPr>
              <w:rPr>
                <w:rFonts w:cs="Arial"/>
                <w:sz w:val="22"/>
                <w:szCs w:val="22"/>
              </w:rPr>
            </w:pPr>
            <w:r w:rsidRPr="006466B0">
              <w:rPr>
                <w:rFonts w:cs="Arial"/>
                <w:sz w:val="22"/>
                <w:szCs w:val="22"/>
              </w:rPr>
              <w:t xml:space="preserve">Progress Payment (Recoupment) </w:t>
            </w:r>
          </w:p>
        </w:tc>
      </w:tr>
      <w:tr w:rsidR="00FF2069" w:rsidRPr="006466B0" w14:paraId="25F36E6C" w14:textId="77777777" w:rsidTr="00925795">
        <w:trPr>
          <w:cantSplit/>
          <w:trHeight w:val="140"/>
          <w:jc w:val="center"/>
        </w:trPr>
        <w:tc>
          <w:tcPr>
            <w:tcW w:w="1530" w:type="dxa"/>
            <w:tcMar>
              <w:top w:w="72" w:type="dxa"/>
              <w:bottom w:w="72" w:type="dxa"/>
            </w:tcMar>
          </w:tcPr>
          <w:p w14:paraId="25F36E67"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FW1, GW1</w:t>
            </w:r>
          </w:p>
          <w:p w14:paraId="25F36E68"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FW2, GW2</w:t>
            </w:r>
          </w:p>
        </w:tc>
        <w:tc>
          <w:tcPr>
            <w:tcW w:w="8730" w:type="dxa"/>
            <w:tcMar>
              <w:top w:w="72" w:type="dxa"/>
              <w:bottom w:w="72" w:type="dxa"/>
            </w:tcMar>
          </w:tcPr>
          <w:p w14:paraId="25F36E69" w14:textId="77777777" w:rsidR="00FF2069" w:rsidRPr="006466B0" w:rsidRDefault="00FF2069" w:rsidP="00925795">
            <w:pPr>
              <w:rPr>
                <w:rFonts w:cs="Arial"/>
                <w:sz w:val="22"/>
                <w:szCs w:val="22"/>
              </w:rPr>
            </w:pPr>
            <w:r w:rsidRPr="006466B0">
              <w:rPr>
                <w:rFonts w:cs="Arial"/>
                <w:sz w:val="22"/>
                <w:szCs w:val="22"/>
              </w:rPr>
              <w:t>Cash Discounts (Charge)</w:t>
            </w:r>
          </w:p>
          <w:p w14:paraId="25F36E6B" w14:textId="7146D238" w:rsidR="006466B0" w:rsidRPr="006466B0" w:rsidRDefault="00FF2069" w:rsidP="00925795">
            <w:pPr>
              <w:rPr>
                <w:rFonts w:cs="Arial"/>
                <w:sz w:val="22"/>
                <w:szCs w:val="22"/>
              </w:rPr>
            </w:pPr>
            <w:r w:rsidRPr="006466B0">
              <w:rPr>
                <w:rFonts w:cs="Arial"/>
                <w:sz w:val="22"/>
                <w:szCs w:val="22"/>
              </w:rPr>
              <w:t>Cash Discounts (Credit)</w:t>
            </w:r>
          </w:p>
        </w:tc>
      </w:tr>
      <w:tr w:rsidR="00FF2069" w:rsidRPr="006466B0" w14:paraId="25F36E72" w14:textId="77777777" w:rsidTr="00925795">
        <w:trPr>
          <w:cantSplit/>
          <w:trHeight w:val="140"/>
          <w:jc w:val="center"/>
        </w:trPr>
        <w:tc>
          <w:tcPr>
            <w:tcW w:w="1530" w:type="dxa"/>
            <w:tcMar>
              <w:top w:w="72" w:type="dxa"/>
              <w:bottom w:w="72" w:type="dxa"/>
            </w:tcMar>
          </w:tcPr>
          <w:p w14:paraId="25F36E6D"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FX1, GX1</w:t>
            </w:r>
          </w:p>
          <w:p w14:paraId="25F36E6E"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FX2, GX2</w:t>
            </w:r>
          </w:p>
        </w:tc>
        <w:tc>
          <w:tcPr>
            <w:tcW w:w="8730" w:type="dxa"/>
            <w:tcMar>
              <w:top w:w="72" w:type="dxa"/>
              <w:bottom w:w="72" w:type="dxa"/>
            </w:tcMar>
          </w:tcPr>
          <w:p w14:paraId="25F36E6F" w14:textId="77777777" w:rsidR="00FF2069" w:rsidRPr="006466B0" w:rsidRDefault="00FF2069" w:rsidP="00925795">
            <w:pPr>
              <w:rPr>
                <w:rFonts w:cs="Arial"/>
                <w:sz w:val="22"/>
                <w:szCs w:val="22"/>
              </w:rPr>
            </w:pPr>
            <w:r w:rsidRPr="006466B0">
              <w:rPr>
                <w:rFonts w:cs="Arial"/>
                <w:sz w:val="22"/>
                <w:szCs w:val="22"/>
              </w:rPr>
              <w:t>Trade, Quantity, and Other Allowances (Charge)</w:t>
            </w:r>
          </w:p>
          <w:p w14:paraId="25F36E71" w14:textId="473FDBE6" w:rsidR="006466B0" w:rsidRPr="006466B0" w:rsidRDefault="00FF2069" w:rsidP="00925795">
            <w:pPr>
              <w:rPr>
                <w:rFonts w:cs="Arial"/>
                <w:sz w:val="22"/>
                <w:szCs w:val="22"/>
              </w:rPr>
            </w:pPr>
            <w:r w:rsidRPr="006466B0">
              <w:rPr>
                <w:rFonts w:cs="Arial"/>
                <w:sz w:val="22"/>
                <w:szCs w:val="22"/>
              </w:rPr>
              <w:t xml:space="preserve">Trade, Quantity, and Other Allowances (Credit) </w:t>
            </w:r>
          </w:p>
        </w:tc>
      </w:tr>
      <w:tr w:rsidR="00FF2069" w:rsidRPr="006466B0" w14:paraId="25F36E76" w14:textId="77777777" w:rsidTr="00925795">
        <w:trPr>
          <w:cantSplit/>
          <w:trHeight w:val="140"/>
          <w:jc w:val="center"/>
        </w:trPr>
        <w:tc>
          <w:tcPr>
            <w:tcW w:w="1530" w:type="dxa"/>
            <w:tcMar>
              <w:top w:w="72" w:type="dxa"/>
              <w:bottom w:w="72" w:type="dxa"/>
            </w:tcMar>
          </w:tcPr>
          <w:p w14:paraId="25F36E73" w14:textId="77777777" w:rsidR="00FF2069" w:rsidRPr="006466B0" w:rsidRDefault="00FF2069"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sz w:val="22"/>
                <w:szCs w:val="22"/>
              </w:rPr>
            </w:pPr>
            <w:r w:rsidRPr="006466B0">
              <w:rPr>
                <w:rFonts w:cs="Arial"/>
                <w:sz w:val="22"/>
                <w:szCs w:val="22"/>
              </w:rPr>
              <w:t>QB1</w:t>
            </w:r>
          </w:p>
        </w:tc>
        <w:tc>
          <w:tcPr>
            <w:tcW w:w="8730" w:type="dxa"/>
            <w:tcMar>
              <w:top w:w="72" w:type="dxa"/>
              <w:bottom w:w="72" w:type="dxa"/>
            </w:tcMar>
          </w:tcPr>
          <w:p w14:paraId="25F36E75" w14:textId="7DD660D5" w:rsidR="00FF2069" w:rsidRPr="006466B0" w:rsidRDefault="00FF2069" w:rsidP="00925795">
            <w:pPr>
              <w:rPr>
                <w:rFonts w:cs="Arial"/>
                <w:sz w:val="22"/>
                <w:szCs w:val="22"/>
              </w:rPr>
            </w:pPr>
            <w:r w:rsidRPr="006466B0">
              <w:rPr>
                <w:rFonts w:cs="Arial"/>
                <w:sz w:val="22"/>
                <w:szCs w:val="22"/>
              </w:rPr>
              <w:t xml:space="preserve">Request for Retransmission of Bill (Copy) </w:t>
            </w:r>
          </w:p>
        </w:tc>
      </w:tr>
    </w:tbl>
    <w:p w14:paraId="25F36E77" w14:textId="77777777" w:rsidR="00293565" w:rsidRDefault="00293565" w:rsidP="00293565">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after="240"/>
        <w:jc w:val="left"/>
        <w:rPr>
          <w:rFonts w:ascii="Times New Roman" w:hAnsi="Times New Roman"/>
          <w:szCs w:val="24"/>
        </w:rPr>
      </w:pPr>
    </w:p>
    <w:tbl>
      <w:tblPr>
        <w:tblW w:w="10260" w:type="dxa"/>
        <w:jc w:val="center"/>
        <w:tblLayout w:type="fixed"/>
        <w:tblCellMar>
          <w:left w:w="144" w:type="dxa"/>
          <w:right w:w="144" w:type="dxa"/>
        </w:tblCellMar>
        <w:tblLook w:val="0000" w:firstRow="0" w:lastRow="0" w:firstColumn="0" w:lastColumn="0" w:noHBand="0" w:noVBand="0"/>
      </w:tblPr>
      <w:tblGrid>
        <w:gridCol w:w="1530"/>
        <w:gridCol w:w="8730"/>
      </w:tblGrid>
      <w:tr w:rsidR="00B44AC0" w:rsidRPr="006466B0" w14:paraId="4426A055" w14:textId="77777777" w:rsidTr="00925795">
        <w:trPr>
          <w:cantSplit/>
          <w:jc w:val="center"/>
        </w:trPr>
        <w:tc>
          <w:tcPr>
            <w:tcW w:w="10260" w:type="dxa"/>
            <w:gridSpan w:val="2"/>
            <w:tcMar>
              <w:top w:w="72" w:type="dxa"/>
              <w:bottom w:w="72" w:type="dxa"/>
            </w:tcMar>
            <w:vAlign w:val="center"/>
          </w:tcPr>
          <w:p w14:paraId="364D0787" w14:textId="77777777" w:rsidR="00B44AC0" w:rsidRPr="006466B0" w:rsidRDefault="00B44AC0" w:rsidP="00B44AC0">
            <w:pPr>
              <w:keepNext/>
              <w:spacing w:after="58"/>
              <w:jc w:val="center"/>
              <w:rPr>
                <w:rFonts w:cs="Arial"/>
                <w:sz w:val="22"/>
                <w:szCs w:val="22"/>
              </w:rPr>
            </w:pPr>
            <w:r w:rsidRPr="00A41BC7">
              <w:rPr>
                <w:rFonts w:cs="Arial"/>
                <w:b/>
                <w:i/>
                <w:sz w:val="22"/>
                <w:szCs w:val="22"/>
                <w:u w:val="single"/>
              </w:rPr>
              <w:t>VARIABLE LENGTH TRANSACTION FORMATS (NON-X12 BASED)</w:t>
            </w:r>
          </w:p>
        </w:tc>
      </w:tr>
      <w:tr w:rsidR="00B44AC0" w:rsidRPr="00A41BC7" w14:paraId="4AE6CC3B" w14:textId="77777777" w:rsidTr="00925795">
        <w:trPr>
          <w:cantSplit/>
          <w:jc w:val="center"/>
        </w:trPr>
        <w:tc>
          <w:tcPr>
            <w:tcW w:w="1530" w:type="dxa"/>
            <w:tcMar>
              <w:top w:w="72" w:type="dxa"/>
              <w:bottom w:w="72" w:type="dxa"/>
            </w:tcMar>
            <w:vAlign w:val="center"/>
          </w:tcPr>
          <w:p w14:paraId="18E1B200" w14:textId="77777777" w:rsidR="00B44AC0" w:rsidRPr="00A41BC7" w:rsidRDefault="00B44AC0"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b/>
                <w:i/>
                <w:sz w:val="22"/>
                <w:szCs w:val="22"/>
              </w:rPr>
            </w:pPr>
            <w:r w:rsidRPr="00A41BC7">
              <w:rPr>
                <w:rFonts w:cs="Arial"/>
                <w:b/>
                <w:i/>
                <w:sz w:val="22"/>
                <w:szCs w:val="22"/>
              </w:rPr>
              <w:t xml:space="preserve">DIC </w:t>
            </w:r>
          </w:p>
        </w:tc>
        <w:tc>
          <w:tcPr>
            <w:tcW w:w="8730" w:type="dxa"/>
            <w:tcMar>
              <w:top w:w="72" w:type="dxa"/>
              <w:bottom w:w="72" w:type="dxa"/>
            </w:tcMar>
            <w:vAlign w:val="center"/>
          </w:tcPr>
          <w:p w14:paraId="25766AAA" w14:textId="77777777" w:rsidR="00B44AC0" w:rsidRPr="00A41BC7" w:rsidRDefault="00B44AC0" w:rsidP="00925795">
            <w:pPr>
              <w:rPr>
                <w:rFonts w:cs="Arial"/>
                <w:b/>
                <w:i/>
                <w:sz w:val="22"/>
                <w:szCs w:val="22"/>
              </w:rPr>
            </w:pPr>
            <w:r w:rsidRPr="00A41BC7">
              <w:rPr>
                <w:rFonts w:cs="Arial"/>
                <w:b/>
                <w:i/>
                <w:sz w:val="22"/>
                <w:szCs w:val="22"/>
              </w:rPr>
              <w:t>TITLE</w:t>
            </w:r>
          </w:p>
        </w:tc>
      </w:tr>
      <w:tr w:rsidR="00B44AC0" w:rsidRPr="00A41BC7" w14:paraId="4066C63E" w14:textId="77777777" w:rsidTr="00925795">
        <w:trPr>
          <w:cantSplit/>
          <w:jc w:val="center"/>
        </w:trPr>
        <w:tc>
          <w:tcPr>
            <w:tcW w:w="1530" w:type="dxa"/>
            <w:tcMar>
              <w:top w:w="72" w:type="dxa"/>
              <w:bottom w:w="72" w:type="dxa"/>
            </w:tcMar>
          </w:tcPr>
          <w:p w14:paraId="1335D06C" w14:textId="77777777" w:rsidR="00B44AC0" w:rsidRPr="00A41BC7" w:rsidRDefault="00B44AC0"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b/>
                <w:i/>
                <w:sz w:val="22"/>
                <w:szCs w:val="22"/>
              </w:rPr>
            </w:pPr>
            <w:r w:rsidRPr="00A41BC7">
              <w:rPr>
                <w:b/>
                <w:i/>
                <w:sz w:val="22"/>
                <w:szCs w:val="22"/>
              </w:rPr>
              <w:t>FV1</w:t>
            </w:r>
            <w:r w:rsidRPr="00A41BC7">
              <w:rPr>
                <w:rStyle w:val="FootnoteReference"/>
                <w:b/>
                <w:i/>
                <w:sz w:val="22"/>
                <w:szCs w:val="22"/>
                <w:vertAlign w:val="superscript"/>
              </w:rPr>
              <w:footnoteReference w:id="2"/>
            </w:r>
          </w:p>
        </w:tc>
        <w:tc>
          <w:tcPr>
            <w:tcW w:w="8730" w:type="dxa"/>
            <w:tcMar>
              <w:top w:w="72" w:type="dxa"/>
              <w:bottom w:w="72" w:type="dxa"/>
            </w:tcMar>
          </w:tcPr>
          <w:p w14:paraId="128982AC" w14:textId="77777777" w:rsidR="00B44AC0" w:rsidRPr="00A41BC7" w:rsidRDefault="00B44AC0" w:rsidP="00925795">
            <w:pPr>
              <w:rPr>
                <w:rFonts w:cs="Arial"/>
                <w:b/>
                <w:i/>
                <w:sz w:val="22"/>
                <w:szCs w:val="22"/>
              </w:rPr>
            </w:pPr>
            <w:r w:rsidRPr="00A41BC7">
              <w:rPr>
                <w:b/>
                <w:i/>
                <w:sz w:val="22"/>
                <w:szCs w:val="22"/>
              </w:rPr>
              <w:t>Verification of Funds Availability Request</w:t>
            </w:r>
          </w:p>
        </w:tc>
      </w:tr>
      <w:tr w:rsidR="00B44AC0" w:rsidRPr="00A41BC7" w14:paraId="554560E1" w14:textId="77777777" w:rsidTr="00925795">
        <w:trPr>
          <w:cantSplit/>
          <w:jc w:val="center"/>
        </w:trPr>
        <w:tc>
          <w:tcPr>
            <w:tcW w:w="1530" w:type="dxa"/>
            <w:tcMar>
              <w:top w:w="72" w:type="dxa"/>
              <w:bottom w:w="72" w:type="dxa"/>
            </w:tcMar>
          </w:tcPr>
          <w:p w14:paraId="41D0167C" w14:textId="77777777" w:rsidR="00B44AC0" w:rsidRPr="00A41BC7" w:rsidRDefault="00B44AC0" w:rsidP="009257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i/>
              </w:rPr>
            </w:pPr>
            <w:r w:rsidRPr="00A41BC7">
              <w:rPr>
                <w:b/>
                <w:i/>
                <w:sz w:val="22"/>
                <w:szCs w:val="22"/>
              </w:rPr>
              <w:t>FV2</w:t>
            </w:r>
          </w:p>
        </w:tc>
        <w:tc>
          <w:tcPr>
            <w:tcW w:w="8730" w:type="dxa"/>
            <w:tcMar>
              <w:top w:w="72" w:type="dxa"/>
              <w:bottom w:w="72" w:type="dxa"/>
            </w:tcMar>
          </w:tcPr>
          <w:p w14:paraId="66FB6458" w14:textId="77777777" w:rsidR="00B44AC0" w:rsidRPr="00A41BC7" w:rsidRDefault="00B44AC0" w:rsidP="00925795">
            <w:pPr>
              <w:rPr>
                <w:b/>
                <w:i/>
              </w:rPr>
            </w:pPr>
            <w:r w:rsidRPr="00A41BC7">
              <w:rPr>
                <w:b/>
                <w:i/>
                <w:sz w:val="22"/>
                <w:szCs w:val="22"/>
              </w:rPr>
              <w:t>Verification of Funds Availability Reply</w:t>
            </w:r>
          </w:p>
        </w:tc>
      </w:tr>
    </w:tbl>
    <w:p w14:paraId="570E8579" w14:textId="77777777" w:rsidR="00A41BC7" w:rsidRDefault="00A41BC7" w:rsidP="00925795">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after="240"/>
        <w:jc w:val="left"/>
        <w:rPr>
          <w:rFonts w:ascii="Times New Roman" w:hAnsi="Times New Roman"/>
          <w:szCs w:val="24"/>
        </w:rPr>
      </w:pPr>
    </w:p>
    <w:sectPr w:rsidR="00A41BC7" w:rsidSect="009C73CB">
      <w:headerReference w:type="even" r:id="rId10"/>
      <w:headerReference w:type="default" r:id="rId11"/>
      <w:footerReference w:type="even" r:id="rId12"/>
      <w:footerReference w:type="default" r:id="rId13"/>
      <w:endnotePr>
        <w:numFmt w:val="decimal"/>
      </w:endnotePr>
      <w:pgSz w:w="12240" w:h="15840"/>
      <w:pgMar w:top="1728" w:right="1440" w:bottom="1728"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3741" w14:textId="77777777" w:rsidR="00E53C98" w:rsidRDefault="00E53C98">
      <w:r>
        <w:separator/>
      </w:r>
    </w:p>
  </w:endnote>
  <w:endnote w:type="continuationSeparator" w:id="0">
    <w:p w14:paraId="7B781BAB" w14:textId="77777777" w:rsidR="00E53C98" w:rsidRDefault="00E53C98">
      <w:r>
        <w:continuationSeparator/>
      </w:r>
    </w:p>
  </w:endnote>
  <w:endnote w:type="continuationNotice" w:id="1">
    <w:p w14:paraId="6B3192F6" w14:textId="77777777" w:rsidR="00A30F26" w:rsidRDefault="00A30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E7F" w14:textId="77777777" w:rsidR="00E53C98" w:rsidRPr="006D00A6" w:rsidRDefault="00E53C98" w:rsidP="00C0400F">
    <w:pPr>
      <w:framePr w:wrap="around" w:vAnchor="text" w:hAnchor="margin" w:xAlign="center" w:y="1"/>
      <w:jc w:val="center"/>
      <w:rPr>
        <w:sz w:val="20"/>
      </w:rPr>
    </w:pPr>
    <w:r w:rsidRPr="006D00A6">
      <w:rPr>
        <w:sz w:val="20"/>
      </w:rPr>
      <w:fldChar w:fldCharType="begin"/>
    </w:r>
    <w:r w:rsidRPr="006D00A6">
      <w:rPr>
        <w:sz w:val="20"/>
      </w:rPr>
      <w:instrText xml:space="preserve">PAGE </w:instrText>
    </w:r>
    <w:r w:rsidRPr="006D00A6">
      <w:rPr>
        <w:sz w:val="20"/>
      </w:rPr>
      <w:fldChar w:fldCharType="separate"/>
    </w:r>
    <w:r>
      <w:rPr>
        <w:noProof/>
        <w:sz w:val="20"/>
      </w:rPr>
      <w:t>70</w:t>
    </w:r>
    <w:r w:rsidRPr="006D00A6">
      <w:rPr>
        <w:sz w:val="20"/>
      </w:rPr>
      <w:fldChar w:fldCharType="end"/>
    </w:r>
  </w:p>
  <w:p w14:paraId="25F36E80" w14:textId="77777777" w:rsidR="00E53C98" w:rsidRPr="006D00A6" w:rsidRDefault="00E53C98" w:rsidP="006D00A6">
    <w:pPr>
      <w:jc w:val="right"/>
      <w:rPr>
        <w:sz w:val="20"/>
      </w:rPr>
    </w:pPr>
    <w:r w:rsidRPr="006D00A6">
      <w:rPr>
        <w:sz w:val="20"/>
      </w:rPr>
      <w:t>APPENDIX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E5AE" w14:textId="0B709CFA" w:rsidR="00361A4A" w:rsidRDefault="00361A4A">
    <w:pPr>
      <w:pStyle w:val="Footer"/>
      <w:jc w:val="right"/>
    </w:pPr>
    <w:r>
      <w:t>AP3-</w:t>
    </w:r>
    <w:sdt>
      <w:sdtPr>
        <w:id w:val="17722037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38E1">
          <w:rPr>
            <w:noProof/>
          </w:rPr>
          <w:t>1</w:t>
        </w:r>
        <w:r>
          <w:rPr>
            <w:noProof/>
          </w:rPr>
          <w:fldChar w:fldCharType="end"/>
        </w:r>
        <w:r>
          <w:rPr>
            <w:noProof/>
          </w:rPr>
          <w:tab/>
          <w:t>APPENDIX 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5839" w14:textId="77777777" w:rsidR="00E53C98" w:rsidRDefault="00E53C98">
      <w:r>
        <w:separator/>
      </w:r>
    </w:p>
  </w:footnote>
  <w:footnote w:type="continuationSeparator" w:id="0">
    <w:p w14:paraId="6EB9EEE7" w14:textId="77777777" w:rsidR="00E53C98" w:rsidRDefault="00E53C98">
      <w:r>
        <w:continuationSeparator/>
      </w:r>
    </w:p>
  </w:footnote>
  <w:footnote w:type="continuationNotice" w:id="1">
    <w:p w14:paraId="4DF93630" w14:textId="77777777" w:rsidR="00A30F26" w:rsidRDefault="00A30F26"/>
  </w:footnote>
  <w:footnote w:id="2">
    <w:p w14:paraId="61A27A91" w14:textId="77777777" w:rsidR="00E53C98" w:rsidRPr="00A41BC7" w:rsidRDefault="00E53C98" w:rsidP="00B44AC0">
      <w:pPr>
        <w:pStyle w:val="FootnoteText"/>
        <w:ind w:left="0" w:firstLine="0"/>
        <w:rPr>
          <w:rFonts w:ascii="Arial" w:hAnsi="Arial" w:cs="Arial"/>
          <w:b/>
          <w:i/>
        </w:rPr>
      </w:pPr>
      <w:r w:rsidRPr="00A41BC7">
        <w:rPr>
          <w:rStyle w:val="FootnoteReference"/>
          <w:rFonts w:ascii="Arial" w:hAnsi="Arial" w:cs="Arial"/>
          <w:b/>
          <w:i/>
          <w:vertAlign w:val="superscript"/>
        </w:rPr>
        <w:footnoteRef/>
      </w:r>
      <w:r w:rsidRPr="00A41BC7">
        <w:rPr>
          <w:rFonts w:ascii="Arial" w:hAnsi="Arial" w:cs="Arial"/>
          <w:b/>
          <w:i/>
        </w:rPr>
        <w:t xml:space="preserve"> No other use of the </w:t>
      </w:r>
      <w:r w:rsidRPr="00A41BC7">
        <w:rPr>
          <w:rFonts w:ascii="Arial" w:eastAsia="Calibri" w:hAnsi="Arial" w:cs="Arial"/>
          <w:b/>
          <w:i/>
        </w:rPr>
        <w:t>DIC FV1 is supported under MILSBILLS.  DLA will phase out its current use associated with the DLA Troop Support supply chain.  There is no impact on the funds verification process.  Refer to ADC 1068</w:t>
      </w:r>
      <w:r>
        <w:rPr>
          <w:rFonts w:ascii="Arial" w:eastAsia="Calibri" w:hAnsi="Arial" w:cs="Arial"/>
          <w:b/>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E7C" w14:textId="77777777" w:rsidR="00E53C98" w:rsidRDefault="00E53C98" w:rsidP="00D17B7C">
    <w:pPr>
      <w:pStyle w:val="Header"/>
      <w:tabs>
        <w:tab w:val="left" w:pos="7200"/>
      </w:tabs>
      <w:jc w:val="right"/>
    </w:pPr>
    <w:r w:rsidRPr="005C56A4">
      <w:rPr>
        <w:i/>
        <w:sz w:val="20"/>
      </w:rPr>
      <w:t>DoD 4000.25-7-M</w:t>
    </w:r>
    <w:r>
      <w:rPr>
        <w:i/>
        <w:sz w:val="20"/>
      </w:rPr>
      <w:t>, March 2004</w:t>
    </w:r>
  </w:p>
  <w:p w14:paraId="25F36E7D" w14:textId="77777777" w:rsidR="00E53C98" w:rsidRPr="00D17B7C" w:rsidRDefault="00E53C98" w:rsidP="00D17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E7E" w14:textId="0CEE6091" w:rsidR="00E53C98" w:rsidRPr="00551E44" w:rsidRDefault="00E53C98">
    <w:pPr>
      <w:tabs>
        <w:tab w:val="left" w:pos="-1440"/>
      </w:tabs>
      <w:jc w:val="right"/>
      <w:rPr>
        <w:rFonts w:cs="Arial"/>
        <w:i/>
        <w:szCs w:val="24"/>
      </w:rPr>
    </w:pPr>
    <w:r w:rsidRPr="00551E44">
      <w:rPr>
        <w:rFonts w:cs="Arial"/>
        <w:i/>
        <w:szCs w:val="24"/>
      </w:rPr>
      <w:t xml:space="preserve">DLM 4000.25, Volume 4, </w:t>
    </w:r>
    <w:r w:rsidR="000038E1">
      <w:rPr>
        <w:rFonts w:cs="Arial"/>
        <w:i/>
        <w:szCs w:val="24"/>
      </w:rPr>
      <w:t>May 04</w:t>
    </w:r>
    <w:r w:rsidR="00925795">
      <w:rPr>
        <w:rFonts w:cs="Arial"/>
        <w:i/>
        <w:szCs w:val="24"/>
      </w:rPr>
      <w:t>, 2018</w:t>
    </w:r>
  </w:p>
  <w:p w14:paraId="498A3650" w14:textId="5A9D78FE" w:rsidR="00E53C98" w:rsidRPr="00551E44" w:rsidRDefault="00E53C98">
    <w:pPr>
      <w:tabs>
        <w:tab w:val="left" w:pos="-1440"/>
      </w:tabs>
      <w:jc w:val="right"/>
      <w:rPr>
        <w:i/>
        <w:sz w:val="20"/>
      </w:rPr>
    </w:pPr>
    <w:r w:rsidRPr="00551E44">
      <w:rPr>
        <w:rFonts w:cs="Arial"/>
        <w:i/>
        <w:szCs w:val="24"/>
      </w:rPr>
      <w:t xml:space="preserve">Change </w:t>
    </w:r>
    <w:r w:rsidR="000038E1">
      <w:rPr>
        <w:rFonts w:cs="Arial"/>
        <w:i/>
        <w:szCs w:val="24"/>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0F"/>
    <w:rsid w:val="000038E1"/>
    <w:rsid w:val="00053D84"/>
    <w:rsid w:val="000732F8"/>
    <w:rsid w:val="00087399"/>
    <w:rsid w:val="00114913"/>
    <w:rsid w:val="00142D51"/>
    <w:rsid w:val="00173372"/>
    <w:rsid w:val="001F6E91"/>
    <w:rsid w:val="00245F24"/>
    <w:rsid w:val="00293565"/>
    <w:rsid w:val="002F264C"/>
    <w:rsid w:val="0034159B"/>
    <w:rsid w:val="00361A4A"/>
    <w:rsid w:val="00382F6E"/>
    <w:rsid w:val="003A54A2"/>
    <w:rsid w:val="003A7576"/>
    <w:rsid w:val="003B539D"/>
    <w:rsid w:val="003B7F96"/>
    <w:rsid w:val="004167C7"/>
    <w:rsid w:val="0044730B"/>
    <w:rsid w:val="00483E0A"/>
    <w:rsid w:val="004A0985"/>
    <w:rsid w:val="004C40D9"/>
    <w:rsid w:val="004E13AB"/>
    <w:rsid w:val="00532957"/>
    <w:rsid w:val="00535FFC"/>
    <w:rsid w:val="00551E44"/>
    <w:rsid w:val="005720D9"/>
    <w:rsid w:val="00577A5C"/>
    <w:rsid w:val="00587600"/>
    <w:rsid w:val="005C56A4"/>
    <w:rsid w:val="005F2758"/>
    <w:rsid w:val="00610567"/>
    <w:rsid w:val="006466B0"/>
    <w:rsid w:val="006D00A6"/>
    <w:rsid w:val="00711B6B"/>
    <w:rsid w:val="00755A76"/>
    <w:rsid w:val="00757202"/>
    <w:rsid w:val="0076560D"/>
    <w:rsid w:val="00780642"/>
    <w:rsid w:val="0080647B"/>
    <w:rsid w:val="00813B26"/>
    <w:rsid w:val="008368DD"/>
    <w:rsid w:val="00862010"/>
    <w:rsid w:val="008B41E6"/>
    <w:rsid w:val="008F4855"/>
    <w:rsid w:val="009064BB"/>
    <w:rsid w:val="0091226A"/>
    <w:rsid w:val="00912A3B"/>
    <w:rsid w:val="00925795"/>
    <w:rsid w:val="00972C30"/>
    <w:rsid w:val="009C73CB"/>
    <w:rsid w:val="009D2B10"/>
    <w:rsid w:val="009D4704"/>
    <w:rsid w:val="00A30F26"/>
    <w:rsid w:val="00A3206D"/>
    <w:rsid w:val="00A41BC7"/>
    <w:rsid w:val="00A5547C"/>
    <w:rsid w:val="00A82CE5"/>
    <w:rsid w:val="00A85B2F"/>
    <w:rsid w:val="00AA6A8A"/>
    <w:rsid w:val="00AD1D9B"/>
    <w:rsid w:val="00AF5035"/>
    <w:rsid w:val="00B10BD9"/>
    <w:rsid w:val="00B10C8F"/>
    <w:rsid w:val="00B130EA"/>
    <w:rsid w:val="00B44AC0"/>
    <w:rsid w:val="00B45345"/>
    <w:rsid w:val="00B77E89"/>
    <w:rsid w:val="00C0400F"/>
    <w:rsid w:val="00C1311B"/>
    <w:rsid w:val="00C47833"/>
    <w:rsid w:val="00C54C64"/>
    <w:rsid w:val="00D12C05"/>
    <w:rsid w:val="00D17B7C"/>
    <w:rsid w:val="00D272AA"/>
    <w:rsid w:val="00D6370E"/>
    <w:rsid w:val="00D7212B"/>
    <w:rsid w:val="00E53C98"/>
    <w:rsid w:val="00E55432"/>
    <w:rsid w:val="00E72B3C"/>
    <w:rsid w:val="00E957AD"/>
    <w:rsid w:val="00EE1911"/>
    <w:rsid w:val="00F01671"/>
    <w:rsid w:val="00F3050C"/>
    <w:rsid w:val="00F85CF5"/>
    <w:rsid w:val="00FF0504"/>
    <w:rsid w:val="00FF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5F36DCE"/>
  <w15:docId w15:val="{AB76422A-4558-46C0-BE54-02AC3099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AD"/>
    <w:pPr>
      <w:widowControl w:val="0"/>
    </w:pPr>
    <w:rPr>
      <w:rFonts w:ascii="Arial" w:hAnsi="Arial"/>
      <w:sz w:val="24"/>
    </w:rPr>
  </w:style>
  <w:style w:type="paragraph" w:styleId="Heading3">
    <w:name w:val="heading 3"/>
    <w:basedOn w:val="Normal"/>
    <w:next w:val="Normal"/>
    <w:link w:val="Heading3Char"/>
    <w:uiPriority w:val="9"/>
    <w:unhideWhenUsed/>
    <w:qFormat/>
    <w:rsid w:val="00293565"/>
    <w:pPr>
      <w:keepNext/>
      <w:widowControl/>
      <w:spacing w:after="360"/>
      <w:jc w:val="center"/>
      <w:outlineLvl w:val="2"/>
    </w:pPr>
    <w:rPr>
      <w:rFonts w:ascii="Times New Roman" w:eastAsia="Calibri" w:hAnsi="Times New Roman"/>
      <w:b/>
      <w:bCs/>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957AD"/>
  </w:style>
  <w:style w:type="paragraph" w:styleId="Header">
    <w:name w:val="header"/>
    <w:basedOn w:val="Normal"/>
    <w:link w:val="HeaderChar"/>
    <w:uiPriority w:val="99"/>
    <w:rsid w:val="00E957AD"/>
    <w:pPr>
      <w:tabs>
        <w:tab w:val="center" w:pos="4320"/>
        <w:tab w:val="right" w:pos="8640"/>
      </w:tabs>
    </w:pPr>
  </w:style>
  <w:style w:type="character" w:customStyle="1" w:styleId="HeaderChar">
    <w:name w:val="Header Char"/>
    <w:basedOn w:val="DefaultParagraphFont"/>
    <w:link w:val="Header"/>
    <w:uiPriority w:val="99"/>
    <w:semiHidden/>
    <w:rsid w:val="00821DF3"/>
    <w:rPr>
      <w:rFonts w:ascii="Arial" w:hAnsi="Arial"/>
      <w:sz w:val="24"/>
    </w:rPr>
  </w:style>
  <w:style w:type="paragraph" w:styleId="Footer">
    <w:name w:val="footer"/>
    <w:basedOn w:val="Normal"/>
    <w:link w:val="FooterChar"/>
    <w:uiPriority w:val="99"/>
    <w:rsid w:val="00E957AD"/>
    <w:pPr>
      <w:tabs>
        <w:tab w:val="center" w:pos="4320"/>
        <w:tab w:val="right" w:pos="8640"/>
      </w:tabs>
    </w:pPr>
  </w:style>
  <w:style w:type="character" w:customStyle="1" w:styleId="FooterChar">
    <w:name w:val="Footer Char"/>
    <w:basedOn w:val="DefaultParagraphFont"/>
    <w:link w:val="Footer"/>
    <w:uiPriority w:val="99"/>
    <w:rsid w:val="00821DF3"/>
    <w:rPr>
      <w:rFonts w:ascii="Arial" w:hAnsi="Arial"/>
      <w:sz w:val="24"/>
    </w:rPr>
  </w:style>
  <w:style w:type="character" w:styleId="PageNumber">
    <w:name w:val="page number"/>
    <w:basedOn w:val="DefaultParagraphFont"/>
    <w:uiPriority w:val="99"/>
    <w:rsid w:val="00C0400F"/>
    <w:rPr>
      <w:rFonts w:cs="Times New Roman"/>
    </w:rPr>
  </w:style>
  <w:style w:type="character" w:styleId="Hyperlink">
    <w:name w:val="Hyperlink"/>
    <w:basedOn w:val="DefaultParagraphFont"/>
    <w:uiPriority w:val="99"/>
    <w:rsid w:val="00483E0A"/>
    <w:rPr>
      <w:rFonts w:cs="Times New Roman"/>
      <w:color w:val="0000FF"/>
      <w:u w:val="single"/>
    </w:rPr>
  </w:style>
  <w:style w:type="paragraph" w:styleId="BalloonText">
    <w:name w:val="Balloon Text"/>
    <w:basedOn w:val="Normal"/>
    <w:link w:val="BalloonTextChar"/>
    <w:rsid w:val="00F01671"/>
    <w:rPr>
      <w:rFonts w:ascii="Tahoma" w:hAnsi="Tahoma" w:cs="Tahoma"/>
      <w:sz w:val="16"/>
      <w:szCs w:val="16"/>
    </w:rPr>
  </w:style>
  <w:style w:type="character" w:customStyle="1" w:styleId="BalloonTextChar">
    <w:name w:val="Balloon Text Char"/>
    <w:basedOn w:val="DefaultParagraphFont"/>
    <w:link w:val="BalloonText"/>
    <w:rsid w:val="00F01671"/>
    <w:rPr>
      <w:rFonts w:ascii="Tahoma" w:hAnsi="Tahoma" w:cs="Tahoma"/>
      <w:sz w:val="16"/>
      <w:szCs w:val="16"/>
    </w:rPr>
  </w:style>
  <w:style w:type="character" w:customStyle="1" w:styleId="Heading3Char">
    <w:name w:val="Heading 3 Char"/>
    <w:basedOn w:val="DefaultParagraphFont"/>
    <w:link w:val="Heading3"/>
    <w:uiPriority w:val="9"/>
    <w:rsid w:val="00293565"/>
    <w:rPr>
      <w:rFonts w:eastAsia="Calibri"/>
      <w:b/>
      <w:bCs/>
      <w:sz w:val="36"/>
      <w:szCs w:val="24"/>
      <w:u w:val="single"/>
    </w:rPr>
  </w:style>
  <w:style w:type="paragraph" w:customStyle="1" w:styleId="1appxftmtr">
    <w:name w:val="1appx/ftmtr"/>
    <w:uiPriority w:val="99"/>
    <w:rsid w:val="002935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MtgPara">
    <w:name w:val="Mtg Para"/>
    <w:rsid w:val="00293565"/>
    <w:pPr>
      <w:widowControl w:val="0"/>
    </w:pPr>
    <w:rPr>
      <w:rFonts w:ascii="Arial" w:hAnsi="Arial"/>
      <w:snapToGrid w:val="0"/>
      <w:sz w:val="24"/>
    </w:rPr>
  </w:style>
  <w:style w:type="character" w:styleId="FollowedHyperlink">
    <w:name w:val="FollowedHyperlink"/>
    <w:basedOn w:val="DefaultParagraphFont"/>
    <w:rsid w:val="002F264C"/>
    <w:rPr>
      <w:color w:val="800080" w:themeColor="followedHyperlink"/>
      <w:u w:val="single"/>
    </w:rPr>
  </w:style>
  <w:style w:type="character" w:customStyle="1" w:styleId="FootnoteTextChar">
    <w:name w:val="Footnote Text Char"/>
    <w:aliases w:val="ft Char"/>
    <w:basedOn w:val="DefaultParagraphFont"/>
    <w:link w:val="FootnoteText"/>
    <w:locked/>
    <w:rsid w:val="00A41BC7"/>
  </w:style>
  <w:style w:type="paragraph" w:styleId="FootnoteText">
    <w:name w:val="footnote text"/>
    <w:aliases w:val="ft"/>
    <w:basedOn w:val="Normal"/>
    <w:link w:val="FootnoteTextChar"/>
    <w:unhideWhenUsed/>
    <w:rsid w:val="00A41BC7"/>
    <w:pPr>
      <w:widowControl/>
      <w:ind w:left="274" w:hanging="274"/>
    </w:pPr>
    <w:rPr>
      <w:rFonts w:ascii="Times New Roman" w:hAnsi="Times New Roman"/>
      <w:sz w:val="20"/>
    </w:rPr>
  </w:style>
  <w:style w:type="character" w:customStyle="1" w:styleId="FootnoteTextChar1">
    <w:name w:val="Footnote Text Char1"/>
    <w:basedOn w:val="DefaultParagraphFont"/>
    <w:rsid w:val="00A41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4047">
      <w:bodyDiv w:val="1"/>
      <w:marLeft w:val="0"/>
      <w:marRight w:val="0"/>
      <w:marTop w:val="0"/>
      <w:marBottom w:val="0"/>
      <w:divBdr>
        <w:top w:val="none" w:sz="0" w:space="0" w:color="auto"/>
        <w:left w:val="none" w:sz="0" w:space="0" w:color="auto"/>
        <w:bottom w:val="none" w:sz="0" w:space="0" w:color="auto"/>
        <w:right w:val="none" w:sz="0" w:space="0" w:color="auto"/>
      </w:divBdr>
    </w:div>
    <w:div w:id="6365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C2157-D59A-4275-9046-6CAC0C3BA0F8}"/>
</file>

<file path=customXml/itemProps2.xml><?xml version="1.0" encoding="utf-8"?>
<ds:datastoreItem xmlns:ds="http://schemas.openxmlformats.org/officeDocument/2006/customXml" ds:itemID="{2DB61827-CE61-4D42-9D88-3E805036FD0F}">
  <ds:schemaRefs>
    <ds:schemaRef ds:uri="http://schemas.microsoft.com/sharepoint/v3/contenttype/forms"/>
  </ds:schemaRefs>
</ds:datastoreItem>
</file>

<file path=customXml/itemProps3.xml><?xml version="1.0" encoding="utf-8"?>
<ds:datastoreItem xmlns:ds="http://schemas.openxmlformats.org/officeDocument/2006/customXml" ds:itemID="{4E05B0AE-ABFB-44A8-9AF3-58DE5113AA6C}">
  <ds:schemaRefs>
    <ds:schemaRef ds:uri="http://www.w3.org/XML/1998/namespace"/>
    <ds:schemaRef ds:uri="http://purl.org/dc/terms/"/>
    <ds:schemaRef ds:uri="http://purl.org/dc/elements/1.1/"/>
    <ds:schemaRef ds:uri="http://schemas.microsoft.com/sharepoint/v3"/>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AFF9B541-A395-4FE5-8A4D-6F4D5E1F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90869F74.dotm</Template>
  <TotalTime>150</TotalTime>
  <Pages>2</Pages>
  <Words>452</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AP3 Record Formats</vt:lpstr>
    </vt:vector>
  </TitlesOfParts>
  <Company>DLA/DLMSO</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AP3 Record Formats</dc:title>
  <dc:creator>Dennis Thomas</dc:creator>
  <cp:lastModifiedBy>Nguyen, Bao X CTR DLA INFO OPERATIONS (US)</cp:lastModifiedBy>
  <cp:revision>23</cp:revision>
  <cp:lastPrinted>2014-04-23T14:25:00Z</cp:lastPrinted>
  <dcterms:created xsi:type="dcterms:W3CDTF">2012-02-03T14:14:00Z</dcterms:created>
  <dcterms:modified xsi:type="dcterms:W3CDTF">2018-05-02T19:47:00Z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2399400</vt:r8>
  </property>
  <property fmtid="{D5CDD505-2E9C-101B-9397-08002B2CF9AE}" pid="7" name="_SourceUrl">
    <vt:lpwstr/>
  </property>
  <property fmtid="{D5CDD505-2E9C-101B-9397-08002B2CF9AE}" pid="8" name="_SharedFileIndex">
    <vt:lpwstr/>
  </property>
</Properties>
</file>