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91D" w14:textId="62564910" w:rsidR="003A5A54" w:rsidRPr="00803069" w:rsidRDefault="00803069" w:rsidP="0070168F">
      <w:pPr>
        <w:tabs>
          <w:tab w:val="left" w:pos="-1440"/>
        </w:tabs>
        <w:spacing w:after="12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904AEF">
        <w:rPr>
          <w:b/>
          <w:smallCaps/>
          <w:color w:val="365F91" w:themeColor="accent1" w:themeShade="BF"/>
          <w:sz w:val="32"/>
          <w:szCs w:val="44"/>
        </w:rPr>
        <w:t>Appendix 3.</w:t>
      </w:r>
      <w:r w:rsidR="007E4DD0">
        <w:rPr>
          <w:b/>
          <w:smallCaps/>
          <w:color w:val="365F91" w:themeColor="accent1" w:themeShade="BF"/>
          <w:sz w:val="32"/>
          <w:szCs w:val="44"/>
        </w:rPr>
        <w:t>2</w:t>
      </w:r>
      <w:r w:rsidRPr="00904AEF">
        <w:rPr>
          <w:b/>
          <w:smallCaps/>
          <w:color w:val="365F91" w:themeColor="accent1" w:themeShade="BF"/>
          <w:sz w:val="32"/>
          <w:szCs w:val="44"/>
        </w:rPr>
        <w:t>. –</w:t>
      </w:r>
      <w:r w:rsidRPr="0080306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9338E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Document </w:t>
      </w:r>
      <w:proofErr w:type="spellStart"/>
      <w:r w:rsidR="009338E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Identifer</w:t>
      </w:r>
      <w:proofErr w:type="spellEnd"/>
      <w:r w:rsidR="009338E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Code </w:t>
      </w:r>
      <w:r w:rsidR="003A5A54" w:rsidRPr="0080306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FV2 </w:t>
      </w:r>
      <w:r w:rsidRPr="00803069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803069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Verification of</w:t>
      </w:r>
      <w:r w:rsidR="009338E9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 </w:t>
      </w:r>
      <w:r w:rsidRPr="00803069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Funds Availability Reply</w:t>
      </w:r>
    </w:p>
    <w:p w14:paraId="05A6591E" w14:textId="77777777" w:rsidR="003A5A54" w:rsidRPr="005213EC" w:rsidRDefault="003A5A54" w:rsidP="005213EC">
      <w:pPr>
        <w:spacing w:after="160"/>
        <w:jc w:val="center"/>
        <w:rPr>
          <w:b/>
        </w:rPr>
      </w:pPr>
      <w:r w:rsidRPr="005213EC">
        <w:rPr>
          <w:b/>
        </w:rPr>
        <w:t>Transaction Format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260"/>
        <w:gridCol w:w="900"/>
        <w:gridCol w:w="810"/>
        <w:gridCol w:w="900"/>
        <w:gridCol w:w="5040"/>
        <w:gridCol w:w="1170"/>
      </w:tblGrid>
      <w:tr w:rsidR="00683145" w:rsidRPr="005213EC" w14:paraId="05A65926" w14:textId="77777777" w:rsidTr="008142FF">
        <w:trPr>
          <w:cantSplit/>
          <w:tblHeader/>
          <w:jc w:val="center"/>
        </w:trPr>
        <w:tc>
          <w:tcPr>
            <w:tcW w:w="1260" w:type="dxa"/>
            <w:tcMar>
              <w:left w:w="29" w:type="dxa"/>
              <w:right w:w="29" w:type="dxa"/>
            </w:tcMar>
          </w:tcPr>
          <w:p w14:paraId="05A6591F" w14:textId="46062E2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Data</w:t>
            </w:r>
            <w:r w:rsidR="00683145" w:rsidRPr="005213EC">
              <w:rPr>
                <w:b/>
                <w:bCs/>
                <w:snapToGrid w:val="0"/>
                <w:sz w:val="20"/>
                <w:szCs w:val="20"/>
              </w:rPr>
              <w:br/>
            </w:r>
            <w:r w:rsidRPr="005213EC">
              <w:rPr>
                <w:b/>
                <w:bCs/>
                <w:snapToGrid w:val="0"/>
                <w:sz w:val="20"/>
                <w:szCs w:val="20"/>
              </w:rPr>
              <w:t>Element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20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Data</w:t>
            </w:r>
          </w:p>
          <w:p w14:paraId="05A65921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Type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05A65922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Length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23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Required</w:t>
            </w:r>
            <w:r w:rsidRPr="005213EC">
              <w:rPr>
                <w:b/>
                <w:bCs/>
                <w:snapToGrid w:val="0"/>
                <w:sz w:val="20"/>
                <w:szCs w:val="20"/>
              </w:rPr>
              <w:br/>
              <w:t>(Yes/No)</w:t>
            </w:r>
          </w:p>
        </w:tc>
        <w:tc>
          <w:tcPr>
            <w:tcW w:w="5040" w:type="dxa"/>
            <w:tcMar>
              <w:left w:w="29" w:type="dxa"/>
              <w:right w:w="29" w:type="dxa"/>
            </w:tcMar>
          </w:tcPr>
          <w:p w14:paraId="05A65924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</w:tcPr>
          <w:p w14:paraId="05A65925" w14:textId="77777777" w:rsidR="003A5A54" w:rsidRPr="005213EC" w:rsidRDefault="003A5A54" w:rsidP="00143F3D">
            <w:pPr>
              <w:spacing w:before="20" w:after="2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213EC">
              <w:rPr>
                <w:b/>
                <w:bCs/>
                <w:snapToGrid w:val="0"/>
                <w:sz w:val="20"/>
                <w:szCs w:val="20"/>
              </w:rPr>
              <w:t>Character Restrictions</w:t>
            </w:r>
          </w:p>
        </w:tc>
      </w:tr>
      <w:tr w:rsidR="00683145" w:rsidRPr="005213EC" w14:paraId="05A6592D" w14:textId="77777777" w:rsidTr="007402F3">
        <w:trPr>
          <w:cantSplit/>
          <w:jc w:val="center"/>
        </w:trPr>
        <w:tc>
          <w:tcPr>
            <w:tcW w:w="1260" w:type="dxa"/>
            <w:tcMar>
              <w:left w:w="29" w:type="dxa"/>
              <w:right w:w="29" w:type="dxa"/>
            </w:tcMar>
          </w:tcPr>
          <w:p w14:paraId="05A65927" w14:textId="70B11704" w:rsidR="00EA45FC" w:rsidRPr="005213EC" w:rsidRDefault="00EA45FC" w:rsidP="00143F3D">
            <w:pPr>
              <w:spacing w:before="20" w:after="20"/>
              <w:rPr>
                <w:dstrike/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Document Identifier Code (DIC)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28" w14:textId="25702C24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Alpha/</w:t>
            </w:r>
            <w:r w:rsidRPr="005213EC">
              <w:rPr>
                <w:snapToGrid w:val="0"/>
                <w:sz w:val="20"/>
                <w:szCs w:val="20"/>
              </w:rPr>
              <w:br/>
              <w:t>Numeric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05A65929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2A" w14:textId="7E8AA49C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Y</w:t>
            </w:r>
            <w:r w:rsidR="00683145" w:rsidRPr="005213EC">
              <w:rPr>
                <w:snapToGrid w:val="0"/>
                <w:sz w:val="20"/>
                <w:szCs w:val="20"/>
              </w:rPr>
              <w:t>es</w:t>
            </w:r>
          </w:p>
        </w:tc>
        <w:tc>
          <w:tcPr>
            <w:tcW w:w="5040" w:type="dxa"/>
            <w:tcMar>
              <w:left w:w="43" w:type="dxa"/>
              <w:right w:w="29" w:type="dxa"/>
            </w:tcMar>
          </w:tcPr>
          <w:p w14:paraId="05A6592B" w14:textId="1F70EE4E" w:rsidR="00EA45FC" w:rsidRPr="005213EC" w:rsidRDefault="00EA45FC" w:rsidP="00143F3D">
            <w:pPr>
              <w:spacing w:before="20" w:after="20"/>
              <w:rPr>
                <w:snapToGrid w:val="0"/>
                <w:sz w:val="20"/>
                <w:szCs w:val="20"/>
                <w:lang w:val="fr-FR"/>
              </w:rPr>
            </w:pPr>
            <w:r w:rsidRPr="005213EC">
              <w:rPr>
                <w:snapToGrid w:val="0"/>
                <w:sz w:val="20"/>
                <w:szCs w:val="20"/>
                <w:lang w:val="fr-FR"/>
              </w:rPr>
              <w:t xml:space="preserve">Unique DIC </w:t>
            </w:r>
            <w:r w:rsidRPr="005213EC">
              <w:rPr>
                <w:snapToGrid w:val="0"/>
                <w:sz w:val="20"/>
                <w:szCs w:val="20"/>
              </w:rPr>
              <w:t>assigned</w:t>
            </w:r>
            <w:r w:rsidRPr="005213EC">
              <w:rPr>
                <w:snapToGrid w:val="0"/>
                <w:sz w:val="20"/>
                <w:szCs w:val="20"/>
                <w:lang w:val="fr-FR"/>
              </w:rPr>
              <w:t xml:space="preserve"> to </w:t>
            </w:r>
            <w:r w:rsidRPr="005213EC">
              <w:rPr>
                <w:snapToGrid w:val="0"/>
                <w:sz w:val="20"/>
                <w:szCs w:val="20"/>
              </w:rPr>
              <w:t>this</w:t>
            </w:r>
            <w:r w:rsidRPr="005213EC">
              <w:rPr>
                <w:snapToGrid w:val="0"/>
                <w:sz w:val="20"/>
                <w:szCs w:val="20"/>
                <w:lang w:val="fr-FR"/>
              </w:rPr>
              <w:t xml:space="preserve"> transaction.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</w:tcPr>
          <w:p w14:paraId="05A6592C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  <w:lang w:val="fr-FR"/>
              </w:rPr>
            </w:pPr>
            <w:r w:rsidRPr="005213EC">
              <w:rPr>
                <w:snapToGrid w:val="0"/>
                <w:sz w:val="20"/>
                <w:szCs w:val="20"/>
                <w:lang w:val="fr-FR"/>
              </w:rPr>
              <w:t>FV2</w:t>
            </w:r>
          </w:p>
        </w:tc>
      </w:tr>
      <w:tr w:rsidR="00683145" w:rsidRPr="005213EC" w14:paraId="05A65934" w14:textId="77777777" w:rsidTr="007402F3">
        <w:trPr>
          <w:cantSplit/>
          <w:jc w:val="center"/>
        </w:trPr>
        <w:tc>
          <w:tcPr>
            <w:tcW w:w="1260" w:type="dxa"/>
            <w:tcMar>
              <w:left w:w="29" w:type="dxa"/>
              <w:right w:w="29" w:type="dxa"/>
            </w:tcMar>
          </w:tcPr>
          <w:p w14:paraId="05A6592E" w14:textId="77777777" w:rsidR="00EA45FC" w:rsidRPr="005213EC" w:rsidRDefault="00EA45FC" w:rsidP="00143F3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lastRenderedPageBreak/>
              <w:t>Message Identification Number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2F" w14:textId="2E3D0A6F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Alpha/</w:t>
            </w:r>
            <w:r w:rsidRPr="005213EC">
              <w:rPr>
                <w:snapToGrid w:val="0"/>
                <w:sz w:val="20"/>
                <w:szCs w:val="20"/>
              </w:rPr>
              <w:br/>
              <w:t>Numeric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05A65930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20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31" w14:textId="70885C0D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Y</w:t>
            </w:r>
            <w:r w:rsidR="00683145" w:rsidRPr="005213EC">
              <w:rPr>
                <w:snapToGrid w:val="0"/>
                <w:sz w:val="20"/>
                <w:szCs w:val="20"/>
              </w:rPr>
              <w:t>es</w:t>
            </w:r>
          </w:p>
        </w:tc>
        <w:tc>
          <w:tcPr>
            <w:tcW w:w="5040" w:type="dxa"/>
            <w:tcMar>
              <w:left w:w="43" w:type="dxa"/>
              <w:right w:w="29" w:type="dxa"/>
            </w:tcMar>
          </w:tcPr>
          <w:p w14:paraId="05A65932" w14:textId="6B058B8C" w:rsidR="00EA45FC" w:rsidRPr="005213EC" w:rsidRDefault="00EA45FC" w:rsidP="00143F3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Response will use same number as initial request.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</w:tcPr>
          <w:p w14:paraId="7F39D0B4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A-Z</w:t>
            </w:r>
          </w:p>
          <w:p w14:paraId="05A65933" w14:textId="425CDA91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0-9</w:t>
            </w:r>
          </w:p>
        </w:tc>
      </w:tr>
      <w:tr w:rsidR="00683145" w:rsidRPr="005213EC" w14:paraId="05A65A02" w14:textId="77777777" w:rsidTr="007402F3">
        <w:trPr>
          <w:cantSplit/>
          <w:jc w:val="center"/>
        </w:trPr>
        <w:tc>
          <w:tcPr>
            <w:tcW w:w="1260" w:type="dxa"/>
            <w:tcMar>
              <w:left w:w="29" w:type="dxa"/>
              <w:right w:w="29" w:type="dxa"/>
            </w:tcMar>
          </w:tcPr>
          <w:p w14:paraId="05A65954" w14:textId="4D165702" w:rsidR="00EA45FC" w:rsidRPr="005213EC" w:rsidRDefault="00EA45FC" w:rsidP="00143F3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Funds Verification Reply Code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76" w14:textId="76C61565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Alpha/</w:t>
            </w:r>
            <w:r w:rsidRPr="005213EC">
              <w:rPr>
                <w:snapToGrid w:val="0"/>
                <w:sz w:val="20"/>
                <w:szCs w:val="20"/>
              </w:rPr>
              <w:br/>
              <w:t>Numeric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05A65998" w14:textId="6D14BF51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05A659BB" w14:textId="51B4A55C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Y</w:t>
            </w:r>
            <w:r w:rsidR="00683145" w:rsidRPr="005213EC">
              <w:rPr>
                <w:snapToGrid w:val="0"/>
                <w:sz w:val="20"/>
                <w:szCs w:val="20"/>
              </w:rPr>
              <w:t>es</w:t>
            </w:r>
          </w:p>
        </w:tc>
        <w:tc>
          <w:tcPr>
            <w:tcW w:w="5040" w:type="dxa"/>
            <w:tcMar>
              <w:left w:w="43" w:type="dxa"/>
              <w:right w:w="29" w:type="dxa"/>
            </w:tcMar>
          </w:tcPr>
          <w:p w14:paraId="05A659BD" w14:textId="3D521786" w:rsidR="00EA45FC" w:rsidRPr="005213EC" w:rsidRDefault="00EA45FC" w:rsidP="00143F3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  <w:u w:val="single"/>
              </w:rPr>
              <w:t>Acceptable for Continued Processing (</w:t>
            </w:r>
            <w:r w:rsidR="005B7835" w:rsidRPr="005213EC">
              <w:rPr>
                <w:snapToGrid w:val="0"/>
                <w:sz w:val="20"/>
                <w:szCs w:val="20"/>
                <w:u w:val="single"/>
              </w:rPr>
              <w:t>Alpha Codes</w:t>
            </w:r>
            <w:r w:rsidRPr="005213EC">
              <w:rPr>
                <w:snapToGrid w:val="0"/>
                <w:sz w:val="20"/>
                <w:szCs w:val="20"/>
                <w:u w:val="single"/>
              </w:rPr>
              <w:t>)</w:t>
            </w:r>
            <w:r w:rsidRPr="005213EC">
              <w:rPr>
                <w:snapToGrid w:val="0"/>
                <w:sz w:val="20"/>
                <w:szCs w:val="20"/>
              </w:rPr>
              <w:t>:</w:t>
            </w:r>
          </w:p>
          <w:p w14:paraId="05A659BF" w14:textId="225FE55A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 – Funds available; continue processing.</w:t>
            </w:r>
          </w:p>
          <w:p w14:paraId="05A659C1" w14:textId="53EE7002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B – No action; bill-to not applicable under Component procedures; continue processing.</w:t>
            </w:r>
          </w:p>
          <w:p w14:paraId="05A659C3" w14:textId="3EE14ED8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C</w:t>
            </w:r>
            <w:r w:rsidR="00683145" w:rsidRPr="005213EC">
              <w:rPr>
                <w:snapToGrid w:val="0"/>
                <w:sz w:val="20"/>
                <w:szCs w:val="20"/>
              </w:rPr>
              <w:t xml:space="preserve"> –</w:t>
            </w:r>
            <w:r w:rsidRPr="005213EC">
              <w:rPr>
                <w:snapToGrid w:val="0"/>
                <w:sz w:val="20"/>
                <w:szCs w:val="20"/>
              </w:rPr>
              <w:t xml:space="preserve"> Reserved</w:t>
            </w:r>
          </w:p>
          <w:p w14:paraId="05A659C5" w14:textId="60063AC5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D – No action due third party bill-to; continue processing.</w:t>
            </w:r>
          </w:p>
          <w:p w14:paraId="05A659C7" w14:textId="6A0989AE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E – Funds available, duplicate message identification number; continue processing.</w:t>
            </w:r>
          </w:p>
          <w:p w14:paraId="05A659C9" w14:textId="19915005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 xml:space="preserve">F </w:t>
            </w:r>
            <w:r w:rsidR="00683145" w:rsidRPr="005213EC">
              <w:rPr>
                <w:snapToGrid w:val="0"/>
                <w:sz w:val="20"/>
                <w:szCs w:val="20"/>
              </w:rPr>
              <w:t>–</w:t>
            </w:r>
            <w:r w:rsidRPr="005213EC">
              <w:rPr>
                <w:snapToGrid w:val="0"/>
                <w:sz w:val="20"/>
                <w:szCs w:val="20"/>
              </w:rPr>
              <w:t xml:space="preserve"> Reserved</w:t>
            </w:r>
          </w:p>
          <w:p w14:paraId="05A659CB" w14:textId="45AE641B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G – No action, other-Component bill-to; Confirm correct information and obligation has been recorded.  If correct/confirmed, continue processing.</w:t>
            </w:r>
          </w:p>
          <w:p w14:paraId="05A659CD" w14:textId="4E433454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H – No action on modifier/follow-up due to previously recorded obligation; continue processing.</w:t>
            </w:r>
          </w:p>
          <w:p w14:paraId="05A659CF" w14:textId="0F5A4E51" w:rsidR="00EA45FC" w:rsidRPr="005213EC" w:rsidRDefault="00EA45FC" w:rsidP="00143F3D">
            <w:pPr>
              <w:spacing w:before="20" w:after="20"/>
              <w:ind w:left="360" w:hanging="360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  <w:u w:val="single"/>
              </w:rPr>
              <w:t>Funds Verification Rejection (</w:t>
            </w:r>
            <w:r w:rsidR="005B7835" w:rsidRPr="005213EC">
              <w:rPr>
                <w:snapToGrid w:val="0"/>
                <w:sz w:val="20"/>
                <w:szCs w:val="20"/>
                <w:u w:val="single"/>
              </w:rPr>
              <w:t>Numeric Codes</w:t>
            </w:r>
            <w:r w:rsidRPr="005213EC">
              <w:rPr>
                <w:snapToGrid w:val="0"/>
                <w:sz w:val="20"/>
                <w:szCs w:val="20"/>
                <w:u w:val="single"/>
              </w:rPr>
              <w:t>)</w:t>
            </w:r>
            <w:r w:rsidRPr="005213EC">
              <w:rPr>
                <w:snapToGrid w:val="0"/>
                <w:sz w:val="20"/>
                <w:szCs w:val="20"/>
              </w:rPr>
              <w:t>:</w:t>
            </w:r>
          </w:p>
          <w:p w14:paraId="05A659D1" w14:textId="3E3A2B11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 xml:space="preserve">1 – Order rejected due to lack of available funds for bill-to </w:t>
            </w:r>
            <w:r w:rsidR="00A83EF5" w:rsidRPr="005213EC">
              <w:rPr>
                <w:snapToGrid w:val="0"/>
                <w:sz w:val="20"/>
                <w:szCs w:val="20"/>
              </w:rPr>
              <w:t>Department of Defense Activity Address Code (</w:t>
            </w:r>
            <w:r w:rsidRPr="005213EC">
              <w:rPr>
                <w:snapToGrid w:val="0"/>
                <w:sz w:val="20"/>
                <w:szCs w:val="20"/>
              </w:rPr>
              <w:t>DoDAAC</w:t>
            </w:r>
            <w:r w:rsidR="00A83EF5" w:rsidRPr="005213EC">
              <w:rPr>
                <w:snapToGrid w:val="0"/>
                <w:sz w:val="20"/>
                <w:szCs w:val="20"/>
              </w:rPr>
              <w:t>)</w:t>
            </w:r>
            <w:r w:rsidRPr="005213EC">
              <w:rPr>
                <w:snapToGrid w:val="0"/>
                <w:sz w:val="20"/>
                <w:szCs w:val="20"/>
              </w:rPr>
              <w:t>; do not process.</w:t>
            </w:r>
          </w:p>
          <w:p w14:paraId="05A659D3" w14:textId="442ECD73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2 – Order rejected due to unauthorized bill-to DoDAAC under Component procedures; do not process.</w:t>
            </w:r>
          </w:p>
          <w:p w14:paraId="05A659D5" w14:textId="528C8506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3 – Invalid Fund Code; do not process.</w:t>
            </w:r>
          </w:p>
          <w:p w14:paraId="05A659D7" w14:textId="73D8259F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4 – Duplicate document number (or document number/suffix); do not process.</w:t>
            </w:r>
          </w:p>
          <w:p w14:paraId="05A659D9" w14:textId="46283AEC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5 – Modifier/follow-up with different materiel identification; do not process.</w:t>
            </w:r>
          </w:p>
          <w:p w14:paraId="05A659DB" w14:textId="10695ACF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6 – Supply class not authorized for this customer; do not process.</w:t>
            </w:r>
          </w:p>
          <w:p w14:paraId="05A659DD" w14:textId="4F2E3487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 xml:space="preserve">7 – </w:t>
            </w:r>
            <w:r w:rsidR="00A83EF5" w:rsidRPr="005213EC">
              <w:rPr>
                <w:snapToGrid w:val="0"/>
                <w:sz w:val="20"/>
                <w:szCs w:val="20"/>
              </w:rPr>
              <w:t>Commercial and Government Entity</w:t>
            </w:r>
            <w:r w:rsidRPr="005213EC">
              <w:rPr>
                <w:snapToGrid w:val="0"/>
                <w:sz w:val="20"/>
                <w:szCs w:val="20"/>
              </w:rPr>
              <w:t xml:space="preserve"> code not recognized by Component system; do not process.</w:t>
            </w:r>
            <w:r w:rsidR="00A83EF5" w:rsidRPr="005213EC">
              <w:rPr>
                <w:snapToGrid w:val="0"/>
                <w:sz w:val="20"/>
                <w:szCs w:val="20"/>
              </w:rPr>
              <w:br/>
            </w:r>
            <w:r w:rsidRPr="005213EC">
              <w:rPr>
                <w:snapToGrid w:val="0"/>
                <w:sz w:val="20"/>
                <w:szCs w:val="20"/>
              </w:rPr>
              <w:t>If manually entered recheck input; if system-populated contact help desk.</w:t>
            </w:r>
          </w:p>
          <w:p w14:paraId="12593A98" w14:textId="4AC0FB25" w:rsidR="00EA45FC" w:rsidRPr="005213EC" w:rsidRDefault="00EA45FC" w:rsidP="00143F3D">
            <w:pPr>
              <w:spacing w:before="20" w:after="20"/>
              <w:ind w:left="331" w:hanging="331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 xml:space="preserve">8 – Fund Code update not authorized (status of supply action precludes modification); do not process. </w:t>
            </w:r>
          </w:p>
          <w:p w14:paraId="05A659DF" w14:textId="686F921B" w:rsidR="00EA45FC" w:rsidRPr="005213EC" w:rsidRDefault="00EA45FC" w:rsidP="00143F3D">
            <w:pPr>
              <w:spacing w:before="20" w:after="20"/>
              <w:ind w:left="317" w:hanging="317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9 – Invalid data; do not process, please contact your funding organization or resource manager.</w:t>
            </w:r>
            <w:r w:rsidRPr="005213EC">
              <w:rPr>
                <w:rStyle w:val="FootnoteReference"/>
                <w:snapToGrid w:val="0"/>
                <w:sz w:val="20"/>
                <w:szCs w:val="20"/>
              </w:rPr>
              <w:footnoteReference w:id="1"/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</w:tcPr>
          <w:p w14:paraId="11DDBA6E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A</w:t>
            </w:r>
          </w:p>
          <w:p w14:paraId="1847A942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B</w:t>
            </w:r>
          </w:p>
          <w:p w14:paraId="71674ECE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D</w:t>
            </w:r>
          </w:p>
          <w:p w14:paraId="7548C2D0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E</w:t>
            </w:r>
          </w:p>
          <w:p w14:paraId="71E8EEA9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G</w:t>
            </w:r>
          </w:p>
          <w:p w14:paraId="1EFB1A63" w14:textId="77777777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H</w:t>
            </w:r>
          </w:p>
          <w:p w14:paraId="05A65A01" w14:textId="1B450395" w:rsidR="00EA45FC" w:rsidRPr="005213EC" w:rsidRDefault="00EA45FC" w:rsidP="00143F3D">
            <w:pPr>
              <w:spacing w:before="20" w:after="20"/>
              <w:jc w:val="center"/>
              <w:rPr>
                <w:snapToGrid w:val="0"/>
                <w:sz w:val="20"/>
                <w:szCs w:val="20"/>
              </w:rPr>
            </w:pPr>
            <w:r w:rsidRPr="005213EC">
              <w:rPr>
                <w:snapToGrid w:val="0"/>
                <w:sz w:val="20"/>
                <w:szCs w:val="20"/>
              </w:rPr>
              <w:t>1- 9</w:t>
            </w:r>
          </w:p>
        </w:tc>
      </w:tr>
    </w:tbl>
    <w:p w14:paraId="05A65A04" w14:textId="77777777" w:rsidR="00986124" w:rsidRPr="00803069" w:rsidRDefault="00986124" w:rsidP="002355D6">
      <w:pPr>
        <w:rPr>
          <w:sz w:val="2"/>
          <w:szCs w:val="2"/>
        </w:rPr>
      </w:pPr>
    </w:p>
    <w:sectPr w:rsidR="00986124" w:rsidRPr="00803069" w:rsidSect="00803069">
      <w:headerReference w:type="default" r:id="rId11"/>
      <w:footerReference w:type="defaul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4664" w14:textId="77777777" w:rsidR="00CC4EFF" w:rsidRDefault="00CC4EFF" w:rsidP="00AE6EE2">
      <w:r>
        <w:separator/>
      </w:r>
    </w:p>
  </w:endnote>
  <w:endnote w:type="continuationSeparator" w:id="0">
    <w:p w14:paraId="1648632D" w14:textId="77777777" w:rsidR="00CC4EFF" w:rsidRDefault="00CC4EFF" w:rsidP="00AE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151B" w14:textId="05F7E044" w:rsidR="00AE6EE2" w:rsidRPr="00803069" w:rsidRDefault="00803069" w:rsidP="00803069">
    <w:pPr>
      <w:tabs>
        <w:tab w:val="center" w:pos="5040"/>
        <w:tab w:val="right" w:pos="10080"/>
      </w:tabs>
      <w:spacing w:before="20" w:after="20"/>
      <w:rPr>
        <w:smallCaps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904AEF">
      <w:rPr>
        <w:smallCaps/>
        <w:szCs w:val="22"/>
      </w:rPr>
      <w:t>Volume 4</w:t>
    </w:r>
    <w:r>
      <w:rPr>
        <w:smallCaps/>
        <w:szCs w:val="22"/>
      </w:rPr>
      <w:tab/>
    </w:r>
    <w:r w:rsidRPr="00904AEF">
      <w:rPr>
        <w:smallCaps/>
        <w:szCs w:val="22"/>
      </w:rPr>
      <w:t>Appendix 3</w:t>
    </w:r>
    <w:r>
      <w:rPr>
        <w:smallCaps/>
        <w:szCs w:val="22"/>
      </w:rPr>
      <w:t>.2.</w:t>
    </w:r>
    <w:r w:rsidRPr="00904AEF">
      <w:rPr>
        <w:smallCaps/>
        <w:szCs w:val="22"/>
      </w:rPr>
      <w:tab/>
      <w:t>Page AP3</w:t>
    </w:r>
    <w:r>
      <w:rPr>
        <w:smallCaps/>
        <w:szCs w:val="22"/>
      </w:rPr>
      <w:t>.</w:t>
    </w:r>
    <w:sdt>
      <w:sdtPr>
        <w:rPr>
          <w:smallCaps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>
          <w:rPr>
            <w:smallCaps/>
            <w:szCs w:val="22"/>
          </w:rPr>
          <w:t>2-</w:t>
        </w:r>
        <w:r w:rsidRPr="00904AEF">
          <w:rPr>
            <w:smallCaps/>
            <w:szCs w:val="22"/>
          </w:rPr>
          <w:fldChar w:fldCharType="begin"/>
        </w:r>
        <w:r w:rsidRPr="00904AEF">
          <w:rPr>
            <w:smallCaps/>
            <w:szCs w:val="22"/>
          </w:rPr>
          <w:instrText xml:space="preserve"> PAGE   \* MERGEFORMAT </w:instrText>
        </w:r>
        <w:r w:rsidRPr="00904AEF">
          <w:rPr>
            <w:smallCaps/>
            <w:szCs w:val="22"/>
          </w:rPr>
          <w:fldChar w:fldCharType="separate"/>
        </w:r>
        <w:r>
          <w:rPr>
            <w:smallCaps/>
            <w:szCs w:val="22"/>
          </w:rPr>
          <w:t>1</w:t>
        </w:r>
        <w:r w:rsidRPr="00904AEF">
          <w:rPr>
            <w:smallCaps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F75B" w14:textId="77777777" w:rsidR="00CC4EFF" w:rsidRDefault="00CC4EFF" w:rsidP="00AE6EE2">
      <w:r>
        <w:separator/>
      </w:r>
    </w:p>
  </w:footnote>
  <w:footnote w:type="continuationSeparator" w:id="0">
    <w:p w14:paraId="765BD53D" w14:textId="77777777" w:rsidR="00CC4EFF" w:rsidRDefault="00CC4EFF" w:rsidP="00AE6EE2">
      <w:r>
        <w:continuationSeparator/>
      </w:r>
    </w:p>
  </w:footnote>
  <w:footnote w:id="1">
    <w:p w14:paraId="2C14B17B" w14:textId="694D0A07" w:rsidR="00EA45FC" w:rsidRPr="00796926" w:rsidRDefault="00EA45FC" w:rsidP="009C461B">
      <w:pPr>
        <w:pStyle w:val="FootnoteText"/>
        <w:ind w:left="130" w:hanging="130"/>
      </w:pPr>
      <w:r w:rsidRPr="00796926">
        <w:rPr>
          <w:rStyle w:val="FootnoteReference"/>
        </w:rPr>
        <w:footnoteRef/>
      </w:r>
      <w:r w:rsidRPr="00796926">
        <w:t xml:space="preserve"> Refer to </w:t>
      </w:r>
      <w:r w:rsidR="009C461B">
        <w:t>Approved Defense Logistics Management Standards Change (</w:t>
      </w:r>
      <w:r w:rsidRPr="00796926">
        <w:t>ADC</w:t>
      </w:r>
      <w:r w:rsidR="009C461B">
        <w:t>)</w:t>
      </w:r>
      <w:r w:rsidRPr="00796926">
        <w:t xml:space="preserve"> 1068A; implementation scheduled for 4</w:t>
      </w:r>
      <w:r w:rsidR="00796926" w:rsidRPr="00796926">
        <w:t>th</w:t>
      </w:r>
      <w:r w:rsidRPr="00796926">
        <w:t xml:space="preserve"> quarter fiscal year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E4D9" w14:textId="1958DCAB" w:rsidR="00803069" w:rsidRPr="00DD146C" w:rsidRDefault="00803069" w:rsidP="00803069">
    <w:pPr>
      <w:widowControl w:val="0"/>
      <w:tabs>
        <w:tab w:val="left" w:pos="-1440"/>
      </w:tabs>
      <w:jc w:val="right"/>
      <w:rPr>
        <w:i/>
        <w:iCs/>
        <w:snapToGrid w:val="0"/>
      </w:rPr>
    </w:pPr>
    <w:r w:rsidRPr="00DD146C">
      <w:rPr>
        <w:i/>
        <w:iCs/>
        <w:snapToGrid w:val="0"/>
      </w:rPr>
      <w:t>DLM 4000.25, Volume 4, Appendix 3.</w:t>
    </w:r>
    <w:r>
      <w:rPr>
        <w:i/>
        <w:iCs/>
        <w:snapToGrid w:val="0"/>
      </w:rPr>
      <w:t>2</w:t>
    </w:r>
    <w:r w:rsidRPr="00DD146C">
      <w:rPr>
        <w:i/>
        <w:iCs/>
        <w:snapToGrid w:val="0"/>
      </w:rPr>
      <w:t>.</w:t>
    </w:r>
  </w:p>
  <w:p w14:paraId="0CB0D564" w14:textId="41FEF313" w:rsidR="00AE6EE2" w:rsidRPr="00803069" w:rsidRDefault="00803069" w:rsidP="005213EC">
    <w:pPr>
      <w:widowControl w:val="0"/>
      <w:tabs>
        <w:tab w:val="left" w:pos="-1440"/>
      </w:tabs>
      <w:spacing w:after="200"/>
      <w:jc w:val="right"/>
      <w:rPr>
        <w:b/>
        <w:i/>
        <w:iCs/>
        <w:snapToGrid w:val="0"/>
      </w:rPr>
    </w:pPr>
    <w:r w:rsidRPr="00DD146C">
      <w:rPr>
        <w:i/>
        <w:iCs/>
        <w:snapToGrid w:val="0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A54"/>
    <w:rsid w:val="000022A5"/>
    <w:rsid w:val="000803C2"/>
    <w:rsid w:val="00143F3D"/>
    <w:rsid w:val="00151280"/>
    <w:rsid w:val="00181335"/>
    <w:rsid w:val="002355D6"/>
    <w:rsid w:val="00365934"/>
    <w:rsid w:val="003A5A54"/>
    <w:rsid w:val="005213EC"/>
    <w:rsid w:val="005B7835"/>
    <w:rsid w:val="006671C5"/>
    <w:rsid w:val="00683145"/>
    <w:rsid w:val="006C530D"/>
    <w:rsid w:val="0070168F"/>
    <w:rsid w:val="007402F3"/>
    <w:rsid w:val="00796926"/>
    <w:rsid w:val="007C751F"/>
    <w:rsid w:val="007E4DD0"/>
    <w:rsid w:val="007E6A8C"/>
    <w:rsid w:val="00803069"/>
    <w:rsid w:val="008142FF"/>
    <w:rsid w:val="00862477"/>
    <w:rsid w:val="009338E9"/>
    <w:rsid w:val="00986124"/>
    <w:rsid w:val="009C34FD"/>
    <w:rsid w:val="009C461B"/>
    <w:rsid w:val="009F11BE"/>
    <w:rsid w:val="00A83EF5"/>
    <w:rsid w:val="00AC51AF"/>
    <w:rsid w:val="00AE6EE2"/>
    <w:rsid w:val="00B31D24"/>
    <w:rsid w:val="00BE042A"/>
    <w:rsid w:val="00CC4EFF"/>
    <w:rsid w:val="00CD4686"/>
    <w:rsid w:val="00E20244"/>
    <w:rsid w:val="00E3291A"/>
    <w:rsid w:val="00E971BC"/>
    <w:rsid w:val="00EA0F40"/>
    <w:rsid w:val="00EA45FC"/>
    <w:rsid w:val="00E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591C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5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EE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E2"/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5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5D6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9EAC-7100-42DA-A532-0F89552AC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5655-38F8-4140-B0D8-7F7EBD04546E}">
  <ds:schemaRefs>
    <ds:schemaRef ds:uri="http://schemas.microsoft.com/office/infopath/2007/PartnerControls"/>
    <ds:schemaRef ds:uri="8F89FA97-345A-4CAA-BC01-4162549D7949"/>
    <ds:schemaRef ds:uri="8f89fa97-345a-4caa-bc01-4162549d7949"/>
    <ds:schemaRef ds:uri="http://www.w3.org/XML/1998/namespace"/>
    <ds:schemaRef ds:uri="9375acca-1905-4f67-9f5b-ffdd4a33e25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7B076D-0E4B-4784-B237-ED5571303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A6B22-358C-4564-A990-61F4E017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1691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Verificiation of Funds Availability Reply</vt:lpstr>
    </vt:vector>
  </TitlesOfParts>
  <Company>Defense Logistics Agency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Verificiation of Funds Availability Reply</dc:title>
  <dc:creator>Napoli, Frank B DLA CTR INFORMATION OPERATIONS</dc:creator>
  <cp:lastModifiedBy>Franco, Tracy E CTR DLA INFO OPERATIONS (USA)</cp:lastModifiedBy>
  <cp:revision>25</cp:revision>
  <dcterms:created xsi:type="dcterms:W3CDTF">2014-08-11T16:05:00Z</dcterms:created>
  <dcterms:modified xsi:type="dcterms:W3CDTF">2026-03-09T16:42:00Z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