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CF20" w14:textId="7F3A2AC7" w:rsidR="00555CEF" w:rsidRPr="00A474D5" w:rsidRDefault="00A474D5" w:rsidP="00A474D5">
      <w:pPr>
        <w:pStyle w:val="Title"/>
        <w:spacing w:before="240" w:after="360"/>
        <w:ind w:left="-144" w:right="-144"/>
        <w:rPr>
          <w:rFonts w:ascii="Times New Roman Bold" w:hAnsi="Times New Roman Bold" w:cs="Times New Roman"/>
          <w:smallCaps/>
          <w:color w:val="365F91" w:themeColor="accent1" w:themeShade="BF"/>
          <w:sz w:val="32"/>
          <w:u w:val="none"/>
        </w:rPr>
      </w:pPr>
      <w:r w:rsidRPr="00A474D5">
        <w:rPr>
          <w:rFonts w:ascii="Times New Roman Bold" w:hAnsi="Times New Roman Bold" w:cs="Times New Roman"/>
          <w:smallCaps/>
          <w:color w:val="365F91" w:themeColor="accent1" w:themeShade="BF"/>
          <w:sz w:val="32"/>
          <w:u w:val="none"/>
        </w:rPr>
        <w:t xml:space="preserve">Appendix 3.23. – </w:t>
      </w:r>
      <w:r w:rsidR="00417543" w:rsidRPr="00A474D5">
        <w:rPr>
          <w:rFonts w:ascii="Times New Roman Bold" w:hAnsi="Times New Roman Bold" w:cs="Times New Roman"/>
          <w:smallCaps/>
          <w:color w:val="365F91" w:themeColor="accent1" w:themeShade="BF"/>
          <w:sz w:val="32"/>
          <w:u w:val="none"/>
        </w:rPr>
        <w:t>D</w:t>
      </w:r>
      <w:r w:rsidRPr="00A474D5">
        <w:rPr>
          <w:rFonts w:ascii="Times New Roman Bold" w:hAnsi="Times New Roman Bold" w:cs="Times New Roman"/>
          <w:smallCaps/>
          <w:color w:val="365F91" w:themeColor="accent1" w:themeShade="BF"/>
          <w:sz w:val="32"/>
          <w:u w:val="none"/>
        </w:rPr>
        <w:t xml:space="preserve">ocument Identifier Code </w:t>
      </w:r>
      <w:r w:rsidR="00417543" w:rsidRPr="00A474D5">
        <w:rPr>
          <w:rFonts w:ascii="Times New Roman Bold" w:hAnsi="Times New Roman Bold" w:cs="Times New Roman"/>
          <w:smallCaps/>
          <w:color w:val="365F91" w:themeColor="accent1" w:themeShade="BF"/>
          <w:sz w:val="32"/>
          <w:u w:val="none"/>
        </w:rPr>
        <w:t xml:space="preserve">FP1/FP2/GP1/GP2 (B) </w:t>
      </w:r>
      <w:r w:rsidRPr="00A474D5">
        <w:rPr>
          <w:rFonts w:ascii="Times New Roman Bold" w:hAnsi="Times New Roman Bold" w:cs="Times New Roman"/>
          <w:smallCaps/>
          <w:color w:val="365F91" w:themeColor="accent1" w:themeShade="BF"/>
          <w:sz w:val="32"/>
          <w:u w:val="none"/>
        </w:rPr>
        <w:t xml:space="preserve">Format </w:t>
      </w:r>
      <w:r w:rsidRPr="00A474D5">
        <w:rPr>
          <w:rFonts w:ascii="Times New Roman Bold" w:hAnsi="Times New Roman Bold"/>
          <w:b w:val="0"/>
          <w:smallCaps/>
          <w:color w:val="365F91" w:themeColor="accent1" w:themeShade="BF"/>
          <w:sz w:val="32"/>
          <w:szCs w:val="36"/>
          <w:u w:val="none"/>
        </w:rPr>
        <w:t>Retail Petroleum Issues and Credits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00"/>
        <w:gridCol w:w="1170"/>
        <w:gridCol w:w="6390"/>
      </w:tblGrid>
      <w:tr w:rsidR="00555CEF" w:rsidRPr="00AF3FF3" w14:paraId="0596CF27" w14:textId="77777777" w:rsidTr="00AF3FF3">
        <w:trPr>
          <w:cantSplit/>
          <w:tblHeader/>
          <w:jc w:val="center"/>
        </w:trPr>
        <w:tc>
          <w:tcPr>
            <w:tcW w:w="1800" w:type="dxa"/>
          </w:tcPr>
          <w:p w14:paraId="0596CF22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3FF3">
              <w:rPr>
                <w:rFonts w:ascii="Times New Roman" w:hAnsi="Times New Roman"/>
                <w:b/>
                <w:bCs/>
                <w:sz w:val="22"/>
                <w:szCs w:val="22"/>
              </w:rPr>
              <w:t>Field Legend</w:t>
            </w:r>
          </w:p>
        </w:tc>
        <w:tc>
          <w:tcPr>
            <w:tcW w:w="1170" w:type="dxa"/>
          </w:tcPr>
          <w:p w14:paraId="0596CF24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3FF3">
              <w:rPr>
                <w:rFonts w:ascii="Times New Roman" w:hAnsi="Times New Roman"/>
                <w:b/>
                <w:bCs/>
                <w:sz w:val="22"/>
                <w:szCs w:val="22"/>
              </w:rPr>
              <w:t>Position(s)</w:t>
            </w:r>
          </w:p>
        </w:tc>
        <w:tc>
          <w:tcPr>
            <w:tcW w:w="6390" w:type="dxa"/>
          </w:tcPr>
          <w:p w14:paraId="0596CF26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F3FF3">
              <w:rPr>
                <w:rFonts w:ascii="Times New Roman" w:hAnsi="Times New Roman"/>
                <w:b/>
                <w:bCs/>
                <w:sz w:val="22"/>
                <w:szCs w:val="22"/>
              </w:rPr>
              <w:t>Entry and Instructions</w:t>
            </w:r>
          </w:p>
        </w:tc>
      </w:tr>
      <w:tr w:rsidR="00555CEF" w:rsidRPr="00AF3FF3" w14:paraId="0596CF2E" w14:textId="77777777" w:rsidTr="00AF3FF3">
        <w:trPr>
          <w:cantSplit/>
          <w:jc w:val="center"/>
        </w:trPr>
        <w:tc>
          <w:tcPr>
            <w:tcW w:w="1800" w:type="dxa"/>
          </w:tcPr>
          <w:p w14:paraId="0596CF29" w14:textId="77777777" w:rsidR="00555CEF" w:rsidRPr="00AF3FF3" w:rsidRDefault="007C7C68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Document Identifier Code</w:t>
            </w:r>
          </w:p>
        </w:tc>
        <w:tc>
          <w:tcPr>
            <w:tcW w:w="1170" w:type="dxa"/>
          </w:tcPr>
          <w:p w14:paraId="0596CF2B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1-3</w:t>
            </w:r>
          </w:p>
        </w:tc>
        <w:tc>
          <w:tcPr>
            <w:tcW w:w="6390" w:type="dxa"/>
          </w:tcPr>
          <w:p w14:paraId="60C39984" w14:textId="77777777" w:rsidR="001A53E1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Enter</w:t>
            </w:r>
            <w:r w:rsidR="00642B1D" w:rsidRPr="00AF3FF3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28BF4B1" w14:textId="2E3706D7" w:rsidR="001A53E1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FP1 or GP1 (charge)</w:t>
            </w:r>
          </w:p>
          <w:p w14:paraId="0596CF2D" w14:textId="100E2619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FP2 or GP2 (credit)</w:t>
            </w:r>
          </w:p>
        </w:tc>
      </w:tr>
      <w:tr w:rsidR="00555CEF" w:rsidRPr="00AF3FF3" w14:paraId="0596CF35" w14:textId="77777777" w:rsidTr="00AF3FF3">
        <w:trPr>
          <w:cantSplit/>
          <w:jc w:val="center"/>
        </w:trPr>
        <w:tc>
          <w:tcPr>
            <w:tcW w:w="1800" w:type="dxa"/>
          </w:tcPr>
          <w:p w14:paraId="0596CF30" w14:textId="02EEF198" w:rsidR="00555CEF" w:rsidRPr="00AF3FF3" w:rsidRDefault="007C7C68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Routing Identifier Code</w:t>
            </w:r>
            <w:r w:rsidR="001A53E1" w:rsidRPr="00AF3FF3">
              <w:rPr>
                <w:rFonts w:ascii="Times New Roman" w:hAnsi="Times New Roman"/>
                <w:sz w:val="22"/>
                <w:szCs w:val="22"/>
              </w:rPr>
              <w:t xml:space="preserve"> (RIC)</w:t>
            </w:r>
          </w:p>
        </w:tc>
        <w:tc>
          <w:tcPr>
            <w:tcW w:w="1170" w:type="dxa"/>
          </w:tcPr>
          <w:p w14:paraId="0596CF32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4-6</w:t>
            </w:r>
          </w:p>
        </w:tc>
        <w:tc>
          <w:tcPr>
            <w:tcW w:w="6390" w:type="dxa"/>
          </w:tcPr>
          <w:p w14:paraId="0596CF34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Enter the </w:t>
            </w:r>
            <w:r w:rsidR="007C7C68" w:rsidRPr="00AF3FF3">
              <w:rPr>
                <w:rFonts w:ascii="Times New Roman" w:hAnsi="Times New Roman"/>
                <w:sz w:val="22"/>
                <w:szCs w:val="22"/>
              </w:rPr>
              <w:t>RIC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of the billing office.</w:t>
            </w:r>
          </w:p>
        </w:tc>
      </w:tr>
      <w:tr w:rsidR="00555CEF" w:rsidRPr="00AF3FF3" w14:paraId="0596CF3D" w14:textId="77777777" w:rsidTr="00AF3FF3">
        <w:trPr>
          <w:cantSplit/>
          <w:jc w:val="center"/>
        </w:trPr>
        <w:tc>
          <w:tcPr>
            <w:tcW w:w="1800" w:type="dxa"/>
          </w:tcPr>
          <w:p w14:paraId="0596CF37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Type Issue Code</w:t>
            </w:r>
          </w:p>
        </w:tc>
        <w:tc>
          <w:tcPr>
            <w:tcW w:w="1170" w:type="dxa"/>
          </w:tcPr>
          <w:p w14:paraId="0596CF39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90" w:type="dxa"/>
          </w:tcPr>
          <w:p w14:paraId="4C56223A" w14:textId="77777777" w:rsidR="00981B7D" w:rsidRDefault="009C3F39" w:rsidP="00D968F0">
            <w:pPr>
              <w:tabs>
                <w:tab w:val="left" w:pos="-1440"/>
              </w:tabs>
              <w:spacing w:before="40" w:after="8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Aviation charges or credits are p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>erpetuate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d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 from the </w:t>
            </w:r>
            <w:r w:rsidR="00981B7D">
              <w:rPr>
                <w:rFonts w:ascii="Times New Roman" w:hAnsi="Times New Roman"/>
                <w:sz w:val="22"/>
                <w:szCs w:val="22"/>
              </w:rPr>
              <w:t>Air Force (</w:t>
            </w:r>
            <w:r w:rsidR="000D1192" w:rsidRPr="00AF3FF3">
              <w:rPr>
                <w:rFonts w:ascii="Times New Roman" w:hAnsi="Times New Roman"/>
                <w:sz w:val="22"/>
                <w:szCs w:val="22"/>
              </w:rPr>
              <w:t>AF</w:t>
            </w:r>
            <w:r w:rsidR="00981B7D">
              <w:rPr>
                <w:rFonts w:ascii="Times New Roman" w:hAnsi="Times New Roman"/>
                <w:sz w:val="22"/>
                <w:szCs w:val="22"/>
              </w:rPr>
              <w:t>)</w:t>
            </w:r>
            <w:r w:rsidR="000D1192" w:rsidRPr="00AF3FF3">
              <w:rPr>
                <w:rFonts w:ascii="Times New Roman" w:hAnsi="Times New Roman"/>
                <w:sz w:val="22"/>
                <w:szCs w:val="22"/>
              </w:rPr>
              <w:t xml:space="preserve"> Form 1994/95, 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DD Form 1898 </w:t>
            </w:r>
            <w:r w:rsidR="004068E5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7E6AC2" w:rsidRPr="00AF3FF3">
              <w:rPr>
                <w:rFonts w:ascii="Times New Roman" w:hAnsi="Times New Roman"/>
                <w:sz w:val="22"/>
                <w:szCs w:val="22"/>
              </w:rPr>
              <w:t xml:space="preserve"> or Automated Data Capture Printout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 (hereafter referred to as the </w:t>
            </w:r>
            <w:r w:rsidR="004068E5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 sales slip)</w:t>
            </w:r>
            <w:r w:rsidR="00D95D39" w:rsidRPr="00AF3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596CF3B" w14:textId="6822DEB8" w:rsidR="00555CEF" w:rsidRPr="00AF3FF3" w:rsidRDefault="00A54767" w:rsidP="00D968F0">
            <w:pPr>
              <w:tabs>
                <w:tab w:val="left" w:pos="-1440"/>
              </w:tabs>
              <w:spacing w:before="40" w:after="8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If the </w:t>
            </w:r>
            <w:r w:rsidR="00981B7D" w:rsidRPr="00981B7D">
              <w:rPr>
                <w:rFonts w:ascii="Times New Roman" w:hAnsi="Times New Roman"/>
                <w:sz w:val="22"/>
                <w:szCs w:val="22"/>
              </w:rPr>
              <w:t>Defense Logistics Agency</w:t>
            </w:r>
            <w:r w:rsidR="00981B7D" w:rsidRPr="00981B7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1B7D">
              <w:rPr>
                <w:rFonts w:ascii="Times New Roman" w:hAnsi="Times New Roman"/>
                <w:sz w:val="22"/>
                <w:szCs w:val="22"/>
              </w:rPr>
              <w:t>(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DLA</w:t>
            </w:r>
            <w:r w:rsidR="00981B7D">
              <w:rPr>
                <w:rFonts w:ascii="Times New Roman" w:hAnsi="Times New Roman"/>
                <w:sz w:val="22"/>
                <w:szCs w:val="22"/>
              </w:rPr>
              <w:t>)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Energy Into-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 xml:space="preserve">Plane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Reimbursement (AIR) 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>card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, or Voyager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fleet card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is used to charge or credit the fuel</w:t>
            </w:r>
            <w:r w:rsidR="00981B7D">
              <w:rPr>
                <w:rFonts w:ascii="Times New Roman" w:hAnsi="Times New Roman"/>
                <w:sz w:val="22"/>
                <w:szCs w:val="22"/>
              </w:rPr>
              <w:t>,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all </w:t>
            </w:r>
            <w:r w:rsidR="00981B7D">
              <w:rPr>
                <w:rFonts w:ascii="Times New Roman" w:hAnsi="Times New Roman"/>
                <w:sz w:val="22"/>
                <w:szCs w:val="22"/>
              </w:rPr>
              <w:t>Military Billing System (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MILSBILLS</w:t>
            </w:r>
            <w:r w:rsidR="00981B7D">
              <w:rPr>
                <w:rFonts w:ascii="Times New Roman" w:hAnsi="Times New Roman"/>
                <w:sz w:val="22"/>
                <w:szCs w:val="22"/>
              </w:rPr>
              <w:t>)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data elements shall be provided by the AIR 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>card database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23AF6D8E" w14:textId="07DE827E" w:rsidR="00981B7D" w:rsidRDefault="009C3F39" w:rsidP="00D968F0">
            <w:pPr>
              <w:tabs>
                <w:tab w:val="left" w:pos="-1440"/>
              </w:tabs>
              <w:spacing w:before="40" w:after="8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Ground 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 xml:space="preserve">fuel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charges </w:t>
            </w:r>
            <w:r w:rsidR="00870D50" w:rsidRPr="00AF3FF3">
              <w:rPr>
                <w:rFonts w:ascii="Times New Roman" w:hAnsi="Times New Roman"/>
                <w:sz w:val="22"/>
                <w:szCs w:val="22"/>
              </w:rPr>
              <w:t xml:space="preserve">from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="00870D50" w:rsidRPr="00AF3FF3">
              <w:rPr>
                <w:rFonts w:ascii="Times New Roman" w:hAnsi="Times New Roman"/>
                <w:sz w:val="22"/>
                <w:szCs w:val="22"/>
              </w:rPr>
              <w:t xml:space="preserve"> owned petroleum stocks at 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 xml:space="preserve">Military Service stations </w:t>
            </w:r>
            <w:r w:rsidR="00870D50" w:rsidRPr="00AF3FF3">
              <w:rPr>
                <w:rFonts w:ascii="Times New Roman" w:hAnsi="Times New Roman"/>
                <w:sz w:val="22"/>
                <w:szCs w:val="22"/>
              </w:rPr>
              <w:t>utilizing the locally available purchase media device.</w:t>
            </w:r>
          </w:p>
          <w:p w14:paraId="6454D838" w14:textId="77777777" w:rsidR="00981B7D" w:rsidRDefault="00870D50" w:rsidP="00D968F0">
            <w:pPr>
              <w:tabs>
                <w:tab w:val="left" w:pos="-1440"/>
              </w:tabs>
              <w:spacing w:before="40" w:after="8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The Military Services agree that personnel </w:t>
            </w:r>
            <w:proofErr w:type="gramStart"/>
            <w:r w:rsidRPr="00AF3FF3">
              <w:rPr>
                <w:rFonts w:ascii="Times New Roman" w:hAnsi="Times New Roman"/>
                <w:sz w:val="22"/>
                <w:szCs w:val="22"/>
              </w:rPr>
              <w:t>shall</w:t>
            </w:r>
            <w:proofErr w:type="gramEnd"/>
            <w:r w:rsidRPr="00AF3FF3">
              <w:rPr>
                <w:rFonts w:ascii="Times New Roman" w:hAnsi="Times New Roman"/>
                <w:sz w:val="22"/>
                <w:szCs w:val="22"/>
              </w:rPr>
              <w:t xml:space="preserve"> treat purchase media devices as controlled/accountable items.</w:t>
            </w:r>
          </w:p>
          <w:p w14:paraId="028A380F" w14:textId="77777777" w:rsidR="00981B7D" w:rsidRDefault="00870D50" w:rsidP="00D968F0">
            <w:pPr>
              <w:tabs>
                <w:tab w:val="left" w:pos="-1440"/>
              </w:tabs>
              <w:spacing w:before="40" w:after="8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The Military Services understand that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service stations employ 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>electronic point</w:t>
            </w:r>
            <w:r w:rsidR="00981B7D">
              <w:rPr>
                <w:rFonts w:ascii="Times New Roman" w:hAnsi="Times New Roman"/>
                <w:sz w:val="22"/>
                <w:szCs w:val="22"/>
              </w:rPr>
              <w:t>-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>of</w:t>
            </w:r>
            <w:r w:rsidR="00981B7D">
              <w:rPr>
                <w:rFonts w:ascii="Times New Roman" w:hAnsi="Times New Roman"/>
                <w:sz w:val="22"/>
                <w:szCs w:val="22"/>
              </w:rPr>
              <w:t>-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>sale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(E-POS) readers that are fully automated/unmanned and do not provide paper transaction receipts.</w:t>
            </w:r>
          </w:p>
          <w:p w14:paraId="0596CF3C" w14:textId="789C20F3" w:rsidR="009C3F39" w:rsidRPr="00AF3FF3" w:rsidRDefault="009D30E0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Customers</w:t>
            </w:r>
            <w:r w:rsidR="00870D50" w:rsidRPr="00AF3FF3">
              <w:rPr>
                <w:rFonts w:ascii="Times New Roman" w:hAnsi="Times New Roman"/>
                <w:sz w:val="22"/>
                <w:szCs w:val="22"/>
              </w:rPr>
              <w:t xml:space="preserve"> may view service station transaction details via the Fuels Enterprise Server (FES).</w:t>
            </w:r>
          </w:p>
        </w:tc>
      </w:tr>
      <w:tr w:rsidR="00555CEF" w:rsidRPr="00AF3FF3" w14:paraId="0596CF44" w14:textId="77777777" w:rsidTr="00AF3FF3">
        <w:trPr>
          <w:cantSplit/>
          <w:jc w:val="center"/>
        </w:trPr>
        <w:tc>
          <w:tcPr>
            <w:tcW w:w="1800" w:type="dxa"/>
          </w:tcPr>
          <w:p w14:paraId="0596CF3F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Stock Number</w:t>
            </w:r>
          </w:p>
        </w:tc>
        <w:tc>
          <w:tcPr>
            <w:tcW w:w="1170" w:type="dxa"/>
          </w:tcPr>
          <w:p w14:paraId="0596CF41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8-20</w:t>
            </w:r>
          </w:p>
        </w:tc>
        <w:tc>
          <w:tcPr>
            <w:tcW w:w="6390" w:type="dxa"/>
          </w:tcPr>
          <w:p w14:paraId="0596CF43" w14:textId="6FF7C428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Enter the </w:t>
            </w:r>
            <w:r w:rsidR="001A53E1" w:rsidRPr="00AF3FF3">
              <w:rPr>
                <w:rFonts w:ascii="Times New Roman" w:hAnsi="Times New Roman"/>
                <w:sz w:val="22"/>
                <w:szCs w:val="22"/>
              </w:rPr>
              <w:t>National Stock Number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AF3FF3" w14:paraId="0596CF4B" w14:textId="77777777" w:rsidTr="00AF3FF3">
        <w:trPr>
          <w:cantSplit/>
          <w:jc w:val="center"/>
        </w:trPr>
        <w:tc>
          <w:tcPr>
            <w:tcW w:w="1800" w:type="dxa"/>
          </w:tcPr>
          <w:p w14:paraId="0596CF46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Type of Bill Code</w:t>
            </w:r>
          </w:p>
        </w:tc>
        <w:tc>
          <w:tcPr>
            <w:tcW w:w="1170" w:type="dxa"/>
          </w:tcPr>
          <w:p w14:paraId="0596CF48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21-22</w:t>
            </w:r>
          </w:p>
        </w:tc>
        <w:tc>
          <w:tcPr>
            <w:tcW w:w="6390" w:type="dxa"/>
          </w:tcPr>
          <w:p w14:paraId="0596CF4A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Enter a type of bill code or leave blank.</w:t>
            </w:r>
          </w:p>
        </w:tc>
      </w:tr>
      <w:tr w:rsidR="00555CEF" w:rsidRPr="00AF3FF3" w14:paraId="0596CF52" w14:textId="77777777" w:rsidTr="00AF3FF3">
        <w:trPr>
          <w:cantSplit/>
          <w:jc w:val="center"/>
        </w:trPr>
        <w:tc>
          <w:tcPr>
            <w:tcW w:w="1800" w:type="dxa"/>
          </w:tcPr>
          <w:p w14:paraId="0596CF4D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Quantity</w:t>
            </w:r>
          </w:p>
        </w:tc>
        <w:tc>
          <w:tcPr>
            <w:tcW w:w="1170" w:type="dxa"/>
          </w:tcPr>
          <w:p w14:paraId="0596CF4F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23-29</w:t>
            </w:r>
          </w:p>
        </w:tc>
        <w:tc>
          <w:tcPr>
            <w:tcW w:w="6390" w:type="dxa"/>
          </w:tcPr>
          <w:p w14:paraId="0596CF51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Enter the billed or credit quantity.</w:t>
            </w:r>
          </w:p>
        </w:tc>
      </w:tr>
      <w:tr w:rsidR="00555CEF" w:rsidRPr="00AF3FF3" w14:paraId="0596CF6F" w14:textId="77777777" w:rsidTr="00AF3FF3">
        <w:trPr>
          <w:cantSplit/>
          <w:jc w:val="center"/>
        </w:trPr>
        <w:tc>
          <w:tcPr>
            <w:tcW w:w="1800" w:type="dxa"/>
          </w:tcPr>
          <w:p w14:paraId="0596CF54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lastRenderedPageBreak/>
              <w:t>Document Number</w:t>
            </w:r>
          </w:p>
        </w:tc>
        <w:tc>
          <w:tcPr>
            <w:tcW w:w="1170" w:type="dxa"/>
          </w:tcPr>
          <w:p w14:paraId="0596CF56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30-43</w:t>
            </w:r>
          </w:p>
        </w:tc>
        <w:tc>
          <w:tcPr>
            <w:tcW w:w="6390" w:type="dxa"/>
          </w:tcPr>
          <w:p w14:paraId="0596CF58" w14:textId="28587677" w:rsidR="00555CEF" w:rsidRPr="00AF3FF3" w:rsidRDefault="00165D20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Sales out of D</w:t>
            </w:r>
            <w:r w:rsidR="00981B7D" w:rsidRPr="00AF3FF3">
              <w:rPr>
                <w:rFonts w:ascii="Times New Roman" w:hAnsi="Times New Roman"/>
                <w:sz w:val="22"/>
                <w:szCs w:val="22"/>
              </w:rPr>
              <w:t>o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D Stocks will have document numbers that are c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onstructed by the </w:t>
            </w:r>
            <w:r w:rsidR="00FF4BC8" w:rsidRPr="00AF3FF3">
              <w:rPr>
                <w:rFonts w:ascii="Times New Roman" w:hAnsi="Times New Roman"/>
                <w:sz w:val="22"/>
                <w:szCs w:val="22"/>
              </w:rPr>
              <w:t>FES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 as follows:</w:t>
            </w:r>
          </w:p>
          <w:p w14:paraId="0596CF59" w14:textId="5C094E2E" w:rsidR="00555CEF" w:rsidRPr="00AF3FF3" w:rsidRDefault="00555CEF" w:rsidP="001A53E1">
            <w:pPr>
              <w:tabs>
                <w:tab w:val="left" w:pos="-1440"/>
              </w:tabs>
              <w:spacing w:before="40" w:after="40"/>
              <w:ind w:left="792" w:hanging="792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30-35 </w:t>
            </w:r>
            <w:r w:rsidR="001A53E1" w:rsidRPr="00AF3FF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Perpetuate the </w:t>
            </w:r>
            <w:r w:rsidR="00D968F0">
              <w:rPr>
                <w:rFonts w:ascii="Times New Roman" w:hAnsi="Times New Roman"/>
                <w:sz w:val="22"/>
                <w:szCs w:val="22"/>
              </w:rPr>
              <w:t>Department of Defense Activity Address Code (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DoDAAC</w:t>
            </w:r>
            <w:r w:rsidR="00D968F0">
              <w:rPr>
                <w:rFonts w:ascii="Times New Roman" w:hAnsi="Times New Roman"/>
                <w:sz w:val="22"/>
                <w:szCs w:val="22"/>
              </w:rPr>
              <w:t>)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of the requisitioner from the </w:t>
            </w:r>
            <w:r w:rsidR="00225B42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D62EC6" w:rsidRPr="00AF3FF3">
              <w:rPr>
                <w:rFonts w:ascii="Times New Roman" w:hAnsi="Times New Roman"/>
                <w:sz w:val="22"/>
                <w:szCs w:val="22"/>
              </w:rPr>
              <w:t xml:space="preserve"> or the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="00D62EC6" w:rsidRPr="00AF3FF3">
              <w:rPr>
                <w:rFonts w:ascii="Times New Roman" w:hAnsi="Times New Roman"/>
                <w:sz w:val="22"/>
                <w:szCs w:val="22"/>
              </w:rPr>
              <w:t xml:space="preserve"> AIR Card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>fleet card databases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596CF5A" w14:textId="7ACED61D" w:rsidR="00555CEF" w:rsidRPr="00AF3FF3" w:rsidRDefault="00555CEF" w:rsidP="001A53E1">
            <w:pPr>
              <w:tabs>
                <w:tab w:val="left" w:pos="-1440"/>
              </w:tabs>
              <w:spacing w:before="40" w:after="40"/>
              <w:ind w:left="792" w:hanging="792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36-39 </w:t>
            </w:r>
            <w:r w:rsidR="001A53E1" w:rsidRPr="00AF3FF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Year of decade and </w:t>
            </w:r>
            <w:r w:rsidR="004068E5" w:rsidRPr="00AF3FF3">
              <w:rPr>
                <w:rFonts w:ascii="Times New Roman" w:hAnsi="Times New Roman"/>
                <w:sz w:val="22"/>
                <w:szCs w:val="22"/>
              </w:rPr>
              <w:t xml:space="preserve">Julian Date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of year of issue.</w:t>
            </w:r>
          </w:p>
          <w:p w14:paraId="0596CF5B" w14:textId="485EB56A" w:rsidR="009C44A4" w:rsidRPr="00AF3FF3" w:rsidRDefault="00555CEF" w:rsidP="001A53E1">
            <w:pPr>
              <w:tabs>
                <w:tab w:val="left" w:pos="-1440"/>
              </w:tabs>
              <w:spacing w:before="40" w:after="40"/>
              <w:ind w:left="792" w:hanging="792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40-</w:t>
            </w:r>
            <w:r w:rsidR="00165D20" w:rsidRPr="00AF3FF3">
              <w:rPr>
                <w:rFonts w:ascii="Times New Roman" w:hAnsi="Times New Roman"/>
                <w:sz w:val="22"/>
                <w:szCs w:val="22"/>
              </w:rPr>
              <w:t xml:space="preserve">41 </w:t>
            </w:r>
            <w:r w:rsidR="001A53E1" w:rsidRPr="00AF3FF3">
              <w:rPr>
                <w:rFonts w:ascii="Times New Roman" w:hAnsi="Times New Roman"/>
                <w:sz w:val="22"/>
                <w:szCs w:val="22"/>
              </w:rPr>
              <w:t>–</w:t>
            </w:r>
            <w:r w:rsidR="00D968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70990" w:rsidRPr="00AF3FF3">
              <w:rPr>
                <w:rFonts w:ascii="Times New Roman" w:hAnsi="Times New Roman"/>
                <w:sz w:val="22"/>
                <w:szCs w:val="22"/>
              </w:rPr>
              <w:t xml:space="preserve">E-POS </w:t>
            </w:r>
            <w:r w:rsidR="009C44A4" w:rsidRPr="00AF3FF3">
              <w:rPr>
                <w:rFonts w:ascii="Times New Roman" w:hAnsi="Times New Roman"/>
                <w:sz w:val="22"/>
                <w:szCs w:val="22"/>
              </w:rPr>
              <w:t>Variable Entry:</w:t>
            </w:r>
          </w:p>
          <w:p w14:paraId="2370647E" w14:textId="1CC736CD" w:rsidR="001A53E1" w:rsidRPr="00AF3FF3" w:rsidRDefault="001A53E1" w:rsidP="00AF3FF3">
            <w:pPr>
              <w:tabs>
                <w:tab w:val="left" w:pos="-1440"/>
              </w:tabs>
              <w:spacing w:before="40" w:after="40"/>
              <w:ind w:left="1282" w:hanging="49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FF 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Charge/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 xml:space="preserve">credit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out of or into D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o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D Stocks 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 xml:space="preserve">aircraft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>vehicles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/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>equipment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783B901" w14:textId="218E16EA" w:rsidR="001A53E1" w:rsidRPr="00AF3FF3" w:rsidRDefault="001A53E1" w:rsidP="00AF3FF3">
            <w:pPr>
              <w:tabs>
                <w:tab w:val="left" w:pos="-1440"/>
              </w:tabs>
              <w:spacing w:before="40" w:after="40"/>
              <w:ind w:left="1224" w:hanging="432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FA 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Open 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 xml:space="preserve">market purchase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v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ia DLA Energy AIR 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>card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0F19043" w14:textId="6311CA93" w:rsidR="00A474D5" w:rsidRPr="00AF3FF3" w:rsidRDefault="00A474D5" w:rsidP="00A474D5">
            <w:pPr>
              <w:tabs>
                <w:tab w:val="left" w:pos="-1440"/>
              </w:tabs>
              <w:spacing w:before="40" w:after="40"/>
              <w:ind w:left="1296" w:hanging="504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FC 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Into-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plane contract purchase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via AIR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card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D2DFAC6" w14:textId="3C9552C1" w:rsidR="00A474D5" w:rsidRPr="00AF3FF3" w:rsidRDefault="00A474D5" w:rsidP="00A474D5">
            <w:pPr>
              <w:tabs>
                <w:tab w:val="left" w:pos="-1440"/>
              </w:tabs>
              <w:spacing w:before="40" w:after="40"/>
              <w:ind w:left="1296" w:hanging="504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FV 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Open </w:t>
            </w:r>
            <w:r w:rsidR="00AF3FF3" w:rsidRPr="00AF3FF3">
              <w:rPr>
                <w:rFonts w:ascii="Times New Roman" w:hAnsi="Times New Roman"/>
                <w:sz w:val="22"/>
                <w:szCs w:val="22"/>
              </w:rPr>
              <w:t xml:space="preserve">market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Voyager </w:t>
            </w:r>
            <w:r w:rsidR="00AF3FF3" w:rsidRPr="00AF3FF3">
              <w:rPr>
                <w:rFonts w:ascii="Times New Roman" w:hAnsi="Times New Roman"/>
                <w:sz w:val="22"/>
                <w:szCs w:val="22"/>
              </w:rPr>
              <w:t>fleet card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D96B5F4" w14:textId="4794786D" w:rsidR="00A474D5" w:rsidRPr="00AF3FF3" w:rsidRDefault="00A474D5" w:rsidP="00AF3FF3">
            <w:pPr>
              <w:tabs>
                <w:tab w:val="left" w:pos="-1440"/>
              </w:tabs>
              <w:spacing w:before="40" w:after="40"/>
              <w:ind w:left="2520" w:hanging="1728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Manual Variable 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Charge/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credit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for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ships’ bunkers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from D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o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D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stocks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bunkers contracts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(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customer supplied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)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596CF6D" w14:textId="67BBEDC8" w:rsidR="002D077F" w:rsidRPr="00AF3FF3" w:rsidRDefault="00165D20" w:rsidP="00A474D5">
            <w:pPr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42-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43 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D4C1A" w:rsidRPr="00AF3FF3">
              <w:rPr>
                <w:rFonts w:ascii="Times New Roman" w:hAnsi="Times New Roman"/>
                <w:sz w:val="22"/>
                <w:szCs w:val="22"/>
              </w:rPr>
              <w:t>(</w:t>
            </w:r>
            <w:r w:rsidR="002D077F" w:rsidRPr="00AF3FF3">
              <w:rPr>
                <w:rFonts w:ascii="Times New Roman" w:hAnsi="Times New Roman"/>
                <w:sz w:val="22"/>
                <w:szCs w:val="22"/>
              </w:rPr>
              <w:t>E-POS</w:t>
            </w:r>
            <w:r w:rsidR="009D4C1A" w:rsidRPr="00AF3FF3">
              <w:rPr>
                <w:rFonts w:ascii="Times New Roman" w:hAnsi="Times New Roman"/>
                <w:sz w:val="22"/>
                <w:szCs w:val="22"/>
              </w:rPr>
              <w:t>)</w:t>
            </w:r>
            <w:r w:rsidR="002D077F" w:rsidRPr="00AF3F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70990" w:rsidRPr="00AF3FF3">
              <w:rPr>
                <w:rFonts w:ascii="Times New Roman" w:hAnsi="Times New Roman"/>
                <w:sz w:val="22"/>
                <w:szCs w:val="22"/>
              </w:rPr>
              <w:t>System Assigned Serial Number</w:t>
            </w:r>
            <w:r w:rsidR="00642B1D" w:rsidRPr="00AF3FF3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0596CF6E" w14:textId="14AABC90" w:rsidR="00555CEF" w:rsidRPr="00AF3FF3" w:rsidRDefault="002D077F" w:rsidP="00D968F0">
            <w:pPr>
              <w:tabs>
                <w:tab w:val="left" w:pos="-1440"/>
              </w:tabs>
              <w:spacing w:before="40" w:after="40"/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40-43 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(Manual Process) 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For issues to </w:t>
            </w:r>
            <w:r w:rsidR="00D968F0">
              <w:rPr>
                <w:rFonts w:ascii="Times New Roman" w:hAnsi="Times New Roman"/>
                <w:sz w:val="22"/>
                <w:szCs w:val="22"/>
              </w:rPr>
              <w:t xml:space="preserve">U.S. 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Navy and </w:t>
            </w:r>
            <w:r w:rsidR="00D968F0">
              <w:rPr>
                <w:rFonts w:ascii="Times New Roman" w:hAnsi="Times New Roman"/>
                <w:sz w:val="22"/>
                <w:szCs w:val="22"/>
              </w:rPr>
              <w:t xml:space="preserve">U.S. 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Marine Corps aircraft, billing offices will enter the last </w:t>
            </w:r>
            <w:r w:rsidR="00D968F0">
              <w:rPr>
                <w:rFonts w:ascii="Times New Roman" w:hAnsi="Times New Roman"/>
                <w:sz w:val="22"/>
                <w:szCs w:val="22"/>
              </w:rPr>
              <w:t>four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 digits of the pre</w:t>
            </w:r>
            <w:r w:rsidR="00D968F0">
              <w:rPr>
                <w:rFonts w:ascii="Times New Roman" w:hAnsi="Times New Roman"/>
                <w:sz w:val="22"/>
                <w:szCs w:val="22"/>
              </w:rPr>
              <w:t>-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printed serial number of the </w:t>
            </w:r>
            <w:r w:rsidR="00225B42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426A63" w:rsidRPr="00AF3FF3">
              <w:rPr>
                <w:rFonts w:ascii="Times New Roman" w:hAnsi="Times New Roman"/>
                <w:sz w:val="22"/>
                <w:szCs w:val="22"/>
              </w:rPr>
              <w:t xml:space="preserve"> or ADC printout.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  For issues to </w:t>
            </w:r>
            <w:r w:rsidR="00D968F0">
              <w:rPr>
                <w:rFonts w:ascii="Times New Roman" w:hAnsi="Times New Roman"/>
                <w:sz w:val="22"/>
                <w:szCs w:val="22"/>
              </w:rPr>
              <w:t xml:space="preserve">U.S. 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 xml:space="preserve">Army and </w:t>
            </w:r>
            <w:r w:rsidR="00D968F0">
              <w:rPr>
                <w:rFonts w:ascii="Times New Roman" w:hAnsi="Times New Roman"/>
                <w:sz w:val="22"/>
                <w:szCs w:val="22"/>
              </w:rPr>
              <w:t xml:space="preserve">U.S. </w:t>
            </w:r>
            <w:r w:rsidR="00555CEF" w:rsidRPr="00AF3FF3">
              <w:rPr>
                <w:rFonts w:ascii="Times New Roman" w:hAnsi="Times New Roman"/>
                <w:sz w:val="22"/>
                <w:szCs w:val="22"/>
              </w:rPr>
              <w:t>Air Force aircraft, billing offices will enter the last four digits of the aircraft tail number.</w:t>
            </w:r>
          </w:p>
        </w:tc>
      </w:tr>
      <w:tr w:rsidR="00555CEF" w:rsidRPr="00AF3FF3" w14:paraId="0596CF76" w14:textId="77777777" w:rsidTr="00AF3FF3">
        <w:trPr>
          <w:cantSplit/>
          <w:jc w:val="center"/>
        </w:trPr>
        <w:tc>
          <w:tcPr>
            <w:tcW w:w="1800" w:type="dxa"/>
          </w:tcPr>
          <w:p w14:paraId="0596CF71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Major Force Program</w:t>
            </w:r>
          </w:p>
        </w:tc>
        <w:tc>
          <w:tcPr>
            <w:tcW w:w="1170" w:type="dxa"/>
          </w:tcPr>
          <w:p w14:paraId="0596CF73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6390" w:type="dxa"/>
          </w:tcPr>
          <w:p w14:paraId="0596CF75" w14:textId="12202029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Perpetuate from the </w:t>
            </w:r>
            <w:r w:rsidR="00AF4AF7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 xml:space="preserve"> or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 AIR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card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fleet card databases 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 xml:space="preserve">(if </w:t>
            </w:r>
            <w:r w:rsidR="00F70BFF" w:rsidRPr="00AF3FF3">
              <w:rPr>
                <w:rFonts w:ascii="Times New Roman" w:hAnsi="Times New Roman"/>
                <w:sz w:val="22"/>
                <w:szCs w:val="22"/>
              </w:rPr>
              <w:t>provided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555CEF" w:rsidRPr="00AF3FF3" w14:paraId="0596CF7D" w14:textId="77777777" w:rsidTr="00AF3FF3">
        <w:trPr>
          <w:cantSplit/>
          <w:jc w:val="center"/>
        </w:trPr>
        <w:tc>
          <w:tcPr>
            <w:tcW w:w="1800" w:type="dxa"/>
          </w:tcPr>
          <w:p w14:paraId="0596CF78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Supplementary Address</w:t>
            </w:r>
          </w:p>
        </w:tc>
        <w:tc>
          <w:tcPr>
            <w:tcW w:w="1170" w:type="dxa"/>
          </w:tcPr>
          <w:p w14:paraId="0596CF7A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45-50</w:t>
            </w:r>
          </w:p>
        </w:tc>
        <w:tc>
          <w:tcPr>
            <w:tcW w:w="6390" w:type="dxa"/>
          </w:tcPr>
          <w:p w14:paraId="0596CF7C" w14:textId="0C537805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Perpetuate the supplementary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address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from the </w:t>
            </w:r>
            <w:r w:rsidR="00AF4AF7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 xml:space="preserve"> or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="003A0FA1" w:rsidRPr="00AF3F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AIR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card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>fleet card databases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AF3FF3" w14:paraId="0596CF84" w14:textId="77777777" w:rsidTr="00AF3FF3">
        <w:trPr>
          <w:cantSplit/>
          <w:jc w:val="center"/>
        </w:trPr>
        <w:tc>
          <w:tcPr>
            <w:tcW w:w="1800" w:type="dxa"/>
          </w:tcPr>
          <w:p w14:paraId="0596CF7F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Signal Code</w:t>
            </w:r>
          </w:p>
        </w:tc>
        <w:tc>
          <w:tcPr>
            <w:tcW w:w="1170" w:type="dxa"/>
          </w:tcPr>
          <w:p w14:paraId="0596CF81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6390" w:type="dxa"/>
          </w:tcPr>
          <w:p w14:paraId="0596CF83" w14:textId="63E5EC34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Perpetuate from the </w:t>
            </w:r>
            <w:r w:rsidR="00AF4AF7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="007E3850" w:rsidRPr="00AF3FF3">
              <w:rPr>
                <w:rFonts w:ascii="Times New Roman" w:hAnsi="Times New Roman"/>
                <w:sz w:val="22"/>
                <w:szCs w:val="22"/>
              </w:rPr>
              <w:t xml:space="preserve"> AIR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card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>fleet card databases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AF3FF3" w14:paraId="0596CF8B" w14:textId="77777777" w:rsidTr="00AF3FF3">
        <w:trPr>
          <w:cantSplit/>
          <w:jc w:val="center"/>
        </w:trPr>
        <w:tc>
          <w:tcPr>
            <w:tcW w:w="1800" w:type="dxa"/>
          </w:tcPr>
          <w:p w14:paraId="0596CF86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Fund Code</w:t>
            </w:r>
          </w:p>
        </w:tc>
        <w:tc>
          <w:tcPr>
            <w:tcW w:w="1170" w:type="dxa"/>
          </w:tcPr>
          <w:p w14:paraId="0596CF88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52-53</w:t>
            </w:r>
          </w:p>
        </w:tc>
        <w:tc>
          <w:tcPr>
            <w:tcW w:w="6390" w:type="dxa"/>
          </w:tcPr>
          <w:p w14:paraId="0596CF8A" w14:textId="73F7EC06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Perpetuate the fund code from the </w:t>
            </w:r>
            <w:r w:rsidR="00AF4AF7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 AIR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card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>fleet card databases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AF3FF3" w14:paraId="0596CF92" w14:textId="77777777" w:rsidTr="00AF3FF3">
        <w:trPr>
          <w:cantSplit/>
          <w:jc w:val="center"/>
        </w:trPr>
        <w:tc>
          <w:tcPr>
            <w:tcW w:w="1800" w:type="dxa"/>
          </w:tcPr>
          <w:p w14:paraId="0596CF8D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Bill Number</w:t>
            </w:r>
          </w:p>
        </w:tc>
        <w:tc>
          <w:tcPr>
            <w:tcW w:w="1170" w:type="dxa"/>
          </w:tcPr>
          <w:p w14:paraId="0596CF8F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54-58</w:t>
            </w:r>
          </w:p>
        </w:tc>
        <w:tc>
          <w:tcPr>
            <w:tcW w:w="6390" w:type="dxa"/>
          </w:tcPr>
          <w:p w14:paraId="0596CF91" w14:textId="0D1CF9F2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Enter the bill number from the </w:t>
            </w:r>
            <w:r w:rsidR="00D968F0">
              <w:rPr>
                <w:rFonts w:ascii="Times New Roman" w:hAnsi="Times New Roman"/>
                <w:sz w:val="22"/>
                <w:szCs w:val="22"/>
              </w:rPr>
              <w:t>summary billing record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AF3FF3" w14:paraId="0596CF99" w14:textId="77777777" w:rsidTr="00AF3FF3">
        <w:trPr>
          <w:cantSplit/>
          <w:jc w:val="center"/>
        </w:trPr>
        <w:tc>
          <w:tcPr>
            <w:tcW w:w="1800" w:type="dxa"/>
          </w:tcPr>
          <w:p w14:paraId="0596CF94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Customer ID</w:t>
            </w:r>
          </w:p>
        </w:tc>
        <w:tc>
          <w:tcPr>
            <w:tcW w:w="1170" w:type="dxa"/>
          </w:tcPr>
          <w:p w14:paraId="0596CF96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59-61</w:t>
            </w:r>
          </w:p>
        </w:tc>
        <w:tc>
          <w:tcPr>
            <w:tcW w:w="6390" w:type="dxa"/>
          </w:tcPr>
          <w:p w14:paraId="0596CF98" w14:textId="48C3E23B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Perpetuate from the </w:t>
            </w:r>
            <w:r w:rsidR="00AF4AF7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 xml:space="preserve"> or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 AIR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card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>fleet card databases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AF3FF3" w14:paraId="0596CFA0" w14:textId="77777777" w:rsidTr="00AF3FF3">
        <w:trPr>
          <w:cantSplit/>
          <w:jc w:val="center"/>
        </w:trPr>
        <w:tc>
          <w:tcPr>
            <w:tcW w:w="1800" w:type="dxa"/>
          </w:tcPr>
          <w:p w14:paraId="0596CF9B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Special Data</w:t>
            </w:r>
          </w:p>
        </w:tc>
        <w:tc>
          <w:tcPr>
            <w:tcW w:w="1170" w:type="dxa"/>
          </w:tcPr>
          <w:p w14:paraId="0596CF9D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62-64</w:t>
            </w:r>
          </w:p>
        </w:tc>
        <w:tc>
          <w:tcPr>
            <w:tcW w:w="6390" w:type="dxa"/>
          </w:tcPr>
          <w:p w14:paraId="0596CF9F" w14:textId="64F63E46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Enter last three position</w:t>
            </w:r>
            <w:r w:rsidR="00D968F0">
              <w:rPr>
                <w:rFonts w:ascii="Times New Roman" w:hAnsi="Times New Roman"/>
                <w:sz w:val="22"/>
                <w:szCs w:val="22"/>
              </w:rPr>
              <w:t>s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of the billing office DoDAAC when required by departmental procedures</w:t>
            </w:r>
            <w:r w:rsidR="00D968F0">
              <w:rPr>
                <w:rFonts w:ascii="Times New Roman" w:hAnsi="Times New Roman"/>
                <w:sz w:val="22"/>
                <w:szCs w:val="22"/>
              </w:rPr>
              <w:t>,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68F0">
              <w:rPr>
                <w:rFonts w:ascii="Times New Roman" w:hAnsi="Times New Roman"/>
                <w:sz w:val="22"/>
                <w:szCs w:val="22"/>
              </w:rPr>
              <w:t>o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therwise, leave blank.</w:t>
            </w:r>
          </w:p>
        </w:tc>
      </w:tr>
      <w:tr w:rsidR="00555CEF" w:rsidRPr="00AF3FF3" w14:paraId="0596CFA7" w14:textId="77777777" w:rsidTr="00AF3FF3">
        <w:trPr>
          <w:cantSplit/>
          <w:jc w:val="center"/>
        </w:trPr>
        <w:tc>
          <w:tcPr>
            <w:tcW w:w="1800" w:type="dxa"/>
          </w:tcPr>
          <w:p w14:paraId="0596CFA2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  <w:tc>
          <w:tcPr>
            <w:tcW w:w="1170" w:type="dxa"/>
          </w:tcPr>
          <w:p w14:paraId="0596CFA4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65-73</w:t>
            </w:r>
          </w:p>
        </w:tc>
        <w:tc>
          <w:tcPr>
            <w:tcW w:w="6390" w:type="dxa"/>
          </w:tcPr>
          <w:p w14:paraId="0596CFA6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Enter the amount billed or credit allowed.</w:t>
            </w:r>
          </w:p>
        </w:tc>
      </w:tr>
      <w:tr w:rsidR="00555CEF" w:rsidRPr="00AF3FF3" w14:paraId="0596CFAE" w14:textId="77777777" w:rsidTr="00AF3FF3">
        <w:trPr>
          <w:cantSplit/>
          <w:jc w:val="center"/>
        </w:trPr>
        <w:tc>
          <w:tcPr>
            <w:tcW w:w="1800" w:type="dxa"/>
          </w:tcPr>
          <w:p w14:paraId="0596CFA9" w14:textId="09AD624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Aircraft Mission/</w:t>
            </w:r>
            <w:r w:rsidR="00AF3FF3" w:rsidRPr="00AF3FF3">
              <w:rPr>
                <w:rFonts w:ascii="Times New Roman" w:hAnsi="Times New Roman"/>
                <w:sz w:val="22"/>
                <w:szCs w:val="22"/>
              </w:rPr>
              <w:br/>
            </w:r>
            <w:r w:rsidRPr="00AF3FF3">
              <w:rPr>
                <w:rFonts w:ascii="Times New Roman" w:hAnsi="Times New Roman"/>
                <w:sz w:val="22"/>
                <w:szCs w:val="22"/>
              </w:rPr>
              <w:t>Design Series</w:t>
            </w:r>
          </w:p>
        </w:tc>
        <w:tc>
          <w:tcPr>
            <w:tcW w:w="1170" w:type="dxa"/>
          </w:tcPr>
          <w:p w14:paraId="0596CFAB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74-76</w:t>
            </w:r>
          </w:p>
        </w:tc>
        <w:tc>
          <w:tcPr>
            <w:tcW w:w="6390" w:type="dxa"/>
          </w:tcPr>
          <w:p w14:paraId="0596CFAD" w14:textId="2D577BD1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Perpetuate the data from the </w:t>
            </w:r>
            <w:r w:rsidR="00AF4AF7" w:rsidRPr="00AF3FF3">
              <w:rPr>
                <w:rFonts w:ascii="Times New Roman" w:hAnsi="Times New Roman"/>
                <w:sz w:val="22"/>
                <w:szCs w:val="22"/>
              </w:rPr>
              <w:t>fuel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 xml:space="preserve"> sales slip</w:t>
            </w:r>
            <w:r w:rsidR="00616AA8" w:rsidRPr="00AF3F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A54767" w:rsidRPr="00AF3FF3">
              <w:rPr>
                <w:rFonts w:ascii="Times New Roman" w:hAnsi="Times New Roman"/>
                <w:sz w:val="22"/>
                <w:szCs w:val="22"/>
              </w:rPr>
              <w:t>DLA Energy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 AIR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 xml:space="preserve">card </w:t>
            </w:r>
            <w:r w:rsidR="008465EF" w:rsidRPr="00AF3FF3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="00D968F0" w:rsidRPr="00AF3FF3">
              <w:rPr>
                <w:rFonts w:ascii="Times New Roman" w:hAnsi="Times New Roman"/>
                <w:sz w:val="22"/>
                <w:szCs w:val="22"/>
              </w:rPr>
              <w:t>fleet card databases</w:t>
            </w:r>
            <w:r w:rsidR="00D968F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CEF" w:rsidRPr="00AF3FF3" w14:paraId="0596CFB7" w14:textId="77777777" w:rsidTr="00AF3FF3">
        <w:trPr>
          <w:cantSplit/>
          <w:jc w:val="center"/>
        </w:trPr>
        <w:tc>
          <w:tcPr>
            <w:tcW w:w="1800" w:type="dxa"/>
          </w:tcPr>
          <w:p w14:paraId="0596CFB0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Unit Price</w:t>
            </w:r>
          </w:p>
        </w:tc>
        <w:tc>
          <w:tcPr>
            <w:tcW w:w="1170" w:type="dxa"/>
          </w:tcPr>
          <w:p w14:paraId="0596CFB2" w14:textId="77777777" w:rsidR="00555CEF" w:rsidRPr="00AF3FF3" w:rsidRDefault="00555CEF" w:rsidP="00A474D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77-80</w:t>
            </w:r>
          </w:p>
        </w:tc>
        <w:tc>
          <w:tcPr>
            <w:tcW w:w="6390" w:type="dxa"/>
          </w:tcPr>
          <w:p w14:paraId="0596CFB4" w14:textId="77777777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>Enter the standard unit price:</w:t>
            </w:r>
          </w:p>
          <w:p w14:paraId="0596CFB5" w14:textId="5E2DB05E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77 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Dollars</w:t>
            </w:r>
          </w:p>
          <w:p w14:paraId="0596CFB6" w14:textId="6E4E8F5B" w:rsidR="00555CEF" w:rsidRPr="00AF3FF3" w:rsidRDefault="00555CEF" w:rsidP="001A53E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AF3FF3">
              <w:rPr>
                <w:rFonts w:ascii="Times New Roman" w:hAnsi="Times New Roman"/>
                <w:sz w:val="22"/>
                <w:szCs w:val="22"/>
              </w:rPr>
              <w:t xml:space="preserve">78-80 </w:t>
            </w:r>
            <w:r w:rsidR="00A474D5" w:rsidRPr="00AF3FF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AF3FF3">
              <w:rPr>
                <w:rFonts w:ascii="Times New Roman" w:hAnsi="Times New Roman"/>
                <w:sz w:val="22"/>
                <w:szCs w:val="22"/>
              </w:rPr>
              <w:t>Mills</w:t>
            </w:r>
          </w:p>
        </w:tc>
      </w:tr>
    </w:tbl>
    <w:p w14:paraId="0596CFB8" w14:textId="77777777" w:rsidR="000F2502" w:rsidRPr="00F512C9" w:rsidRDefault="000F2502" w:rsidP="00196362">
      <w:pPr>
        <w:tabs>
          <w:tab w:val="left" w:pos="-1440"/>
        </w:tabs>
        <w:rPr>
          <w:rFonts w:ascii="Times New Roman" w:hAnsi="Times New Roman"/>
        </w:rPr>
      </w:pPr>
    </w:p>
    <w:sectPr w:rsidR="000F2502" w:rsidRPr="00F512C9" w:rsidSect="008E4673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CFBB" w14:textId="77777777" w:rsidR="003B06AB" w:rsidRDefault="003B06AB">
      <w:r>
        <w:separator/>
      </w:r>
    </w:p>
  </w:endnote>
  <w:endnote w:type="continuationSeparator" w:id="0">
    <w:p w14:paraId="0596CFBC" w14:textId="77777777" w:rsidR="003B06AB" w:rsidRDefault="003B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CFC0" w14:textId="77777777" w:rsidR="007E3850" w:rsidRPr="006877CE" w:rsidRDefault="00590E48" w:rsidP="00D1127A">
    <w:pPr>
      <w:pStyle w:val="Footer"/>
      <w:framePr w:wrap="around" w:vAnchor="text" w:hAnchor="margin" w:xAlign="center" w:y="1"/>
      <w:rPr>
        <w:rStyle w:val="PageNumber"/>
        <w:sz w:val="20"/>
      </w:rPr>
    </w:pPr>
    <w:r w:rsidRPr="006877CE">
      <w:rPr>
        <w:rStyle w:val="PageNumber"/>
        <w:sz w:val="20"/>
      </w:rPr>
      <w:fldChar w:fldCharType="begin"/>
    </w:r>
    <w:r w:rsidR="007E3850" w:rsidRPr="006877CE">
      <w:rPr>
        <w:rStyle w:val="PageNumber"/>
        <w:sz w:val="20"/>
      </w:rPr>
      <w:instrText xml:space="preserve">PAGE  </w:instrText>
    </w:r>
    <w:r w:rsidRPr="006877CE">
      <w:rPr>
        <w:rStyle w:val="PageNumber"/>
        <w:sz w:val="20"/>
      </w:rPr>
      <w:fldChar w:fldCharType="separate"/>
    </w:r>
    <w:r w:rsidR="007E3850">
      <w:rPr>
        <w:rStyle w:val="PageNumber"/>
        <w:noProof/>
        <w:sz w:val="20"/>
      </w:rPr>
      <w:t>136</w:t>
    </w:r>
    <w:r w:rsidRPr="006877CE">
      <w:rPr>
        <w:rStyle w:val="PageNumber"/>
        <w:sz w:val="20"/>
      </w:rPr>
      <w:fldChar w:fldCharType="end"/>
    </w:r>
  </w:p>
  <w:p w14:paraId="0596CFC1" w14:textId="77777777" w:rsidR="007E3850" w:rsidRPr="00D1127A" w:rsidRDefault="007E3850" w:rsidP="00D1127A">
    <w:pPr>
      <w:tabs>
        <w:tab w:val="right" w:pos="9360"/>
      </w:tabs>
      <w:rPr>
        <w:sz w:val="20"/>
      </w:rPr>
    </w:pPr>
    <w:r w:rsidRPr="00D1127A">
      <w:rPr>
        <w:sz w:val="20"/>
      </w:rPr>
      <w:tab/>
      <w:t>APPENDIX 3.20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CFC3" w14:textId="1520BBBC" w:rsidR="007E3850" w:rsidRPr="00F512C9" w:rsidRDefault="00F512C9" w:rsidP="00F512C9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F512C9">
      <w:rPr>
        <w:rFonts w:ascii="Times New Roman" w:hAnsi="Times New Roman"/>
        <w:smallCaps/>
        <w:snapToGrid/>
        <w:szCs w:val="22"/>
      </w:rPr>
      <w:t>Volume 4</w:t>
    </w:r>
    <w:r w:rsidRPr="00F512C9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.23.</w:t>
    </w:r>
    <w:r w:rsidRPr="00F512C9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.23</w:t>
    </w:r>
    <w:r w:rsidRPr="00F512C9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F512C9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F512C9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F512C9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F512C9">
          <w:rPr>
            <w:rFonts w:ascii="Times New Roman" w:hAnsi="Times New Roman"/>
            <w:smallCaps/>
            <w:snapToGrid/>
            <w:szCs w:val="22"/>
          </w:rPr>
          <w:t>2</w:t>
        </w:r>
        <w:r w:rsidRPr="00F512C9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CFB9" w14:textId="77777777" w:rsidR="003B06AB" w:rsidRDefault="003B06AB">
      <w:r>
        <w:separator/>
      </w:r>
    </w:p>
  </w:footnote>
  <w:footnote w:type="continuationSeparator" w:id="0">
    <w:p w14:paraId="0596CFBA" w14:textId="77777777" w:rsidR="003B06AB" w:rsidRDefault="003B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CFBD" w14:textId="77777777" w:rsidR="007E3850" w:rsidRPr="00D1127A" w:rsidRDefault="007E3850" w:rsidP="00003D97">
    <w:pPr>
      <w:tabs>
        <w:tab w:val="left" w:pos="-1440"/>
      </w:tabs>
      <w:jc w:val="right"/>
      <w:rPr>
        <w:i/>
        <w:sz w:val="20"/>
      </w:rPr>
    </w:pPr>
    <w:r w:rsidRPr="00D1127A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CFBE" w14:textId="0C5A9623" w:rsidR="00417543" w:rsidRPr="00F512C9" w:rsidRDefault="00417543" w:rsidP="00417543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F512C9">
      <w:rPr>
        <w:rFonts w:ascii="Times New Roman" w:hAnsi="Times New Roman"/>
        <w:i/>
        <w:iCs/>
        <w:szCs w:val="24"/>
      </w:rPr>
      <w:t>DLM 4000.25, Volume 4</w:t>
    </w:r>
    <w:r w:rsidR="00F512C9" w:rsidRPr="00F512C9">
      <w:rPr>
        <w:rFonts w:ascii="Times New Roman" w:hAnsi="Times New Roman"/>
        <w:i/>
        <w:iCs/>
        <w:szCs w:val="24"/>
      </w:rPr>
      <w:t>, Appendix 3.23.</w:t>
    </w:r>
  </w:p>
  <w:p w14:paraId="0596CFBF" w14:textId="14FAC1DA" w:rsidR="007E3850" w:rsidRPr="00F512C9" w:rsidRDefault="00F512C9" w:rsidP="00F512C9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F512C9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502"/>
    <w:rsid w:val="00003D97"/>
    <w:rsid w:val="00031208"/>
    <w:rsid w:val="000701AD"/>
    <w:rsid w:val="00086B94"/>
    <w:rsid w:val="00096F1F"/>
    <w:rsid w:val="000D1192"/>
    <w:rsid w:val="000F2502"/>
    <w:rsid w:val="00110B0F"/>
    <w:rsid w:val="00142F34"/>
    <w:rsid w:val="00165D20"/>
    <w:rsid w:val="00196362"/>
    <w:rsid w:val="001A53E1"/>
    <w:rsid w:val="001B65D6"/>
    <w:rsid w:val="001D11AC"/>
    <w:rsid w:val="00215FE3"/>
    <w:rsid w:val="00217686"/>
    <w:rsid w:val="00225B42"/>
    <w:rsid w:val="00293BA9"/>
    <w:rsid w:val="002D077F"/>
    <w:rsid w:val="00336FC3"/>
    <w:rsid w:val="00340A0F"/>
    <w:rsid w:val="003433F1"/>
    <w:rsid w:val="00350D67"/>
    <w:rsid w:val="003A0FA1"/>
    <w:rsid w:val="003B06AB"/>
    <w:rsid w:val="003C3146"/>
    <w:rsid w:val="003E367E"/>
    <w:rsid w:val="003F10E7"/>
    <w:rsid w:val="004068E5"/>
    <w:rsid w:val="00417543"/>
    <w:rsid w:val="00426A63"/>
    <w:rsid w:val="00427113"/>
    <w:rsid w:val="00431A9D"/>
    <w:rsid w:val="00432FF6"/>
    <w:rsid w:val="00441430"/>
    <w:rsid w:val="00492F6D"/>
    <w:rsid w:val="004D78AC"/>
    <w:rsid w:val="004E27A6"/>
    <w:rsid w:val="005025BE"/>
    <w:rsid w:val="00555CEF"/>
    <w:rsid w:val="00581F7B"/>
    <w:rsid w:val="00590E48"/>
    <w:rsid w:val="005C5D56"/>
    <w:rsid w:val="005D6502"/>
    <w:rsid w:val="005F2254"/>
    <w:rsid w:val="00616AA8"/>
    <w:rsid w:val="006206B7"/>
    <w:rsid w:val="0062133C"/>
    <w:rsid w:val="006364BF"/>
    <w:rsid w:val="00642B1D"/>
    <w:rsid w:val="00644F35"/>
    <w:rsid w:val="0068280E"/>
    <w:rsid w:val="006877CE"/>
    <w:rsid w:val="00696E4F"/>
    <w:rsid w:val="006C22F8"/>
    <w:rsid w:val="00727493"/>
    <w:rsid w:val="007B0E96"/>
    <w:rsid w:val="007C7C68"/>
    <w:rsid w:val="007D0097"/>
    <w:rsid w:val="007E3850"/>
    <w:rsid w:val="007E6AC2"/>
    <w:rsid w:val="00817C7B"/>
    <w:rsid w:val="008465EF"/>
    <w:rsid w:val="00870D50"/>
    <w:rsid w:val="00893226"/>
    <w:rsid w:val="008E2276"/>
    <w:rsid w:val="008E4673"/>
    <w:rsid w:val="00941FE5"/>
    <w:rsid w:val="00981B7D"/>
    <w:rsid w:val="009C3F39"/>
    <w:rsid w:val="009C44A4"/>
    <w:rsid w:val="009D30E0"/>
    <w:rsid w:val="009D4C1A"/>
    <w:rsid w:val="00A026C8"/>
    <w:rsid w:val="00A474D5"/>
    <w:rsid w:val="00A54767"/>
    <w:rsid w:val="00A765D0"/>
    <w:rsid w:val="00A83314"/>
    <w:rsid w:val="00AD11F0"/>
    <w:rsid w:val="00AF3FF3"/>
    <w:rsid w:val="00AF4AF7"/>
    <w:rsid w:val="00B02B25"/>
    <w:rsid w:val="00B46B4C"/>
    <w:rsid w:val="00B94236"/>
    <w:rsid w:val="00BA2211"/>
    <w:rsid w:val="00BA7456"/>
    <w:rsid w:val="00BF5418"/>
    <w:rsid w:val="00C76FE3"/>
    <w:rsid w:val="00C774EE"/>
    <w:rsid w:val="00C77514"/>
    <w:rsid w:val="00C93711"/>
    <w:rsid w:val="00C97597"/>
    <w:rsid w:val="00CC7D45"/>
    <w:rsid w:val="00D1127A"/>
    <w:rsid w:val="00D4580A"/>
    <w:rsid w:val="00D62EC6"/>
    <w:rsid w:val="00D70990"/>
    <w:rsid w:val="00D95D39"/>
    <w:rsid w:val="00D968F0"/>
    <w:rsid w:val="00DD1C46"/>
    <w:rsid w:val="00DD6AE3"/>
    <w:rsid w:val="00E33CDE"/>
    <w:rsid w:val="00E436CF"/>
    <w:rsid w:val="00E47FB9"/>
    <w:rsid w:val="00E7550D"/>
    <w:rsid w:val="00EC7BFA"/>
    <w:rsid w:val="00ED30DB"/>
    <w:rsid w:val="00ED324E"/>
    <w:rsid w:val="00F512C9"/>
    <w:rsid w:val="00F54BFC"/>
    <w:rsid w:val="00F70BFF"/>
    <w:rsid w:val="00FA17FF"/>
    <w:rsid w:val="00FA5C8F"/>
    <w:rsid w:val="00FF0836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6CF1F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FE3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76FE3"/>
  </w:style>
  <w:style w:type="paragraph" w:styleId="Header">
    <w:name w:val="header"/>
    <w:basedOn w:val="Normal"/>
    <w:rsid w:val="00C76F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6F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6FE3"/>
  </w:style>
  <w:style w:type="character" w:styleId="CommentReference">
    <w:name w:val="annotation reference"/>
    <w:basedOn w:val="DefaultParagraphFont"/>
    <w:semiHidden/>
    <w:rsid w:val="00C76FE3"/>
    <w:rPr>
      <w:sz w:val="16"/>
    </w:rPr>
  </w:style>
  <w:style w:type="paragraph" w:styleId="CommentText">
    <w:name w:val="annotation text"/>
    <w:basedOn w:val="Normal"/>
    <w:semiHidden/>
    <w:rsid w:val="00C76FE3"/>
    <w:rPr>
      <w:sz w:val="20"/>
    </w:rPr>
  </w:style>
  <w:style w:type="paragraph" w:styleId="BalloonText">
    <w:name w:val="Balloon Text"/>
    <w:basedOn w:val="Normal"/>
    <w:semiHidden/>
    <w:rsid w:val="000F25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44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D1192"/>
    <w:pPr>
      <w:tabs>
        <w:tab w:val="left" w:pos="-1440"/>
      </w:tabs>
      <w:spacing w:before="60" w:after="120"/>
      <w:jc w:val="center"/>
    </w:pPr>
    <w:rPr>
      <w:rFonts w:cs="Arial"/>
      <w:b/>
      <w:sz w:val="44"/>
      <w:szCs w:val="44"/>
      <w:u w:val="single"/>
    </w:rPr>
  </w:style>
  <w:style w:type="character" w:customStyle="1" w:styleId="TitleChar">
    <w:name w:val="Title Char"/>
    <w:basedOn w:val="DefaultParagraphFont"/>
    <w:link w:val="Title"/>
    <w:rsid w:val="000D1192"/>
    <w:rPr>
      <w:rFonts w:ascii="Arial" w:hAnsi="Arial" w:cs="Arial"/>
      <w:b/>
      <w:snapToGrid w:val="0"/>
      <w:sz w:val="44"/>
      <w:szCs w:val="4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5B841-3644-4B3D-BAC5-17621EE90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D40DF-A742-4135-ADF0-3470890A1DA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8f89fa97-345a-4caa-bc01-4162549d7949"/>
    <ds:schemaRef ds:uri="8F89FA97-345A-4CAA-BC01-4162549D794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375acca-1905-4f67-9f5b-ffdd4a33e2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4DB487-1BD0-4FAB-A48F-B7EED00DA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579</Words>
  <Characters>3029</Characters>
  <Application>Microsoft Office Word</Application>
  <DocSecurity>0</DocSecurity>
  <Lines>216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AP3.20 BILLING FOR INTO-PLANE ISSUES</vt:lpstr>
    </vt:vector>
  </TitlesOfParts>
  <Company>DLA/DLMSO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AP3.20 BILLING FOR INTO-PLANE ISSUES</dc:title>
  <dc:subject>FP1 FP2 GP1 GP2</dc:subject>
  <dc:creator>Dennis Thomas</dc:creator>
  <cp:lastModifiedBy>Franco, Tracy E CTR DLA INFO OPERATIONS (USA)</cp:lastModifiedBy>
  <cp:revision>9</cp:revision>
  <cp:lastPrinted>2005-10-27T19:50:00Z</cp:lastPrinted>
  <dcterms:created xsi:type="dcterms:W3CDTF">2012-03-15T18:57:00Z</dcterms:created>
  <dcterms:modified xsi:type="dcterms:W3CDTF">2026-03-10T20:23:00Z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