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DE" w:rsidRPr="00087BD4" w:rsidRDefault="0014582B" w:rsidP="00036A0A">
      <w:pPr>
        <w:tabs>
          <w:tab w:val="left" w:pos="-1440"/>
        </w:tabs>
        <w:spacing w:before="60" w:after="24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FA1/FA2/GA1/GA2 FORMAT</w:t>
      </w:r>
      <w:bookmarkStart w:id="0" w:name="_GoBack"/>
      <w:bookmarkEnd w:id="0"/>
    </w:p>
    <w:p w:rsidR="008F42DE" w:rsidRPr="00087BD4" w:rsidRDefault="008F42DE" w:rsidP="00087BD4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087BD4">
        <w:rPr>
          <w:rFonts w:cs="Arial"/>
          <w:b/>
          <w:sz w:val="36"/>
          <w:szCs w:val="36"/>
          <w:u w:val="single"/>
        </w:rPr>
        <w:t>BILLING FOR ISSUE FROM STOCK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680"/>
      </w:tblGrid>
      <w:tr w:rsidR="008F42DE" w:rsidRPr="00087BD4">
        <w:trPr>
          <w:cantSplit/>
          <w:tblHeader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  <w:u w:val="single"/>
              </w:rPr>
            </w:pPr>
            <w:r w:rsidRPr="00087BD4">
              <w:rPr>
                <w:rFonts w:cs="Arial"/>
                <w:szCs w:val="24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  <w:u w:val="single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  <w:u w:val="single"/>
              </w:rPr>
            </w:pPr>
            <w:r w:rsidRPr="00087BD4">
              <w:rPr>
                <w:rFonts w:cs="Arial"/>
                <w:szCs w:val="24"/>
                <w:u w:val="single"/>
              </w:rPr>
              <w:t>Position(s)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  <w:u w:val="single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  <w:u w:val="single"/>
              </w:rPr>
            </w:pPr>
            <w:r w:rsidRPr="00087BD4">
              <w:rPr>
                <w:rFonts w:cs="Arial"/>
                <w:szCs w:val="24"/>
                <w:u w:val="single"/>
              </w:rPr>
              <w:t>Entry and Instructions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b/>
                <w:szCs w:val="24"/>
                <w:u w:val="single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DI Code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1-3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 xml:space="preserve">Enter </w:t>
            </w:r>
            <w:r w:rsidRPr="00087BD4">
              <w:rPr>
                <w:rFonts w:cs="Arial"/>
                <w:szCs w:val="24"/>
              </w:rPr>
              <w:br/>
              <w:t>FA1 or GA1 (charge)</w:t>
            </w:r>
            <w:r w:rsidRPr="00087BD4">
              <w:rPr>
                <w:rFonts w:cs="Arial"/>
                <w:szCs w:val="24"/>
              </w:rPr>
              <w:br/>
              <w:t>FA2 or GA2 (credit)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RI Code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4-6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For DoD shipments, enter RI code of the billing office.  For GSA, enter the RI code of the GSA office that made or directed the shipment.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Sales Price Condition Code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7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Enter applicable code or leave blank.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Stock Number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8-22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Enter the NSN or Part Number of the item shipped.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U/I Code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23-24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Enter U/I.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Quantity</w:t>
            </w:r>
            <w:r w:rsidRPr="00087BD4">
              <w:rPr>
                <w:rStyle w:val="FootnoteReference"/>
                <w:rFonts w:cs="Arial"/>
                <w:szCs w:val="24"/>
                <w:vertAlign w:val="superscript"/>
              </w:rPr>
              <w:footnoteReference w:id="1"/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25-29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Enter the quantity billed or credited.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Document Number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30-43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Perpetuate from the MILSTRIP requisition.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Suffix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44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Perpetuate from the MILSTRIP shipment status or equivalent document.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Supplementary Address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45-50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Perpetuate from the MILSTRIP requisition.  For hazardous waste disposal service billings, perpetuate the bill-to DoDAAC from</w:t>
            </w:r>
            <w:r w:rsidRPr="00087BD4">
              <w:rPr>
                <w:rFonts w:cs="Arial"/>
                <w:b/>
                <w:szCs w:val="24"/>
              </w:rPr>
              <w:t xml:space="preserve"> </w:t>
            </w:r>
            <w:r w:rsidRPr="00087BD4">
              <w:rPr>
                <w:rFonts w:cs="Arial"/>
                <w:szCs w:val="24"/>
              </w:rPr>
              <w:t>block 12 (date shipped field) of the turn-in document (DD Form 1348-1)</w:t>
            </w:r>
            <w:r w:rsidRPr="00087BD4"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Signal Code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51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Perpetuate from the MILSTRIP requisition.  For hazardous waste reimbursements, enter B.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Fund Code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52-53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Perpetuate from the MILSTRIP requisition.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Bill Number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54-58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Enter bill number from SBR.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Mode/Method Code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59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Enter the mode/method code when the billing is for FMS or MAP shipment.  Otherwise, leave blank.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Type of Bill Code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60-61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Enter a type of bill code or leave blank.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Day of Year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62-64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For shipments to DoD enter the day item dropped from inventory.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For FMS, MAP and shipments to non-DoD activities, enter the day item is constructively delivered.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Amount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65-73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 xml:space="preserve">Enter the extended amount, e.g., unit price </w:t>
            </w:r>
            <w:proofErr w:type="gramStart"/>
            <w:r w:rsidRPr="00087BD4">
              <w:rPr>
                <w:rFonts w:cs="Arial"/>
                <w:szCs w:val="24"/>
              </w:rPr>
              <w:t>times</w:t>
            </w:r>
            <w:proofErr w:type="gramEnd"/>
            <w:r w:rsidRPr="00087BD4">
              <w:rPr>
                <w:rFonts w:cs="Arial"/>
                <w:szCs w:val="24"/>
              </w:rPr>
              <w:t xml:space="preserve"> quantity.</w:t>
            </w:r>
          </w:p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65-71 Dollars</w:t>
            </w: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72-73 Cents</w:t>
            </w:r>
          </w:p>
        </w:tc>
      </w:tr>
      <w:tr w:rsidR="008F42DE" w:rsidRPr="00087BD4">
        <w:trPr>
          <w:cantSplit/>
        </w:trPr>
        <w:tc>
          <w:tcPr>
            <w:tcW w:w="288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Unit Price</w:t>
            </w:r>
          </w:p>
        </w:tc>
        <w:tc>
          <w:tcPr>
            <w:tcW w:w="1800" w:type="dxa"/>
          </w:tcPr>
          <w:p w:rsidR="008F42DE" w:rsidRPr="00087BD4" w:rsidRDefault="008F42DE">
            <w:pPr>
              <w:spacing w:line="120" w:lineRule="exact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74-80</w:t>
            </w:r>
          </w:p>
        </w:tc>
        <w:tc>
          <w:tcPr>
            <w:tcW w:w="4680" w:type="dxa"/>
          </w:tcPr>
          <w:p w:rsidR="008F42DE" w:rsidRPr="00087BD4" w:rsidRDefault="008F42DE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8F42DE" w:rsidRPr="00087BD4" w:rsidRDefault="008F42DE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For other than FMS enter the standard unit price of item.  When standard pricing does not apply, enter other appropriate billing price.</w:t>
            </w:r>
          </w:p>
          <w:p w:rsidR="008F42DE" w:rsidRPr="00087BD4" w:rsidRDefault="008F42DE">
            <w:pPr>
              <w:pStyle w:val="BodyTextIndent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For FMS.  Enter the following:</w:t>
            </w:r>
          </w:p>
          <w:p w:rsidR="008F42DE" w:rsidRPr="00087BD4" w:rsidRDefault="008F42DE">
            <w:pPr>
              <w:tabs>
                <w:tab w:val="left" w:pos="-1440"/>
              </w:tabs>
              <w:ind w:left="576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74-76 Record Serial Number</w:t>
            </w:r>
            <w:r w:rsidRPr="00087BD4">
              <w:rPr>
                <w:rStyle w:val="FootnoteReference"/>
                <w:rFonts w:cs="Arial"/>
                <w:szCs w:val="24"/>
                <w:vertAlign w:val="superscript"/>
              </w:rPr>
              <w:footnoteReference w:id="2"/>
            </w:r>
            <w:r w:rsidRPr="00087BD4">
              <w:rPr>
                <w:rFonts w:cs="Arial"/>
                <w:szCs w:val="24"/>
              </w:rPr>
              <w:t xml:space="preserve"> </w:t>
            </w:r>
          </w:p>
          <w:p w:rsidR="008F42DE" w:rsidRPr="00087BD4" w:rsidRDefault="008F42DE">
            <w:pPr>
              <w:tabs>
                <w:tab w:val="left" w:pos="-1440"/>
              </w:tabs>
              <w:ind w:left="576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>77 Transportation Bill Code</w:t>
            </w:r>
          </w:p>
          <w:p w:rsidR="008F42DE" w:rsidRPr="00087BD4" w:rsidRDefault="008F42DE">
            <w:pPr>
              <w:tabs>
                <w:tab w:val="left" w:pos="-1440"/>
              </w:tabs>
              <w:ind w:left="576" w:hanging="288"/>
              <w:rPr>
                <w:rFonts w:cs="Arial"/>
                <w:szCs w:val="24"/>
              </w:rPr>
            </w:pPr>
            <w:r w:rsidRPr="00087BD4">
              <w:rPr>
                <w:rFonts w:cs="Arial"/>
                <w:szCs w:val="24"/>
              </w:rPr>
              <w:t xml:space="preserve">78-79 Delivery Source Code </w:t>
            </w:r>
          </w:p>
          <w:p w:rsidR="008F42DE" w:rsidRPr="00087BD4" w:rsidRDefault="00940A7A">
            <w:pPr>
              <w:tabs>
                <w:tab w:val="left" w:pos="-1440"/>
              </w:tabs>
              <w:ind w:left="576" w:hanging="28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80 -</w:t>
            </w:r>
            <w:r>
              <w:rPr>
                <w:rFonts w:cs="Arial"/>
                <w:szCs w:val="24"/>
              </w:rPr>
              <w:tab/>
              <w:t>DWCF or non-DWCF Code.</w:t>
            </w:r>
          </w:p>
        </w:tc>
      </w:tr>
    </w:tbl>
    <w:p w:rsidR="00190AA9" w:rsidRPr="00087BD4" w:rsidRDefault="00190AA9" w:rsidP="00553DAA">
      <w:pPr>
        <w:tabs>
          <w:tab w:val="left" w:pos="-1440"/>
        </w:tabs>
        <w:rPr>
          <w:rFonts w:cs="Arial"/>
          <w:szCs w:val="24"/>
        </w:rPr>
      </w:pPr>
    </w:p>
    <w:sectPr w:rsidR="00190AA9" w:rsidRPr="00087BD4" w:rsidSect="00EE3251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E9" w:rsidRDefault="008C6DE9">
      <w:r>
        <w:separator/>
      </w:r>
    </w:p>
  </w:endnote>
  <w:endnote w:type="continuationSeparator" w:id="0">
    <w:p w:rsidR="008C6DE9" w:rsidRDefault="008C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7A" w:rsidRPr="007C459C" w:rsidRDefault="00790086" w:rsidP="00036A0A">
    <w:pPr>
      <w:pStyle w:val="Footer"/>
      <w:framePr w:wrap="around" w:vAnchor="text" w:hAnchor="margin" w:xAlign="center" w:y="1"/>
      <w:rPr>
        <w:rStyle w:val="PageNumber"/>
        <w:sz w:val="20"/>
      </w:rPr>
    </w:pPr>
    <w:r w:rsidRPr="007C459C">
      <w:rPr>
        <w:rStyle w:val="PageNumber"/>
        <w:sz w:val="20"/>
      </w:rPr>
      <w:fldChar w:fldCharType="begin"/>
    </w:r>
    <w:r w:rsidR="00940A7A" w:rsidRPr="007C459C">
      <w:rPr>
        <w:rStyle w:val="PageNumber"/>
        <w:sz w:val="20"/>
      </w:rPr>
      <w:instrText xml:space="preserve">PAGE  </w:instrText>
    </w:r>
    <w:r w:rsidRPr="007C459C">
      <w:rPr>
        <w:rStyle w:val="PageNumber"/>
        <w:sz w:val="20"/>
      </w:rPr>
      <w:fldChar w:fldCharType="separate"/>
    </w:r>
    <w:r w:rsidR="00940A7A">
      <w:rPr>
        <w:rStyle w:val="PageNumber"/>
        <w:noProof/>
        <w:sz w:val="20"/>
      </w:rPr>
      <w:t>100</w:t>
    </w:r>
    <w:r w:rsidRPr="007C459C">
      <w:rPr>
        <w:rStyle w:val="PageNumber"/>
        <w:sz w:val="20"/>
      </w:rPr>
      <w:fldChar w:fldCharType="end"/>
    </w:r>
  </w:p>
  <w:p w:rsidR="00940A7A" w:rsidRPr="00036A0A" w:rsidRDefault="00940A7A" w:rsidP="00036A0A">
    <w:pPr>
      <w:tabs>
        <w:tab w:val="right" w:pos="9360"/>
      </w:tabs>
      <w:rPr>
        <w:sz w:val="20"/>
      </w:rPr>
    </w:pPr>
    <w:r w:rsidRPr="00036A0A">
      <w:rPr>
        <w:sz w:val="20"/>
      </w:rPr>
      <w:tab/>
      <w:t>APPENDIX 3.3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7A" w:rsidRPr="00087BD4" w:rsidRDefault="00790086" w:rsidP="00036A0A">
    <w:pPr>
      <w:pStyle w:val="Footer"/>
      <w:framePr w:wrap="around" w:vAnchor="text" w:hAnchor="margin" w:xAlign="center" w:y="1"/>
      <w:rPr>
        <w:rStyle w:val="PageNumber"/>
        <w:szCs w:val="24"/>
      </w:rPr>
    </w:pPr>
    <w:r w:rsidRPr="00087BD4">
      <w:rPr>
        <w:rStyle w:val="PageNumber"/>
        <w:szCs w:val="24"/>
      </w:rPr>
      <w:fldChar w:fldCharType="begin"/>
    </w:r>
    <w:r w:rsidR="00940A7A" w:rsidRPr="00087BD4">
      <w:rPr>
        <w:rStyle w:val="PageNumber"/>
        <w:szCs w:val="24"/>
      </w:rPr>
      <w:instrText xml:space="preserve"> PAGE </w:instrText>
    </w:r>
    <w:r w:rsidRPr="00087BD4">
      <w:rPr>
        <w:rStyle w:val="PageNumber"/>
        <w:szCs w:val="24"/>
      </w:rPr>
      <w:fldChar w:fldCharType="separate"/>
    </w:r>
    <w:r w:rsidR="0014582B">
      <w:rPr>
        <w:rStyle w:val="PageNumber"/>
        <w:noProof/>
        <w:szCs w:val="24"/>
      </w:rPr>
      <w:t>1</w:t>
    </w:r>
    <w:r w:rsidRPr="00087BD4">
      <w:rPr>
        <w:rStyle w:val="PageNumber"/>
        <w:szCs w:val="24"/>
      </w:rPr>
      <w:fldChar w:fldCharType="end"/>
    </w:r>
  </w:p>
  <w:p w:rsidR="00940A7A" w:rsidRPr="00087BD4" w:rsidRDefault="00940A7A" w:rsidP="00087BD4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E9" w:rsidRDefault="008C6DE9">
      <w:r>
        <w:separator/>
      </w:r>
    </w:p>
  </w:footnote>
  <w:footnote w:type="continuationSeparator" w:id="0">
    <w:p w:rsidR="008C6DE9" w:rsidRDefault="008C6DE9">
      <w:r>
        <w:continuationSeparator/>
      </w:r>
    </w:p>
  </w:footnote>
  <w:footnote w:id="1">
    <w:p w:rsidR="00940A7A" w:rsidRPr="00553DAA" w:rsidRDefault="00940A7A">
      <w:pPr>
        <w:tabs>
          <w:tab w:val="left" w:pos="-1440"/>
        </w:tabs>
        <w:spacing w:after="240"/>
        <w:ind w:firstLine="720"/>
        <w:rPr>
          <w:rFonts w:ascii="Times New Roman" w:hAnsi="Times New Roman"/>
          <w:sz w:val="20"/>
        </w:rPr>
      </w:pPr>
      <w:r>
        <w:rPr>
          <w:rStyle w:val="FootnoteReference"/>
          <w:vertAlign w:val="superscript"/>
        </w:rPr>
        <w:footnoteRef/>
      </w:r>
      <w:r>
        <w:t xml:space="preserve"> </w:t>
      </w:r>
      <w:r w:rsidRPr="00553DAA">
        <w:rPr>
          <w:rFonts w:ascii="Times New Roman" w:hAnsi="Times New Roman"/>
          <w:sz w:val="20"/>
        </w:rPr>
        <w:t xml:space="preserve">When either the billed and billing offices or their higher </w:t>
      </w:r>
      <w:r>
        <w:rPr>
          <w:rFonts w:ascii="Times New Roman" w:hAnsi="Times New Roman"/>
          <w:sz w:val="20"/>
        </w:rPr>
        <w:t>authorities</w:t>
      </w:r>
      <w:r w:rsidRPr="00553DAA">
        <w:rPr>
          <w:rFonts w:ascii="Times New Roman" w:hAnsi="Times New Roman"/>
          <w:sz w:val="20"/>
        </w:rPr>
        <w:t xml:space="preserve"> agree, billing offices may process billings for Federal Supply Group 13 ammunition items using an </w:t>
      </w:r>
      <w:r>
        <w:rPr>
          <w:rFonts w:ascii="Times New Roman" w:hAnsi="Times New Roman"/>
          <w:sz w:val="20"/>
        </w:rPr>
        <w:t>“</w:t>
      </w:r>
      <w:r w:rsidRPr="00553DAA"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 xml:space="preserve">” </w:t>
      </w:r>
      <w:r w:rsidRPr="00553DAA">
        <w:rPr>
          <w:rFonts w:ascii="Times New Roman" w:hAnsi="Times New Roman"/>
          <w:sz w:val="20"/>
        </w:rPr>
        <w:t>modifier in pos. 29 to express the quantity for a single shipment in thousands.  Service or Agency representatives must be advised of these agreements and the representatives will initiate action to d</w:t>
      </w:r>
      <w:r>
        <w:rPr>
          <w:rFonts w:ascii="Times New Roman" w:hAnsi="Times New Roman"/>
          <w:sz w:val="20"/>
        </w:rPr>
        <w:t>ocument the usage in MILSBILLS.</w:t>
      </w:r>
    </w:p>
  </w:footnote>
  <w:footnote w:id="2">
    <w:p w:rsidR="00940A7A" w:rsidRDefault="00940A7A">
      <w:pPr>
        <w:tabs>
          <w:tab w:val="left" w:pos="-1440"/>
        </w:tabs>
        <w:spacing w:after="240"/>
        <w:ind w:firstLine="720"/>
      </w:pPr>
      <w:r>
        <w:rPr>
          <w:rStyle w:val="FootnoteReference"/>
          <w:vertAlign w:val="superscript"/>
        </w:rPr>
        <w:footnoteRef/>
      </w:r>
      <w:r w:rsidRPr="00553DAA">
        <w:rPr>
          <w:rFonts w:ascii="Times New Roman" w:hAnsi="Times New Roman"/>
          <w:sz w:val="20"/>
        </w:rPr>
        <w:t xml:space="preserve"> Enter pos. 55-56 of Army and Air Force requisitions (leave pos. 76 blank).  Enter pos. 57-59 of Marine Corps requisitions.  Leave blank for Navy requisitions.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7A" w:rsidRPr="00036A0A" w:rsidRDefault="00940A7A" w:rsidP="00636555">
    <w:pPr>
      <w:tabs>
        <w:tab w:val="left" w:pos="-1440"/>
      </w:tabs>
      <w:jc w:val="right"/>
      <w:rPr>
        <w:i/>
        <w:sz w:val="20"/>
      </w:rPr>
    </w:pPr>
    <w:r w:rsidRPr="00036A0A">
      <w:rPr>
        <w:i/>
        <w:sz w:val="20"/>
      </w:rPr>
      <w:t>DoD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7A" w:rsidRPr="00BE3354" w:rsidRDefault="0014582B" w:rsidP="002F635F">
    <w:pPr>
      <w:tabs>
        <w:tab w:val="left" w:pos="-1440"/>
      </w:tabs>
      <w:jc w:val="right"/>
      <w:rPr>
        <w:b/>
        <w:i/>
        <w:sz w:val="20"/>
      </w:rPr>
    </w:pPr>
    <w:r w:rsidRPr="00055D1D">
      <w:rPr>
        <w:sz w:val="20"/>
      </w:rPr>
      <w:t>DLM 4000.25, Volume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A9"/>
    <w:rsid w:val="00036A0A"/>
    <w:rsid w:val="00036C15"/>
    <w:rsid w:val="00087BD4"/>
    <w:rsid w:val="000A1DED"/>
    <w:rsid w:val="000B1905"/>
    <w:rsid w:val="000E2D87"/>
    <w:rsid w:val="000E4355"/>
    <w:rsid w:val="0012028C"/>
    <w:rsid w:val="0014295D"/>
    <w:rsid w:val="0014582B"/>
    <w:rsid w:val="00190AA9"/>
    <w:rsid w:val="00234F4D"/>
    <w:rsid w:val="002F635F"/>
    <w:rsid w:val="0031632E"/>
    <w:rsid w:val="00397416"/>
    <w:rsid w:val="00476F55"/>
    <w:rsid w:val="004B2A43"/>
    <w:rsid w:val="00553DAA"/>
    <w:rsid w:val="005D6FA7"/>
    <w:rsid w:val="005E5CA9"/>
    <w:rsid w:val="005E715E"/>
    <w:rsid w:val="00607A77"/>
    <w:rsid w:val="00636555"/>
    <w:rsid w:val="00676D11"/>
    <w:rsid w:val="0069515A"/>
    <w:rsid w:val="006E0BF1"/>
    <w:rsid w:val="00790086"/>
    <w:rsid w:val="007C459C"/>
    <w:rsid w:val="008C01A7"/>
    <w:rsid w:val="008C6DE9"/>
    <w:rsid w:val="008F42DE"/>
    <w:rsid w:val="00940500"/>
    <w:rsid w:val="00940A7A"/>
    <w:rsid w:val="00994F77"/>
    <w:rsid w:val="00B35EC2"/>
    <w:rsid w:val="00B87437"/>
    <w:rsid w:val="00BA717A"/>
    <w:rsid w:val="00BD74D0"/>
    <w:rsid w:val="00BE3354"/>
    <w:rsid w:val="00C46D9D"/>
    <w:rsid w:val="00EE3251"/>
    <w:rsid w:val="00F8522A"/>
    <w:rsid w:val="00F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086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790086"/>
    <w:pPr>
      <w:keepNext/>
      <w:tabs>
        <w:tab w:val="left" w:pos="-1440"/>
      </w:tabs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086"/>
  </w:style>
  <w:style w:type="paragraph" w:styleId="Header">
    <w:name w:val="header"/>
    <w:basedOn w:val="Normal"/>
    <w:rsid w:val="007900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0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086"/>
  </w:style>
  <w:style w:type="paragraph" w:styleId="BodyTextIndent">
    <w:name w:val="Body Text Indent"/>
    <w:basedOn w:val="Normal"/>
    <w:rsid w:val="00790086"/>
    <w:pPr>
      <w:tabs>
        <w:tab w:val="left" w:pos="-1440"/>
      </w:tabs>
      <w:ind w:left="288" w:hanging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086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790086"/>
    <w:pPr>
      <w:keepNext/>
      <w:tabs>
        <w:tab w:val="left" w:pos="-1440"/>
      </w:tabs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086"/>
  </w:style>
  <w:style w:type="paragraph" w:styleId="Header">
    <w:name w:val="header"/>
    <w:basedOn w:val="Normal"/>
    <w:rsid w:val="007900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0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086"/>
  </w:style>
  <w:style w:type="paragraph" w:styleId="BodyTextIndent">
    <w:name w:val="Body Text Indent"/>
    <w:basedOn w:val="Normal"/>
    <w:rsid w:val="00790086"/>
    <w:pPr>
      <w:tabs>
        <w:tab w:val="left" w:pos="-1440"/>
      </w:tabs>
      <w:ind w:left="288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2F4D672-744F-4306-8014-40C2D4C93E04}"/>
</file>

<file path=customXml/itemProps2.xml><?xml version="1.0" encoding="utf-8"?>
<ds:datastoreItem xmlns:ds="http://schemas.openxmlformats.org/officeDocument/2006/customXml" ds:itemID="{554B3E25-8684-4366-A2BA-B58068DE2870}"/>
</file>

<file path=customXml/itemProps3.xml><?xml version="1.0" encoding="utf-8"?>
<ds:datastoreItem xmlns:ds="http://schemas.openxmlformats.org/officeDocument/2006/customXml" ds:itemID="{444AC7FB-F5CA-4440-8873-88B5B3AF3C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AP3.3 BILLING FOR ISSUE FROM STOCK</vt:lpstr>
    </vt:vector>
  </TitlesOfParts>
  <Company>DLA/DLMSO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AP3.3 BILLING FOR ISSUE FROM STOCK</dc:title>
  <dc:subject>FA1 FA2 GA1 GA2</dc:subject>
  <dc:creator>Dennis Thomas</dc:creator>
  <cp:lastModifiedBy>Paul Macias</cp:lastModifiedBy>
  <cp:revision>3</cp:revision>
  <cp:lastPrinted>2004-06-07T19:00:00Z</cp:lastPrinted>
  <dcterms:created xsi:type="dcterms:W3CDTF">2012-02-06T21:53:00Z</dcterms:created>
  <dcterms:modified xsi:type="dcterms:W3CDTF">2012-02-06T21:55:00Z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