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21B" w:rsidRPr="00083FDE" w:rsidRDefault="00083FDE">
      <w:pPr>
        <w:jc w:val="center"/>
        <w:rPr>
          <w:rFonts w:cs="Arial"/>
          <w:b/>
          <w:sz w:val="48"/>
          <w:szCs w:val="48"/>
        </w:rPr>
      </w:pPr>
      <w:r w:rsidRPr="00083FDE">
        <w:rPr>
          <w:rFonts w:cs="Arial"/>
          <w:b/>
          <w:sz w:val="48"/>
          <w:szCs w:val="48"/>
        </w:rPr>
        <w:t xml:space="preserve">APPENDIX </w:t>
      </w:r>
      <w:r w:rsidR="00481537">
        <w:rPr>
          <w:rFonts w:cs="Arial"/>
          <w:b/>
          <w:sz w:val="48"/>
          <w:szCs w:val="48"/>
        </w:rPr>
        <w:t>2.</w:t>
      </w:r>
      <w:r w:rsidRPr="00083FDE">
        <w:rPr>
          <w:rFonts w:cs="Arial"/>
          <w:b/>
          <w:sz w:val="48"/>
          <w:szCs w:val="48"/>
        </w:rPr>
        <w:t>4</w:t>
      </w:r>
    </w:p>
    <w:p w:rsidR="0087721B" w:rsidRPr="007E48F8" w:rsidRDefault="0087721B">
      <w:pPr>
        <w:jc w:val="center"/>
        <w:rPr>
          <w:rFonts w:cs="Arial"/>
          <w:sz w:val="36"/>
          <w:szCs w:val="24"/>
          <w:u w:val="single"/>
        </w:rPr>
      </w:pPr>
      <w:r w:rsidRPr="007E48F8">
        <w:rPr>
          <w:rFonts w:cs="Arial"/>
          <w:b/>
          <w:bCs/>
          <w:sz w:val="36"/>
          <w:szCs w:val="36"/>
          <w:u w:val="single"/>
        </w:rPr>
        <w:t>TYPE OF ADDRESS CODES (TACs)</w:t>
      </w:r>
    </w:p>
    <w:p w:rsidR="0087721B" w:rsidRDefault="0087721B">
      <w:pPr>
        <w:jc w:val="center"/>
        <w:rPr>
          <w:rFonts w:cs="Arial"/>
          <w:szCs w:val="24"/>
        </w:rPr>
      </w:pPr>
    </w:p>
    <w:p w:rsidR="0087721B" w:rsidRDefault="0087721B">
      <w:pPr>
        <w:jc w:val="center"/>
        <w:rPr>
          <w:rFonts w:cs="Arial"/>
          <w:szCs w:val="24"/>
        </w:rPr>
      </w:pPr>
    </w:p>
    <w:tbl>
      <w:tblPr>
        <w:tblW w:w="9720" w:type="dxa"/>
        <w:tblInd w:w="100" w:type="dxa"/>
        <w:tblLayout w:type="fixed"/>
        <w:tblCellMar>
          <w:left w:w="100" w:type="dxa"/>
          <w:right w:w="100" w:type="dxa"/>
        </w:tblCellMar>
        <w:tblLook w:val="0000" w:firstRow="0" w:lastRow="0" w:firstColumn="0" w:lastColumn="0" w:noHBand="0" w:noVBand="0"/>
      </w:tblPr>
      <w:tblGrid>
        <w:gridCol w:w="2430"/>
        <w:gridCol w:w="900"/>
        <w:gridCol w:w="6390"/>
      </w:tblGrid>
      <w:tr w:rsidR="0087721B" w:rsidTr="00717CF2">
        <w:trPr>
          <w:cantSplit/>
        </w:trPr>
        <w:tc>
          <w:tcPr>
            <w:tcW w:w="3330" w:type="dxa"/>
            <w:gridSpan w:val="2"/>
            <w:tcBorders>
              <w:top w:val="single" w:sz="7" w:space="0" w:color="auto"/>
              <w:left w:val="single" w:sz="7" w:space="0" w:color="auto"/>
              <w:bottom w:val="nil"/>
              <w:right w:val="nil"/>
            </w:tcBorders>
            <w:vAlign w:val="bottom"/>
          </w:tcPr>
          <w:p w:rsidR="0087721B" w:rsidRDefault="0087721B">
            <w:pPr>
              <w:spacing w:before="100"/>
              <w:rPr>
                <w:rFonts w:ascii="Arial Narrow" w:hAnsi="Arial Narrow" w:cs="Arial"/>
                <w:sz w:val="20"/>
                <w:szCs w:val="24"/>
              </w:rPr>
            </w:pPr>
            <w:r>
              <w:rPr>
                <w:rFonts w:ascii="Arial Narrow" w:hAnsi="Arial Narrow"/>
                <w:b/>
                <w:bCs/>
                <w:sz w:val="20"/>
                <w:szCs w:val="24"/>
              </w:rPr>
              <w:t>NUMBER OF CHARACTERS:</w:t>
            </w:r>
          </w:p>
        </w:tc>
        <w:tc>
          <w:tcPr>
            <w:tcW w:w="6390" w:type="dxa"/>
            <w:tcBorders>
              <w:top w:val="single" w:sz="7" w:space="0" w:color="auto"/>
              <w:left w:val="single" w:sz="7" w:space="0" w:color="auto"/>
              <w:bottom w:val="nil"/>
              <w:right w:val="single" w:sz="7" w:space="0" w:color="auto"/>
            </w:tcBorders>
          </w:tcPr>
          <w:p w:rsidR="0087721B" w:rsidRPr="00137A53" w:rsidRDefault="0087721B">
            <w:pPr>
              <w:spacing w:before="100" w:after="50"/>
              <w:rPr>
                <w:rFonts w:cs="Arial"/>
                <w:sz w:val="20"/>
                <w:szCs w:val="24"/>
              </w:rPr>
            </w:pPr>
            <w:r w:rsidRPr="00137A53">
              <w:rPr>
                <w:rFonts w:cs="Arial"/>
                <w:sz w:val="20"/>
                <w:szCs w:val="24"/>
              </w:rPr>
              <w:t>One.</w:t>
            </w:r>
          </w:p>
        </w:tc>
      </w:tr>
      <w:tr w:rsidR="0087721B" w:rsidTr="00717CF2">
        <w:trPr>
          <w:cantSplit/>
        </w:trPr>
        <w:tc>
          <w:tcPr>
            <w:tcW w:w="3330" w:type="dxa"/>
            <w:gridSpan w:val="2"/>
            <w:tcBorders>
              <w:top w:val="single" w:sz="7" w:space="0" w:color="auto"/>
              <w:left w:val="single" w:sz="7" w:space="0" w:color="auto"/>
              <w:bottom w:val="nil"/>
              <w:right w:val="nil"/>
            </w:tcBorders>
            <w:vAlign w:val="bottom"/>
          </w:tcPr>
          <w:p w:rsidR="0087721B" w:rsidRDefault="0087721B">
            <w:pPr>
              <w:spacing w:before="100"/>
              <w:rPr>
                <w:rFonts w:ascii="Arial Narrow" w:hAnsi="Arial Narrow" w:cs="Arial"/>
                <w:sz w:val="20"/>
                <w:szCs w:val="24"/>
              </w:rPr>
            </w:pPr>
            <w:r>
              <w:rPr>
                <w:rFonts w:ascii="Arial Narrow" w:hAnsi="Arial Narrow"/>
                <w:b/>
                <w:bCs/>
                <w:sz w:val="20"/>
                <w:szCs w:val="24"/>
              </w:rPr>
              <w:t>TYPE OF CODE:</w:t>
            </w:r>
          </w:p>
        </w:tc>
        <w:tc>
          <w:tcPr>
            <w:tcW w:w="6390" w:type="dxa"/>
            <w:tcBorders>
              <w:top w:val="single" w:sz="7" w:space="0" w:color="auto"/>
              <w:left w:val="single" w:sz="7" w:space="0" w:color="auto"/>
              <w:bottom w:val="nil"/>
              <w:right w:val="single" w:sz="7" w:space="0" w:color="auto"/>
            </w:tcBorders>
          </w:tcPr>
          <w:p w:rsidR="0087721B" w:rsidRPr="00137A53" w:rsidRDefault="0087721B">
            <w:pPr>
              <w:spacing w:before="100" w:after="50"/>
              <w:rPr>
                <w:rFonts w:cs="Arial"/>
                <w:sz w:val="20"/>
                <w:szCs w:val="24"/>
              </w:rPr>
            </w:pPr>
            <w:r w:rsidRPr="00137A53">
              <w:rPr>
                <w:rFonts w:cs="Arial"/>
                <w:sz w:val="20"/>
                <w:szCs w:val="24"/>
              </w:rPr>
              <w:t>Alphanumeric.</w:t>
            </w:r>
          </w:p>
        </w:tc>
      </w:tr>
      <w:tr w:rsidR="0087721B" w:rsidTr="00717CF2">
        <w:trPr>
          <w:cantSplit/>
        </w:trPr>
        <w:tc>
          <w:tcPr>
            <w:tcW w:w="3330" w:type="dxa"/>
            <w:gridSpan w:val="2"/>
            <w:tcBorders>
              <w:top w:val="single" w:sz="7" w:space="0" w:color="auto"/>
              <w:left w:val="single" w:sz="7" w:space="0" w:color="auto"/>
              <w:bottom w:val="single" w:sz="7" w:space="0" w:color="auto"/>
              <w:right w:val="nil"/>
            </w:tcBorders>
            <w:vAlign w:val="bottom"/>
          </w:tcPr>
          <w:p w:rsidR="0087721B" w:rsidRDefault="0087721B">
            <w:pPr>
              <w:spacing w:before="100"/>
              <w:rPr>
                <w:rFonts w:ascii="Arial Narrow" w:hAnsi="Arial Narrow"/>
                <w:b/>
                <w:bCs/>
                <w:sz w:val="20"/>
                <w:szCs w:val="24"/>
              </w:rPr>
            </w:pPr>
            <w:r>
              <w:rPr>
                <w:rFonts w:ascii="Arial Narrow" w:hAnsi="Arial Narrow"/>
                <w:b/>
                <w:bCs/>
                <w:sz w:val="20"/>
                <w:szCs w:val="24"/>
              </w:rPr>
              <w:t>EXPLANATION:</w:t>
            </w:r>
          </w:p>
          <w:p w:rsidR="0087721B" w:rsidRDefault="0087721B">
            <w:pPr>
              <w:spacing w:after="50"/>
              <w:rPr>
                <w:rFonts w:ascii="Arial Narrow" w:hAnsi="Arial Narrow" w:cs="Arial"/>
                <w:sz w:val="20"/>
                <w:szCs w:val="24"/>
              </w:rPr>
            </w:pPr>
          </w:p>
        </w:tc>
        <w:tc>
          <w:tcPr>
            <w:tcW w:w="6390" w:type="dxa"/>
            <w:tcBorders>
              <w:top w:val="single" w:sz="7" w:space="0" w:color="auto"/>
              <w:left w:val="single" w:sz="7" w:space="0" w:color="auto"/>
              <w:bottom w:val="single" w:sz="7" w:space="0" w:color="auto"/>
              <w:right w:val="single" w:sz="7" w:space="0" w:color="auto"/>
            </w:tcBorders>
          </w:tcPr>
          <w:p w:rsidR="0087721B" w:rsidRPr="00137A53" w:rsidRDefault="0087721B">
            <w:pPr>
              <w:pStyle w:val="Footer"/>
              <w:tabs>
                <w:tab w:val="clear" w:pos="4320"/>
                <w:tab w:val="clear" w:pos="8640"/>
              </w:tabs>
              <w:spacing w:before="100" w:after="50"/>
              <w:rPr>
                <w:rFonts w:cs="Arial"/>
                <w:sz w:val="20"/>
                <w:szCs w:val="24"/>
              </w:rPr>
            </w:pPr>
            <w:r w:rsidRPr="00137A53">
              <w:rPr>
                <w:rFonts w:cs="Arial"/>
                <w:sz w:val="20"/>
                <w:szCs w:val="24"/>
              </w:rPr>
              <w:t>Designates the type of action being taken, e.g., transmitting status, shipping information, transmitting NOAs, or other documentation.</w:t>
            </w:r>
          </w:p>
        </w:tc>
      </w:tr>
      <w:tr w:rsidR="0087721B">
        <w:tblPrEx>
          <w:tblCellMar>
            <w:left w:w="124" w:type="dxa"/>
            <w:right w:w="124" w:type="dxa"/>
          </w:tblCellMar>
        </w:tblPrEx>
        <w:trPr>
          <w:cantSplit/>
          <w:tblHeader/>
        </w:trPr>
        <w:tc>
          <w:tcPr>
            <w:tcW w:w="2430" w:type="dxa"/>
            <w:tcBorders>
              <w:top w:val="single" w:sz="7" w:space="0" w:color="auto"/>
              <w:left w:val="single" w:sz="7" w:space="0" w:color="auto"/>
              <w:bottom w:val="nil"/>
              <w:right w:val="nil"/>
            </w:tcBorders>
            <w:vAlign w:val="bottom"/>
          </w:tcPr>
          <w:p w:rsidR="0087721B" w:rsidRDefault="0087721B">
            <w:pPr>
              <w:spacing w:before="100" w:after="56"/>
              <w:jc w:val="center"/>
              <w:rPr>
                <w:rFonts w:ascii="Arial Narrow" w:hAnsi="Arial Narrow" w:cs="Arial"/>
                <w:sz w:val="20"/>
                <w:szCs w:val="24"/>
              </w:rPr>
            </w:pPr>
            <w:r>
              <w:rPr>
                <w:rFonts w:ascii="Arial Narrow" w:hAnsi="Arial Narrow"/>
                <w:b/>
                <w:bCs/>
                <w:sz w:val="20"/>
                <w:szCs w:val="24"/>
              </w:rPr>
              <w:t>TAC</w:t>
            </w:r>
          </w:p>
        </w:tc>
        <w:tc>
          <w:tcPr>
            <w:tcW w:w="7290" w:type="dxa"/>
            <w:gridSpan w:val="2"/>
            <w:tcBorders>
              <w:top w:val="single" w:sz="7" w:space="0" w:color="auto"/>
              <w:left w:val="single" w:sz="7" w:space="0" w:color="auto"/>
              <w:bottom w:val="nil"/>
              <w:right w:val="single" w:sz="7" w:space="0" w:color="auto"/>
            </w:tcBorders>
            <w:vAlign w:val="bottom"/>
          </w:tcPr>
          <w:p w:rsidR="0087721B" w:rsidRDefault="0087721B">
            <w:pPr>
              <w:spacing w:before="100" w:after="56"/>
              <w:jc w:val="center"/>
              <w:rPr>
                <w:rFonts w:ascii="Arial Narrow" w:hAnsi="Arial Narrow" w:cs="Arial"/>
                <w:sz w:val="20"/>
                <w:szCs w:val="24"/>
              </w:rPr>
            </w:pPr>
            <w:r>
              <w:rPr>
                <w:rFonts w:ascii="Arial Narrow" w:hAnsi="Arial Narrow"/>
                <w:b/>
                <w:bCs/>
                <w:sz w:val="20"/>
                <w:szCs w:val="24"/>
              </w:rPr>
              <w:t>Explanation</w:t>
            </w:r>
          </w:p>
        </w:tc>
      </w:tr>
      <w:tr w:rsidR="0087721B">
        <w:tblPrEx>
          <w:tblCellMar>
            <w:left w:w="124" w:type="dxa"/>
            <w:right w:w="124" w:type="dxa"/>
          </w:tblCellMar>
        </w:tblPrEx>
        <w:trPr>
          <w:cantSplit/>
        </w:trPr>
        <w:tc>
          <w:tcPr>
            <w:tcW w:w="2430" w:type="dxa"/>
            <w:tcBorders>
              <w:top w:val="single" w:sz="7" w:space="0" w:color="auto"/>
              <w:left w:val="single" w:sz="7" w:space="0" w:color="auto"/>
              <w:bottom w:val="nil"/>
              <w:right w:val="nil"/>
            </w:tcBorders>
          </w:tcPr>
          <w:p w:rsidR="0087721B" w:rsidRDefault="0087721B">
            <w:pPr>
              <w:spacing w:before="100" w:after="56"/>
              <w:jc w:val="center"/>
              <w:rPr>
                <w:rFonts w:ascii="Arial Narrow" w:hAnsi="Arial Narrow" w:cs="Arial"/>
                <w:sz w:val="20"/>
                <w:szCs w:val="24"/>
              </w:rPr>
            </w:pPr>
            <w:r>
              <w:rPr>
                <w:rFonts w:ascii="Arial Narrow" w:hAnsi="Arial Narrow"/>
                <w:sz w:val="20"/>
                <w:szCs w:val="24"/>
              </w:rPr>
              <w:t>A</w:t>
            </w:r>
          </w:p>
        </w:tc>
        <w:tc>
          <w:tcPr>
            <w:tcW w:w="7290" w:type="dxa"/>
            <w:gridSpan w:val="2"/>
            <w:tcBorders>
              <w:top w:val="single" w:sz="7" w:space="0" w:color="auto"/>
              <w:left w:val="single" w:sz="7" w:space="0" w:color="auto"/>
              <w:bottom w:val="nil"/>
              <w:right w:val="single" w:sz="7" w:space="0" w:color="auto"/>
            </w:tcBorders>
            <w:vAlign w:val="bottom"/>
          </w:tcPr>
          <w:p w:rsidR="0087721B" w:rsidRPr="00137A53" w:rsidRDefault="0087721B">
            <w:pPr>
              <w:spacing w:after="60"/>
              <w:rPr>
                <w:rFonts w:cs="Arial"/>
                <w:sz w:val="20"/>
                <w:szCs w:val="24"/>
              </w:rPr>
            </w:pPr>
            <w:r w:rsidRPr="00137A53">
              <w:rPr>
                <w:rFonts w:cs="Arial"/>
                <w:sz w:val="20"/>
                <w:szCs w:val="24"/>
              </w:rPr>
              <w:t>This address, on approval by the proper authority, will receive classified small parcel shipments.  The documentation (except NOA) for classified small parcel shipments will be sent to the same address as the shipment unless specific instructions are provided by the Services/Agencies.  (Note:  All TAC A addresses listed in this directory are cleared to receive/process shipments classified through SECRET.)</w:t>
            </w:r>
          </w:p>
        </w:tc>
      </w:tr>
      <w:tr w:rsidR="0087721B">
        <w:tblPrEx>
          <w:tblCellMar>
            <w:left w:w="124" w:type="dxa"/>
            <w:right w:w="124" w:type="dxa"/>
          </w:tblCellMar>
        </w:tblPrEx>
        <w:trPr>
          <w:cantSplit/>
        </w:trPr>
        <w:tc>
          <w:tcPr>
            <w:tcW w:w="2430" w:type="dxa"/>
            <w:tcBorders>
              <w:top w:val="single" w:sz="7" w:space="0" w:color="auto"/>
              <w:left w:val="single" w:sz="7" w:space="0" w:color="auto"/>
              <w:bottom w:val="single" w:sz="8" w:space="0" w:color="auto"/>
              <w:right w:val="nil"/>
            </w:tcBorders>
          </w:tcPr>
          <w:p w:rsidR="0087721B" w:rsidRDefault="0087721B">
            <w:pPr>
              <w:spacing w:before="100" w:after="56"/>
              <w:jc w:val="center"/>
              <w:rPr>
                <w:rFonts w:ascii="Arial Narrow" w:hAnsi="Arial Narrow" w:cs="Arial"/>
                <w:sz w:val="20"/>
                <w:szCs w:val="24"/>
              </w:rPr>
            </w:pPr>
            <w:r>
              <w:rPr>
                <w:rFonts w:ascii="Arial Narrow" w:hAnsi="Arial Narrow"/>
                <w:sz w:val="20"/>
                <w:szCs w:val="24"/>
              </w:rPr>
              <w:t>B</w:t>
            </w:r>
          </w:p>
        </w:tc>
        <w:tc>
          <w:tcPr>
            <w:tcW w:w="7290" w:type="dxa"/>
            <w:gridSpan w:val="2"/>
            <w:tcBorders>
              <w:top w:val="single" w:sz="7" w:space="0" w:color="auto"/>
              <w:left w:val="single" w:sz="7" w:space="0" w:color="auto"/>
              <w:bottom w:val="single" w:sz="8" w:space="0" w:color="auto"/>
              <w:right w:val="single" w:sz="7" w:space="0" w:color="auto"/>
            </w:tcBorders>
            <w:vAlign w:val="bottom"/>
          </w:tcPr>
          <w:p w:rsidR="0087721B" w:rsidRPr="00137A53" w:rsidRDefault="0087721B">
            <w:pPr>
              <w:spacing w:after="60"/>
              <w:rPr>
                <w:rFonts w:cs="Arial"/>
                <w:sz w:val="20"/>
                <w:szCs w:val="24"/>
              </w:rPr>
            </w:pPr>
            <w:r w:rsidRPr="00137A53">
              <w:rPr>
                <w:rFonts w:cs="Arial"/>
                <w:sz w:val="20"/>
                <w:szCs w:val="24"/>
              </w:rPr>
              <w:t>This address, on approval by the proper authority, will be used when surface or air freight is selected as the mode of transportation for shipment of classified materiel.  The commercial (collect) bill of lading (CCBL)/Government bill of lading (GBL) for a classified freight shipment will be sent to the same address as the shipment unless other specific instructions are provided by the Services/Agencies.  (Note: TAC B addresses listed in this directory are cleared to receive/process shipments classified through SECRET.)</w:t>
            </w:r>
          </w:p>
        </w:tc>
      </w:tr>
      <w:tr w:rsidR="0087721B">
        <w:tblPrEx>
          <w:tblCellMar>
            <w:left w:w="124" w:type="dxa"/>
            <w:right w:w="124" w:type="dxa"/>
          </w:tblCellMar>
        </w:tblPrEx>
        <w:trPr>
          <w:cantSplit/>
        </w:trPr>
        <w:tc>
          <w:tcPr>
            <w:tcW w:w="2430" w:type="dxa"/>
            <w:tcBorders>
              <w:top w:val="single" w:sz="8" w:space="0" w:color="auto"/>
              <w:left w:val="single" w:sz="8" w:space="0" w:color="auto"/>
              <w:bottom w:val="single" w:sz="4" w:space="0" w:color="auto"/>
              <w:right w:val="single" w:sz="8" w:space="0" w:color="auto"/>
            </w:tcBorders>
          </w:tcPr>
          <w:p w:rsidR="0087721B" w:rsidRDefault="0087721B">
            <w:pPr>
              <w:spacing w:before="100" w:after="56"/>
              <w:jc w:val="center"/>
              <w:rPr>
                <w:rFonts w:ascii="Arial Narrow" w:hAnsi="Arial Narrow" w:cs="Arial"/>
                <w:sz w:val="20"/>
                <w:szCs w:val="24"/>
              </w:rPr>
            </w:pPr>
            <w:r>
              <w:rPr>
                <w:rFonts w:ascii="Arial Narrow" w:hAnsi="Arial Narrow"/>
                <w:sz w:val="20"/>
                <w:szCs w:val="24"/>
              </w:rPr>
              <w:t>C</w:t>
            </w:r>
          </w:p>
        </w:tc>
        <w:tc>
          <w:tcPr>
            <w:tcW w:w="7290" w:type="dxa"/>
            <w:gridSpan w:val="2"/>
            <w:tcBorders>
              <w:top w:val="single" w:sz="8" w:space="0" w:color="auto"/>
              <w:left w:val="single" w:sz="8" w:space="0" w:color="auto"/>
              <w:bottom w:val="single" w:sz="4" w:space="0" w:color="auto"/>
              <w:right w:val="single" w:sz="8" w:space="0" w:color="auto"/>
            </w:tcBorders>
            <w:vAlign w:val="bottom"/>
          </w:tcPr>
          <w:p w:rsidR="0087721B" w:rsidRPr="00137A53" w:rsidRDefault="0087721B">
            <w:pPr>
              <w:spacing w:before="60"/>
              <w:rPr>
                <w:rFonts w:cs="Arial"/>
                <w:sz w:val="20"/>
                <w:szCs w:val="24"/>
              </w:rPr>
            </w:pPr>
            <w:r w:rsidRPr="00137A53">
              <w:rPr>
                <w:rFonts w:cs="Arial"/>
                <w:sz w:val="20"/>
                <w:szCs w:val="24"/>
              </w:rPr>
              <w:t>This address, on approval by the proper authority, will receive classified small parcel shipments.  The documentation (except NOA) for classified small parcel shipments will be sent to the same address as the shipment unless specific instructions are provided by the Services/Agencies.  (Note:  All TAC C addresses listed in this directory are cleared to receive/process classified through CONFIDENTIAL.)</w:t>
            </w:r>
          </w:p>
        </w:tc>
      </w:tr>
      <w:tr w:rsidR="0087721B">
        <w:tblPrEx>
          <w:tblCellMar>
            <w:left w:w="124" w:type="dxa"/>
            <w:right w:w="124" w:type="dxa"/>
          </w:tblCellMar>
        </w:tblPrEx>
        <w:trPr>
          <w:cantSplit/>
        </w:trPr>
        <w:tc>
          <w:tcPr>
            <w:tcW w:w="2430" w:type="dxa"/>
            <w:tcBorders>
              <w:top w:val="single" w:sz="4" w:space="0" w:color="auto"/>
              <w:left w:val="single" w:sz="7" w:space="0" w:color="auto"/>
              <w:bottom w:val="nil"/>
              <w:right w:val="nil"/>
            </w:tcBorders>
          </w:tcPr>
          <w:p w:rsidR="0087721B" w:rsidRDefault="0087721B">
            <w:pPr>
              <w:spacing w:before="100" w:after="56"/>
              <w:jc w:val="center"/>
              <w:rPr>
                <w:rFonts w:ascii="Arial Narrow" w:hAnsi="Arial Narrow" w:cs="Arial"/>
                <w:sz w:val="20"/>
                <w:szCs w:val="24"/>
              </w:rPr>
            </w:pPr>
            <w:r>
              <w:rPr>
                <w:rFonts w:ascii="Arial Narrow" w:hAnsi="Arial Narrow"/>
                <w:sz w:val="20"/>
                <w:szCs w:val="24"/>
              </w:rPr>
              <w:t>D</w:t>
            </w:r>
          </w:p>
        </w:tc>
        <w:tc>
          <w:tcPr>
            <w:tcW w:w="7290" w:type="dxa"/>
            <w:gridSpan w:val="2"/>
            <w:tcBorders>
              <w:top w:val="single" w:sz="4" w:space="0" w:color="auto"/>
              <w:left w:val="single" w:sz="7" w:space="0" w:color="auto"/>
              <w:bottom w:val="nil"/>
              <w:right w:val="single" w:sz="7" w:space="0" w:color="auto"/>
            </w:tcBorders>
            <w:vAlign w:val="bottom"/>
          </w:tcPr>
          <w:p w:rsidR="0087721B" w:rsidRPr="00137A53" w:rsidRDefault="0087721B">
            <w:pPr>
              <w:spacing w:after="60"/>
              <w:rPr>
                <w:rFonts w:cs="Arial"/>
                <w:sz w:val="20"/>
                <w:szCs w:val="24"/>
              </w:rPr>
            </w:pPr>
            <w:r w:rsidRPr="00137A53">
              <w:rPr>
                <w:rFonts w:cs="Arial"/>
                <w:sz w:val="20"/>
                <w:szCs w:val="24"/>
              </w:rPr>
              <w:t xml:space="preserve">This address, on approval by the proper authority, will be used when surface or air freight is selected as the mode of transportation for shipment of classified materiel.  The commercial bill of lading (CBL)/Government bill of lading (GBL) for a classified freight shipment will be sent to the address as the shipment unless other specific instructions are provided by the Services/Agencies.  (Note:  All TAC D addresses listed in this directory are cleared to receive/process shipments classified through CONFIDENTIAL.) </w:t>
            </w:r>
          </w:p>
        </w:tc>
      </w:tr>
      <w:tr w:rsidR="0087721B">
        <w:tblPrEx>
          <w:tblCellMar>
            <w:left w:w="124" w:type="dxa"/>
            <w:right w:w="124" w:type="dxa"/>
          </w:tblCellMar>
        </w:tblPrEx>
        <w:trPr>
          <w:cantSplit/>
        </w:trPr>
        <w:tc>
          <w:tcPr>
            <w:tcW w:w="2430" w:type="dxa"/>
            <w:tcBorders>
              <w:top w:val="single" w:sz="7" w:space="0" w:color="auto"/>
              <w:left w:val="single" w:sz="7" w:space="0" w:color="auto"/>
              <w:bottom w:val="nil"/>
              <w:right w:val="nil"/>
            </w:tcBorders>
          </w:tcPr>
          <w:p w:rsidR="0087721B" w:rsidRDefault="0087721B">
            <w:pPr>
              <w:spacing w:before="100" w:after="56"/>
              <w:jc w:val="center"/>
              <w:rPr>
                <w:rFonts w:ascii="Arial Narrow" w:hAnsi="Arial Narrow" w:cs="Arial"/>
                <w:sz w:val="20"/>
                <w:szCs w:val="24"/>
              </w:rPr>
            </w:pPr>
            <w:r>
              <w:rPr>
                <w:rFonts w:ascii="Arial Narrow" w:hAnsi="Arial Narrow"/>
                <w:sz w:val="20"/>
                <w:szCs w:val="24"/>
              </w:rPr>
              <w:t>E-L</w:t>
            </w:r>
          </w:p>
        </w:tc>
        <w:tc>
          <w:tcPr>
            <w:tcW w:w="7290" w:type="dxa"/>
            <w:gridSpan w:val="2"/>
            <w:tcBorders>
              <w:top w:val="single" w:sz="7" w:space="0" w:color="auto"/>
              <w:left w:val="single" w:sz="7" w:space="0" w:color="auto"/>
              <w:bottom w:val="nil"/>
              <w:right w:val="single" w:sz="7" w:space="0" w:color="auto"/>
            </w:tcBorders>
            <w:vAlign w:val="bottom"/>
          </w:tcPr>
          <w:p w:rsidR="0087721B" w:rsidRPr="00137A53" w:rsidRDefault="0087721B">
            <w:pPr>
              <w:pStyle w:val="FootnoteText"/>
              <w:spacing w:before="60" w:after="60"/>
              <w:rPr>
                <w:rFonts w:cs="Arial"/>
                <w:szCs w:val="24"/>
              </w:rPr>
            </w:pPr>
            <w:r w:rsidRPr="00137A53">
              <w:rPr>
                <w:rFonts w:cs="Arial"/>
                <w:szCs w:val="24"/>
              </w:rPr>
              <w:t>Reserved.</w:t>
            </w:r>
          </w:p>
        </w:tc>
      </w:tr>
      <w:tr w:rsidR="0087721B">
        <w:tblPrEx>
          <w:tblCellMar>
            <w:left w:w="124" w:type="dxa"/>
            <w:right w:w="124" w:type="dxa"/>
          </w:tblCellMar>
        </w:tblPrEx>
        <w:trPr>
          <w:cantSplit/>
        </w:trPr>
        <w:tc>
          <w:tcPr>
            <w:tcW w:w="2430" w:type="dxa"/>
            <w:tcBorders>
              <w:top w:val="single" w:sz="7" w:space="0" w:color="auto"/>
              <w:left w:val="single" w:sz="7" w:space="0" w:color="auto"/>
              <w:bottom w:val="single" w:sz="8" w:space="0" w:color="auto"/>
              <w:right w:val="nil"/>
            </w:tcBorders>
          </w:tcPr>
          <w:p w:rsidR="0087721B" w:rsidRDefault="0087721B">
            <w:pPr>
              <w:spacing w:before="100" w:after="56"/>
              <w:jc w:val="center"/>
              <w:rPr>
                <w:rFonts w:ascii="Arial Narrow" w:hAnsi="Arial Narrow" w:cs="Arial"/>
                <w:sz w:val="20"/>
                <w:szCs w:val="24"/>
              </w:rPr>
            </w:pPr>
            <w:r>
              <w:rPr>
                <w:rFonts w:ascii="Arial Narrow" w:hAnsi="Arial Narrow"/>
                <w:sz w:val="20"/>
                <w:szCs w:val="24"/>
              </w:rPr>
              <w:t>M</w:t>
            </w:r>
          </w:p>
        </w:tc>
        <w:tc>
          <w:tcPr>
            <w:tcW w:w="7290" w:type="dxa"/>
            <w:gridSpan w:val="2"/>
            <w:tcBorders>
              <w:top w:val="single" w:sz="7" w:space="0" w:color="auto"/>
              <w:left w:val="single" w:sz="7" w:space="0" w:color="auto"/>
              <w:bottom w:val="single" w:sz="8" w:space="0" w:color="auto"/>
              <w:right w:val="single" w:sz="7" w:space="0" w:color="auto"/>
            </w:tcBorders>
            <w:vAlign w:val="bottom"/>
          </w:tcPr>
          <w:p w:rsidR="0087721B" w:rsidRPr="00137A53" w:rsidRDefault="0087721B">
            <w:pPr>
              <w:spacing w:after="60"/>
              <w:rPr>
                <w:rFonts w:cs="Arial"/>
                <w:sz w:val="20"/>
                <w:szCs w:val="24"/>
              </w:rPr>
            </w:pPr>
            <w:r w:rsidRPr="00137A53">
              <w:rPr>
                <w:rFonts w:cs="Arial"/>
                <w:sz w:val="20"/>
                <w:szCs w:val="24"/>
              </w:rPr>
              <w:t>This address will be used as a mark-for on freight shipments.  Mark-for addresses will be placed on small parcel labels in such a manner as to prevent small package carrier problems in identifying ZIP and APO/FPO codes.  The fourth position of the MAPAC will contain an alphanumeric code to designate an in-country destination.  This code will be the same as the code in RP 33 for the MILSTRIP requisition.</w:t>
            </w:r>
          </w:p>
        </w:tc>
      </w:tr>
      <w:tr w:rsidR="0087721B">
        <w:tblPrEx>
          <w:tblCellMar>
            <w:left w:w="124" w:type="dxa"/>
            <w:right w:w="124" w:type="dxa"/>
          </w:tblCellMar>
        </w:tblPrEx>
        <w:trPr>
          <w:cantSplit/>
        </w:trPr>
        <w:tc>
          <w:tcPr>
            <w:tcW w:w="2430" w:type="dxa"/>
            <w:tcBorders>
              <w:top w:val="single" w:sz="8" w:space="0" w:color="auto"/>
              <w:left w:val="single" w:sz="8" w:space="0" w:color="auto"/>
              <w:bottom w:val="single" w:sz="4" w:space="0" w:color="auto"/>
              <w:right w:val="single" w:sz="8" w:space="0" w:color="auto"/>
            </w:tcBorders>
          </w:tcPr>
          <w:p w:rsidR="0087721B" w:rsidRDefault="0087721B">
            <w:pPr>
              <w:spacing w:before="100" w:after="56"/>
              <w:jc w:val="center"/>
              <w:rPr>
                <w:rFonts w:ascii="Arial Narrow" w:hAnsi="Arial Narrow" w:cs="Arial"/>
                <w:sz w:val="20"/>
                <w:szCs w:val="24"/>
              </w:rPr>
            </w:pPr>
            <w:r>
              <w:rPr>
                <w:rFonts w:ascii="Arial Narrow" w:hAnsi="Arial Narrow"/>
                <w:sz w:val="20"/>
                <w:szCs w:val="24"/>
              </w:rPr>
              <w:t>N-Z</w:t>
            </w:r>
          </w:p>
        </w:tc>
        <w:tc>
          <w:tcPr>
            <w:tcW w:w="7290" w:type="dxa"/>
            <w:gridSpan w:val="2"/>
            <w:tcBorders>
              <w:top w:val="single" w:sz="8" w:space="0" w:color="auto"/>
              <w:left w:val="single" w:sz="8" w:space="0" w:color="auto"/>
              <w:bottom w:val="single" w:sz="4" w:space="0" w:color="auto"/>
              <w:right w:val="single" w:sz="8" w:space="0" w:color="auto"/>
            </w:tcBorders>
            <w:vAlign w:val="bottom"/>
          </w:tcPr>
          <w:p w:rsidR="0087721B" w:rsidRPr="00137A53" w:rsidRDefault="0087721B">
            <w:pPr>
              <w:pStyle w:val="FootnoteText"/>
              <w:spacing w:before="60" w:after="60"/>
              <w:rPr>
                <w:rFonts w:cs="Arial"/>
                <w:szCs w:val="24"/>
              </w:rPr>
            </w:pPr>
            <w:r w:rsidRPr="00137A53">
              <w:rPr>
                <w:rFonts w:cs="Arial"/>
                <w:szCs w:val="24"/>
              </w:rPr>
              <w:t>Reserved.</w:t>
            </w:r>
          </w:p>
        </w:tc>
      </w:tr>
      <w:tr w:rsidR="0087721B">
        <w:tblPrEx>
          <w:tblCellMar>
            <w:left w:w="124" w:type="dxa"/>
            <w:right w:w="124" w:type="dxa"/>
          </w:tblCellMar>
        </w:tblPrEx>
        <w:trPr>
          <w:cantSplit/>
        </w:trPr>
        <w:tc>
          <w:tcPr>
            <w:tcW w:w="2430" w:type="dxa"/>
            <w:tcBorders>
              <w:top w:val="single" w:sz="4" w:space="0" w:color="auto"/>
              <w:left w:val="single" w:sz="7" w:space="0" w:color="auto"/>
              <w:bottom w:val="single" w:sz="8" w:space="0" w:color="auto"/>
              <w:right w:val="nil"/>
            </w:tcBorders>
          </w:tcPr>
          <w:p w:rsidR="0087721B" w:rsidRDefault="0087721B">
            <w:pPr>
              <w:spacing w:before="100" w:after="56"/>
              <w:jc w:val="center"/>
              <w:rPr>
                <w:rFonts w:ascii="Arial Narrow" w:hAnsi="Arial Narrow" w:cs="Arial"/>
                <w:sz w:val="20"/>
                <w:szCs w:val="24"/>
              </w:rPr>
            </w:pPr>
            <w:r>
              <w:rPr>
                <w:rFonts w:ascii="Arial Narrow" w:hAnsi="Arial Narrow"/>
                <w:sz w:val="20"/>
                <w:szCs w:val="24"/>
              </w:rPr>
              <w:lastRenderedPageBreak/>
              <w:t>1</w:t>
            </w:r>
          </w:p>
        </w:tc>
        <w:tc>
          <w:tcPr>
            <w:tcW w:w="7290" w:type="dxa"/>
            <w:gridSpan w:val="2"/>
            <w:tcBorders>
              <w:top w:val="single" w:sz="4" w:space="0" w:color="auto"/>
              <w:left w:val="single" w:sz="7" w:space="0" w:color="auto"/>
              <w:bottom w:val="single" w:sz="8" w:space="0" w:color="auto"/>
              <w:right w:val="single" w:sz="7" w:space="0" w:color="auto"/>
            </w:tcBorders>
            <w:vAlign w:val="bottom"/>
          </w:tcPr>
          <w:p w:rsidR="0087721B" w:rsidRPr="00137A53" w:rsidRDefault="0087721B" w:rsidP="00C076A9">
            <w:pPr>
              <w:spacing w:after="60"/>
              <w:rPr>
                <w:rFonts w:cs="Arial"/>
                <w:sz w:val="20"/>
              </w:rPr>
            </w:pPr>
            <w:r w:rsidRPr="00137A53">
              <w:rPr>
                <w:rFonts w:cs="Arial"/>
                <w:sz w:val="20"/>
              </w:rPr>
              <w:t xml:space="preserve">This address will receive unclassified shipments moving by small parcel carrier or shipped by carrier that can provide evidence of shipment or proof of delivery in compliance with MILSTAMP, </w:t>
            </w:r>
            <w:r w:rsidR="00C076A9" w:rsidRPr="009C7DE3">
              <w:rPr>
                <w:rFonts w:cs="Arial"/>
                <w:sz w:val="20"/>
              </w:rPr>
              <w:t>DTR 4500.9-M</w:t>
            </w:r>
            <w:r w:rsidR="00C076A9" w:rsidRPr="00137A53">
              <w:rPr>
                <w:rFonts w:cs="Arial"/>
                <w:sz w:val="20"/>
              </w:rPr>
              <w:t xml:space="preserve">, </w:t>
            </w:r>
            <w:r w:rsidR="00C076A9" w:rsidRPr="00137A53">
              <w:rPr>
                <w:rFonts w:cs="Arial"/>
                <w:color w:val="000000"/>
                <w:sz w:val="20"/>
              </w:rPr>
              <w:t>Defense Transportation Regulation Part III chapter 203 item B</w:t>
            </w:r>
            <w:r w:rsidRPr="00137A53">
              <w:rPr>
                <w:rFonts w:cs="Arial"/>
                <w:sz w:val="20"/>
              </w:rPr>
              <w:t>.  Packages moving through the State Department pouch room will not exceed 40 pounds, 26 inches length, or 62 inches length plus girth.  For additional guidance on use of diplomatic pouch mail see chapter 1, paragraph 1.h.  TAC 5 is the same address as TAC 1 unless published differently.</w:t>
            </w:r>
          </w:p>
        </w:tc>
      </w:tr>
      <w:tr w:rsidR="0087721B">
        <w:tblPrEx>
          <w:tblCellMar>
            <w:left w:w="124" w:type="dxa"/>
            <w:right w:w="124" w:type="dxa"/>
          </w:tblCellMar>
        </w:tblPrEx>
        <w:trPr>
          <w:cantSplit/>
        </w:trPr>
        <w:tc>
          <w:tcPr>
            <w:tcW w:w="2430" w:type="dxa"/>
            <w:tcBorders>
              <w:top w:val="single" w:sz="8" w:space="0" w:color="auto"/>
              <w:left w:val="single" w:sz="8" w:space="0" w:color="auto"/>
              <w:bottom w:val="single" w:sz="4" w:space="0" w:color="auto"/>
              <w:right w:val="single" w:sz="8" w:space="0" w:color="auto"/>
            </w:tcBorders>
          </w:tcPr>
          <w:p w:rsidR="0087721B" w:rsidRDefault="0087721B">
            <w:pPr>
              <w:spacing w:before="100" w:after="56"/>
              <w:jc w:val="center"/>
              <w:rPr>
                <w:rFonts w:ascii="Arial Narrow" w:hAnsi="Arial Narrow" w:cs="Arial"/>
                <w:sz w:val="20"/>
                <w:szCs w:val="24"/>
              </w:rPr>
            </w:pPr>
            <w:r>
              <w:rPr>
                <w:rFonts w:ascii="Arial Narrow" w:hAnsi="Arial Narrow"/>
                <w:sz w:val="20"/>
                <w:szCs w:val="24"/>
              </w:rPr>
              <w:t>2</w:t>
            </w:r>
          </w:p>
        </w:tc>
        <w:tc>
          <w:tcPr>
            <w:tcW w:w="7290" w:type="dxa"/>
            <w:gridSpan w:val="2"/>
            <w:tcBorders>
              <w:top w:val="single" w:sz="8" w:space="0" w:color="auto"/>
              <w:left w:val="single" w:sz="8" w:space="0" w:color="auto"/>
              <w:bottom w:val="single" w:sz="4" w:space="0" w:color="auto"/>
              <w:right w:val="single" w:sz="8" w:space="0" w:color="auto"/>
            </w:tcBorders>
            <w:vAlign w:val="bottom"/>
          </w:tcPr>
          <w:p w:rsidR="0087721B" w:rsidRPr="00137A53" w:rsidRDefault="00FA47BF">
            <w:pPr>
              <w:spacing w:after="60"/>
              <w:rPr>
                <w:rFonts w:cs="Arial"/>
                <w:sz w:val="20"/>
              </w:rPr>
            </w:pPr>
            <w:r w:rsidRPr="00137A53">
              <w:rPr>
                <w:rFonts w:cs="Arial"/>
                <w:color w:val="000000"/>
                <w:sz w:val="20"/>
              </w:rPr>
              <w:t xml:space="preserve">This address shall be used when surface or air freight is selected as the mode of transportation for shipment of unclassified materiel. Note that more than one TAC 2 address may be reflected for the same freight forwarder MAPAC.  In this case, the MAPAD shall contain Special Instruction Indicator Code A which directs forwarding of the materiel/documentation to the address closest to the shipping activity.  The clear text address field may contain the overseas address of the civil airport to be used for commercial air shipments if commercial air is authorized.  TAC 6 is the same as TAC 2 unless published differently.  </w:t>
            </w:r>
          </w:p>
        </w:tc>
      </w:tr>
      <w:tr w:rsidR="0087721B">
        <w:tblPrEx>
          <w:tblCellMar>
            <w:left w:w="124" w:type="dxa"/>
            <w:right w:w="124" w:type="dxa"/>
          </w:tblCellMar>
        </w:tblPrEx>
        <w:trPr>
          <w:cantSplit/>
        </w:trPr>
        <w:tc>
          <w:tcPr>
            <w:tcW w:w="2430" w:type="dxa"/>
            <w:tcBorders>
              <w:top w:val="single" w:sz="4" w:space="0" w:color="auto"/>
              <w:left w:val="single" w:sz="7" w:space="0" w:color="auto"/>
              <w:bottom w:val="single" w:sz="8" w:space="0" w:color="auto"/>
              <w:right w:val="nil"/>
            </w:tcBorders>
          </w:tcPr>
          <w:p w:rsidR="0087721B" w:rsidRDefault="0087721B">
            <w:pPr>
              <w:spacing w:before="100" w:after="56"/>
              <w:jc w:val="center"/>
              <w:rPr>
                <w:rFonts w:ascii="Arial Narrow" w:hAnsi="Arial Narrow" w:cs="Arial"/>
                <w:sz w:val="20"/>
                <w:szCs w:val="24"/>
              </w:rPr>
            </w:pPr>
            <w:r>
              <w:rPr>
                <w:rFonts w:ascii="Arial Narrow" w:hAnsi="Arial Narrow"/>
                <w:sz w:val="20"/>
                <w:szCs w:val="24"/>
              </w:rPr>
              <w:t>3</w:t>
            </w:r>
          </w:p>
        </w:tc>
        <w:tc>
          <w:tcPr>
            <w:tcW w:w="7290" w:type="dxa"/>
            <w:gridSpan w:val="2"/>
            <w:tcBorders>
              <w:top w:val="single" w:sz="4" w:space="0" w:color="auto"/>
              <w:left w:val="single" w:sz="7" w:space="0" w:color="auto"/>
              <w:bottom w:val="single" w:sz="8" w:space="0" w:color="auto"/>
              <w:right w:val="single" w:sz="7" w:space="0" w:color="auto"/>
            </w:tcBorders>
            <w:vAlign w:val="bottom"/>
          </w:tcPr>
          <w:p w:rsidR="00FA47BF" w:rsidRPr="00137A53" w:rsidRDefault="00FA47BF" w:rsidP="00FA47BF">
            <w:pPr>
              <w:spacing w:before="60" w:after="60"/>
              <w:rPr>
                <w:rFonts w:cs="Arial"/>
                <w:color w:val="000000"/>
                <w:sz w:val="20"/>
              </w:rPr>
            </w:pPr>
            <w:r w:rsidRPr="00137A53">
              <w:rPr>
                <w:rFonts w:cs="Arial"/>
                <w:sz w:val="20"/>
              </w:rPr>
              <w:t xml:space="preserve">For sending a Notice of Availability (NOA), if required.  </w:t>
            </w:r>
            <w:r w:rsidRPr="00137A53">
              <w:rPr>
                <w:rFonts w:cs="Arial"/>
                <w:color w:val="000000"/>
                <w:sz w:val="20"/>
              </w:rPr>
              <w:t>This address shall be used when the Option Code (Y or Z in record position 46 of the requisition) requires a NOA prior to shipment.  For Option Code Z, follow ups on the NOA shall also be sent to this address. Option Code A shipments which are of weight or dimensions which could cause receiving/storage problems, or perishable, hazardous, classified, or require special handling shall be handled as Option Code Z because of the peculiar handling/controlled nature required by the type of materiel being shipped.</w:t>
            </w:r>
          </w:p>
          <w:p w:rsidR="00FA47BF" w:rsidRPr="00137A53" w:rsidRDefault="00FA47BF" w:rsidP="00FA47BF">
            <w:pPr>
              <w:spacing w:before="60" w:after="60"/>
              <w:rPr>
                <w:rFonts w:cs="Arial"/>
                <w:color w:val="000000"/>
                <w:sz w:val="20"/>
              </w:rPr>
            </w:pPr>
            <w:r w:rsidRPr="00137A53">
              <w:rPr>
                <w:rFonts w:cs="Arial"/>
                <w:color w:val="000000"/>
                <w:sz w:val="20"/>
              </w:rPr>
              <w:t>For a classified shipment, send the NOA to the receiving country service representative. In response to the NOA, the country representative must specify, by name, the person shall receive and sign for the shipment at the TAC A, B, C, or D address.  Should there be no reply to the NOA, the service security assistance office shall be advised of the problem for Army and Air Force sponsored shipments; the Navy freight forwarder assistance office shall be advised for Navy and Marine Corps sponsored shipments.</w:t>
            </w:r>
          </w:p>
          <w:p w:rsidR="0087721B" w:rsidRPr="00137A53" w:rsidRDefault="00FA47BF" w:rsidP="00FA47BF">
            <w:pPr>
              <w:spacing w:after="60"/>
              <w:rPr>
                <w:rFonts w:cs="Arial"/>
                <w:sz w:val="20"/>
                <w:szCs w:val="24"/>
              </w:rPr>
            </w:pPr>
            <w:r w:rsidRPr="00137A53">
              <w:rPr>
                <w:rFonts w:cs="Arial"/>
                <w:color w:val="000000"/>
                <w:sz w:val="20"/>
              </w:rPr>
              <w:t xml:space="preserve">If the address provided by the country representative to receive a classified shipment is other than a TAC A, B, C, or D address, the service focal point shall be contacted for guidance.  The </w:t>
            </w:r>
            <w:r w:rsidRPr="00137A53">
              <w:rPr>
                <w:rFonts w:cs="Arial"/>
                <w:sz w:val="20"/>
              </w:rPr>
              <w:t>Surface Deployment and Distribution Command</w:t>
            </w:r>
            <w:r w:rsidRPr="00137A53">
              <w:rPr>
                <w:rFonts w:cs="Arial"/>
                <w:color w:val="000000"/>
                <w:sz w:val="20"/>
              </w:rPr>
              <w:t xml:space="preserve"> (SDDC) shall contact the country representative for coordination in processing export release requests for classified materiel moving under a Delivery Term Code 8.  The applicable freight forwarder shall also be contacted by SDDC for coordination in processing export release requests for sensitive materiel moving under a Delivery Term Code 8.</w:t>
            </w:r>
          </w:p>
        </w:tc>
      </w:tr>
      <w:tr w:rsidR="0087721B">
        <w:tblPrEx>
          <w:tblCellMar>
            <w:left w:w="124" w:type="dxa"/>
            <w:right w:w="124" w:type="dxa"/>
          </w:tblCellMar>
        </w:tblPrEx>
        <w:trPr>
          <w:cantSplit/>
        </w:trPr>
        <w:tc>
          <w:tcPr>
            <w:tcW w:w="2430" w:type="dxa"/>
            <w:tcBorders>
              <w:top w:val="single" w:sz="8" w:space="0" w:color="auto"/>
              <w:left w:val="single" w:sz="8" w:space="0" w:color="auto"/>
              <w:bottom w:val="single" w:sz="4" w:space="0" w:color="auto"/>
              <w:right w:val="single" w:sz="8" w:space="0" w:color="auto"/>
            </w:tcBorders>
          </w:tcPr>
          <w:p w:rsidR="0087721B" w:rsidRDefault="0087721B">
            <w:pPr>
              <w:spacing w:before="100" w:after="56"/>
              <w:jc w:val="center"/>
              <w:rPr>
                <w:rFonts w:ascii="Arial Narrow" w:hAnsi="Arial Narrow" w:cs="Arial"/>
                <w:sz w:val="20"/>
                <w:szCs w:val="24"/>
              </w:rPr>
            </w:pPr>
            <w:r>
              <w:rPr>
                <w:rFonts w:ascii="Arial Narrow" w:hAnsi="Arial Narrow"/>
                <w:sz w:val="20"/>
                <w:szCs w:val="24"/>
              </w:rPr>
              <w:t>4</w:t>
            </w:r>
          </w:p>
        </w:tc>
        <w:tc>
          <w:tcPr>
            <w:tcW w:w="7290" w:type="dxa"/>
            <w:gridSpan w:val="2"/>
            <w:tcBorders>
              <w:top w:val="single" w:sz="8" w:space="0" w:color="auto"/>
              <w:left w:val="single" w:sz="8" w:space="0" w:color="auto"/>
              <w:bottom w:val="single" w:sz="4" w:space="0" w:color="auto"/>
              <w:right w:val="single" w:sz="8" w:space="0" w:color="auto"/>
            </w:tcBorders>
            <w:vAlign w:val="bottom"/>
          </w:tcPr>
          <w:p w:rsidR="0087721B" w:rsidRPr="00137A53" w:rsidRDefault="00FA47BF">
            <w:pPr>
              <w:pStyle w:val="FootnoteText"/>
              <w:spacing w:after="60"/>
              <w:rPr>
                <w:rFonts w:cs="Arial"/>
                <w:szCs w:val="24"/>
              </w:rPr>
            </w:pPr>
            <w:r w:rsidRPr="00137A53">
              <w:rPr>
                <w:rFonts w:cs="Arial"/>
                <w:color w:val="000000"/>
              </w:rPr>
              <w:t xml:space="preserve">This address shall be used for distribution of supply and shipment status documents. Communication Routing Identifier (COMMRI) code shall be used for electronic distribution of supply and shipping status transactions.  A COMMRI is a 7 character code that uniquely identifies an International Logistics Communication System (ILCS) account, established with the </w:t>
            </w:r>
            <w:r w:rsidRPr="00137A53">
              <w:rPr>
                <w:rFonts w:cs="Arial"/>
              </w:rPr>
              <w:t>DLA Transaction Services</w:t>
            </w:r>
            <w:r w:rsidRPr="00137A53">
              <w:rPr>
                <w:rFonts w:cs="Arial"/>
                <w:color w:val="000000"/>
              </w:rPr>
              <w:t>, to electronically transmit and receive logistics data between the FMS country and the US DOD supply system.</w:t>
            </w:r>
          </w:p>
        </w:tc>
      </w:tr>
      <w:tr w:rsidR="0087721B">
        <w:tblPrEx>
          <w:tblCellMar>
            <w:left w:w="124" w:type="dxa"/>
            <w:right w:w="124" w:type="dxa"/>
          </w:tblCellMar>
        </w:tblPrEx>
        <w:trPr>
          <w:cantSplit/>
        </w:trPr>
        <w:tc>
          <w:tcPr>
            <w:tcW w:w="2430" w:type="dxa"/>
            <w:tcBorders>
              <w:top w:val="single" w:sz="4" w:space="0" w:color="auto"/>
              <w:left w:val="single" w:sz="8" w:space="0" w:color="auto"/>
              <w:bottom w:val="single" w:sz="4" w:space="0" w:color="auto"/>
              <w:right w:val="single" w:sz="8" w:space="0" w:color="auto"/>
            </w:tcBorders>
          </w:tcPr>
          <w:p w:rsidR="0087721B" w:rsidRDefault="0087721B">
            <w:pPr>
              <w:spacing w:before="100" w:after="56"/>
              <w:jc w:val="center"/>
              <w:rPr>
                <w:rFonts w:ascii="Arial Narrow" w:hAnsi="Arial Narrow" w:cs="Arial"/>
                <w:sz w:val="20"/>
                <w:szCs w:val="24"/>
              </w:rPr>
            </w:pPr>
            <w:r>
              <w:rPr>
                <w:rFonts w:ascii="Arial Narrow" w:hAnsi="Arial Narrow"/>
                <w:sz w:val="20"/>
                <w:szCs w:val="24"/>
              </w:rPr>
              <w:lastRenderedPageBreak/>
              <w:t>5</w:t>
            </w:r>
          </w:p>
        </w:tc>
        <w:tc>
          <w:tcPr>
            <w:tcW w:w="7290" w:type="dxa"/>
            <w:gridSpan w:val="2"/>
            <w:tcBorders>
              <w:top w:val="single" w:sz="4" w:space="0" w:color="auto"/>
              <w:left w:val="single" w:sz="8" w:space="0" w:color="auto"/>
              <w:bottom w:val="single" w:sz="4" w:space="0" w:color="auto"/>
              <w:right w:val="single" w:sz="8" w:space="0" w:color="auto"/>
            </w:tcBorders>
            <w:vAlign w:val="bottom"/>
          </w:tcPr>
          <w:p w:rsidR="0087721B" w:rsidRPr="00137A53" w:rsidRDefault="00CC4B43">
            <w:pPr>
              <w:spacing w:after="60"/>
              <w:rPr>
                <w:rFonts w:cs="Arial"/>
                <w:sz w:val="20"/>
              </w:rPr>
            </w:pPr>
            <w:r w:rsidRPr="00137A53">
              <w:rPr>
                <w:rFonts w:cs="Arial"/>
                <w:color w:val="000000"/>
                <w:sz w:val="20"/>
              </w:rPr>
              <w:t>This address shall be used for distribution of documentation for unclassified shipments delivered by a small parcel carrier.  The documentation may be DD Form 1348-1a, “Issue Release/Receipt Document,” DD Form 1348-2, “Issue Release/Receipt Document with Address Label,” DD Form 250, “Material Inspection and Receiving Report”; or any forms used for release/receipt.  The TAC 5 address shall only be published when it is different from the TAC 1 address.</w:t>
            </w:r>
          </w:p>
        </w:tc>
      </w:tr>
      <w:tr w:rsidR="0087721B">
        <w:tblPrEx>
          <w:tblCellMar>
            <w:left w:w="124" w:type="dxa"/>
            <w:right w:w="124" w:type="dxa"/>
          </w:tblCellMar>
        </w:tblPrEx>
        <w:trPr>
          <w:cantSplit/>
        </w:trPr>
        <w:tc>
          <w:tcPr>
            <w:tcW w:w="2430" w:type="dxa"/>
            <w:tcBorders>
              <w:top w:val="single" w:sz="4" w:space="0" w:color="auto"/>
              <w:left w:val="single" w:sz="8" w:space="0" w:color="auto"/>
              <w:bottom w:val="single" w:sz="4" w:space="0" w:color="auto"/>
              <w:right w:val="single" w:sz="8" w:space="0" w:color="auto"/>
            </w:tcBorders>
          </w:tcPr>
          <w:p w:rsidR="0087721B" w:rsidRDefault="0087721B">
            <w:pPr>
              <w:spacing w:before="100" w:after="56"/>
              <w:jc w:val="center"/>
              <w:rPr>
                <w:rFonts w:ascii="Arial Narrow" w:hAnsi="Arial Narrow" w:cs="Arial"/>
                <w:sz w:val="20"/>
                <w:szCs w:val="24"/>
              </w:rPr>
            </w:pPr>
            <w:r>
              <w:rPr>
                <w:rFonts w:ascii="Arial Narrow" w:hAnsi="Arial Narrow"/>
                <w:sz w:val="20"/>
                <w:szCs w:val="24"/>
              </w:rPr>
              <w:t>6</w:t>
            </w:r>
          </w:p>
        </w:tc>
        <w:tc>
          <w:tcPr>
            <w:tcW w:w="7290" w:type="dxa"/>
            <w:gridSpan w:val="2"/>
            <w:tcBorders>
              <w:top w:val="single" w:sz="4" w:space="0" w:color="auto"/>
              <w:left w:val="single" w:sz="8" w:space="0" w:color="auto"/>
              <w:bottom w:val="single" w:sz="4" w:space="0" w:color="auto"/>
              <w:right w:val="single" w:sz="8" w:space="0" w:color="auto"/>
            </w:tcBorders>
            <w:vAlign w:val="bottom"/>
          </w:tcPr>
          <w:p w:rsidR="0087721B" w:rsidRPr="00137A53" w:rsidRDefault="0087721B">
            <w:pPr>
              <w:pStyle w:val="FootnoteText"/>
              <w:spacing w:after="60"/>
              <w:rPr>
                <w:rFonts w:cs="Arial"/>
                <w:szCs w:val="24"/>
              </w:rPr>
            </w:pPr>
            <w:r w:rsidRPr="00137A53">
              <w:rPr>
                <w:rFonts w:cs="Arial"/>
                <w:szCs w:val="24"/>
              </w:rPr>
              <w:t>Documentation (release/receipt) for automatic freight shipment will be forwarded to this address.  Documents that may be distributed to this address may include DD Form 1348-2, Issue Release/Receipt Document with Address Label; DD Form 1348-1A, Issue Release/Receipt Document; DD Form 250, Material Inspection and Receiving Report; or any forms used for release/receipt of shipments.  The TAC 6 address will only be published when it is different from the TAC 2 address.</w:t>
            </w:r>
          </w:p>
        </w:tc>
      </w:tr>
      <w:tr w:rsidR="0087721B">
        <w:tblPrEx>
          <w:tblCellMar>
            <w:left w:w="124" w:type="dxa"/>
            <w:right w:w="124" w:type="dxa"/>
          </w:tblCellMar>
        </w:tblPrEx>
        <w:trPr>
          <w:cantSplit/>
        </w:trPr>
        <w:tc>
          <w:tcPr>
            <w:tcW w:w="2430" w:type="dxa"/>
            <w:tcBorders>
              <w:top w:val="single" w:sz="4" w:space="0" w:color="auto"/>
              <w:left w:val="single" w:sz="7" w:space="0" w:color="auto"/>
              <w:bottom w:val="nil"/>
              <w:right w:val="nil"/>
            </w:tcBorders>
          </w:tcPr>
          <w:p w:rsidR="0087721B" w:rsidRDefault="0087721B">
            <w:pPr>
              <w:spacing w:before="100" w:after="56"/>
              <w:jc w:val="center"/>
              <w:rPr>
                <w:rFonts w:ascii="Arial Narrow" w:hAnsi="Arial Narrow" w:cs="Arial"/>
                <w:sz w:val="20"/>
                <w:szCs w:val="24"/>
              </w:rPr>
            </w:pPr>
            <w:r>
              <w:rPr>
                <w:rFonts w:ascii="Arial Narrow" w:hAnsi="Arial Narrow"/>
                <w:sz w:val="20"/>
                <w:szCs w:val="24"/>
              </w:rPr>
              <w:t>7</w:t>
            </w:r>
          </w:p>
        </w:tc>
        <w:tc>
          <w:tcPr>
            <w:tcW w:w="7290" w:type="dxa"/>
            <w:gridSpan w:val="2"/>
            <w:tcBorders>
              <w:top w:val="single" w:sz="4" w:space="0" w:color="auto"/>
              <w:left w:val="single" w:sz="7" w:space="0" w:color="auto"/>
              <w:bottom w:val="nil"/>
              <w:right w:val="single" w:sz="7" w:space="0" w:color="auto"/>
            </w:tcBorders>
            <w:vAlign w:val="bottom"/>
          </w:tcPr>
          <w:p w:rsidR="0087721B" w:rsidRPr="00137A53" w:rsidRDefault="0087721B">
            <w:pPr>
              <w:pStyle w:val="FootnoteText"/>
              <w:spacing w:after="60"/>
              <w:rPr>
                <w:rFonts w:cs="Arial"/>
                <w:szCs w:val="24"/>
              </w:rPr>
            </w:pPr>
            <w:r w:rsidRPr="00137A53">
              <w:rPr>
                <w:rFonts w:cs="Arial"/>
                <w:szCs w:val="24"/>
              </w:rPr>
              <w:t>This address will be used to identify the activity responsible for payment of transportation charges for shipments made on collect commercial bills of lading or other types of collection delivery methods.  The TAC 7 address will be established only when TACs A, B, C, D, 1, and 2 addresses (ship-to) are not authorized to make such payments (the freight forwarder is permitted to change this address as long as it remains within the freight forwarder’s operation).</w:t>
            </w:r>
          </w:p>
        </w:tc>
      </w:tr>
      <w:tr w:rsidR="0087721B">
        <w:tblPrEx>
          <w:tblCellMar>
            <w:left w:w="124" w:type="dxa"/>
            <w:right w:w="124" w:type="dxa"/>
          </w:tblCellMar>
        </w:tblPrEx>
        <w:trPr>
          <w:cantSplit/>
        </w:trPr>
        <w:tc>
          <w:tcPr>
            <w:tcW w:w="2430" w:type="dxa"/>
            <w:tcBorders>
              <w:top w:val="single" w:sz="7" w:space="0" w:color="auto"/>
              <w:left w:val="single" w:sz="7" w:space="0" w:color="auto"/>
              <w:bottom w:val="nil"/>
              <w:right w:val="nil"/>
            </w:tcBorders>
          </w:tcPr>
          <w:p w:rsidR="0087721B" w:rsidRDefault="0087721B">
            <w:pPr>
              <w:spacing w:before="100" w:after="56"/>
              <w:jc w:val="center"/>
              <w:rPr>
                <w:rFonts w:ascii="Arial Narrow" w:hAnsi="Arial Narrow" w:cs="Arial"/>
                <w:sz w:val="20"/>
                <w:szCs w:val="24"/>
              </w:rPr>
            </w:pPr>
            <w:r>
              <w:rPr>
                <w:rFonts w:ascii="Arial Narrow" w:hAnsi="Arial Narrow"/>
                <w:sz w:val="20"/>
                <w:szCs w:val="24"/>
              </w:rPr>
              <w:t>8</w:t>
            </w:r>
          </w:p>
        </w:tc>
        <w:tc>
          <w:tcPr>
            <w:tcW w:w="7290" w:type="dxa"/>
            <w:gridSpan w:val="2"/>
            <w:tcBorders>
              <w:top w:val="single" w:sz="7" w:space="0" w:color="auto"/>
              <w:left w:val="single" w:sz="7" w:space="0" w:color="auto"/>
              <w:bottom w:val="nil"/>
              <w:right w:val="single" w:sz="7" w:space="0" w:color="auto"/>
            </w:tcBorders>
            <w:vAlign w:val="bottom"/>
          </w:tcPr>
          <w:p w:rsidR="0087721B" w:rsidRPr="00137A53" w:rsidRDefault="0087721B">
            <w:pPr>
              <w:pStyle w:val="FootnoteText"/>
              <w:spacing w:before="60" w:after="60"/>
              <w:rPr>
                <w:rFonts w:cs="Arial"/>
                <w:szCs w:val="24"/>
              </w:rPr>
            </w:pPr>
            <w:r w:rsidRPr="00137A53">
              <w:rPr>
                <w:rFonts w:cs="Arial"/>
                <w:szCs w:val="24"/>
              </w:rPr>
              <w:t>Reserved.</w:t>
            </w:r>
          </w:p>
        </w:tc>
      </w:tr>
      <w:tr w:rsidR="0087721B">
        <w:tblPrEx>
          <w:tblCellMar>
            <w:left w:w="124" w:type="dxa"/>
            <w:right w:w="124" w:type="dxa"/>
          </w:tblCellMar>
        </w:tblPrEx>
        <w:trPr>
          <w:cantSplit/>
        </w:trPr>
        <w:tc>
          <w:tcPr>
            <w:tcW w:w="2430" w:type="dxa"/>
            <w:tcBorders>
              <w:top w:val="single" w:sz="7" w:space="0" w:color="auto"/>
              <w:left w:val="single" w:sz="7" w:space="0" w:color="auto"/>
              <w:bottom w:val="single" w:sz="8" w:space="0" w:color="auto"/>
              <w:right w:val="nil"/>
            </w:tcBorders>
          </w:tcPr>
          <w:p w:rsidR="0087721B" w:rsidRDefault="0087721B">
            <w:pPr>
              <w:spacing w:before="100" w:after="56"/>
              <w:jc w:val="center"/>
              <w:rPr>
                <w:rFonts w:ascii="Arial Narrow" w:hAnsi="Arial Narrow" w:cs="Arial"/>
                <w:sz w:val="20"/>
                <w:szCs w:val="24"/>
              </w:rPr>
            </w:pPr>
            <w:r>
              <w:rPr>
                <w:rFonts w:ascii="Arial Narrow" w:hAnsi="Arial Narrow"/>
                <w:sz w:val="20"/>
                <w:szCs w:val="24"/>
              </w:rPr>
              <w:t>9</w:t>
            </w:r>
          </w:p>
        </w:tc>
        <w:tc>
          <w:tcPr>
            <w:tcW w:w="7290" w:type="dxa"/>
            <w:gridSpan w:val="2"/>
            <w:tcBorders>
              <w:top w:val="single" w:sz="7" w:space="0" w:color="auto"/>
              <w:left w:val="single" w:sz="7" w:space="0" w:color="auto"/>
              <w:bottom w:val="single" w:sz="8" w:space="0" w:color="auto"/>
              <w:right w:val="single" w:sz="7" w:space="0" w:color="auto"/>
            </w:tcBorders>
            <w:vAlign w:val="bottom"/>
          </w:tcPr>
          <w:p w:rsidR="0087721B" w:rsidRPr="00137A53" w:rsidRDefault="0087721B">
            <w:pPr>
              <w:pStyle w:val="FootnoteText"/>
              <w:spacing w:after="60"/>
              <w:rPr>
                <w:rFonts w:cs="Arial"/>
                <w:szCs w:val="24"/>
              </w:rPr>
            </w:pPr>
            <w:r w:rsidRPr="00137A53">
              <w:rPr>
                <w:rFonts w:cs="Arial"/>
                <w:szCs w:val="24"/>
              </w:rPr>
              <w:t>TAC 9 indicated that the addresses for this MAPAC have been deleted; however, the MAPAC will remain in the directory to provide a reference to another MAPAC which will be used in processing documents that contain the deleted code.  It can also provide reference to special instructions for processing documents containing the deleted MAPAC.  The deleted entry will remain in the MAPAD for a period of 5 years.</w:t>
            </w:r>
          </w:p>
        </w:tc>
      </w:tr>
      <w:tr w:rsidR="0087721B">
        <w:tblPrEx>
          <w:tblCellMar>
            <w:left w:w="124" w:type="dxa"/>
            <w:right w:w="124" w:type="dxa"/>
          </w:tblCellMar>
        </w:tblPrEx>
        <w:trPr>
          <w:cantSplit/>
        </w:trPr>
        <w:tc>
          <w:tcPr>
            <w:tcW w:w="9720" w:type="dxa"/>
            <w:gridSpan w:val="3"/>
            <w:tcBorders>
              <w:top w:val="single" w:sz="8" w:space="0" w:color="auto"/>
              <w:left w:val="single" w:sz="8" w:space="0" w:color="auto"/>
              <w:bottom w:val="single" w:sz="4" w:space="0" w:color="auto"/>
              <w:right w:val="single" w:sz="8" w:space="0" w:color="auto"/>
            </w:tcBorders>
            <w:vAlign w:val="bottom"/>
          </w:tcPr>
          <w:p w:rsidR="0087721B" w:rsidRPr="00137A53" w:rsidRDefault="0087721B">
            <w:pPr>
              <w:spacing w:before="60" w:after="60"/>
              <w:jc w:val="center"/>
              <w:rPr>
                <w:rFonts w:cs="Arial"/>
                <w:b/>
                <w:bCs/>
                <w:sz w:val="20"/>
                <w:szCs w:val="24"/>
              </w:rPr>
            </w:pPr>
            <w:r w:rsidRPr="00137A53">
              <w:rPr>
                <w:rFonts w:cs="Arial"/>
                <w:b/>
                <w:bCs/>
                <w:sz w:val="20"/>
                <w:szCs w:val="24"/>
              </w:rPr>
              <w:t>MAP GRANT AID</w:t>
            </w:r>
          </w:p>
        </w:tc>
      </w:tr>
      <w:tr w:rsidR="0087721B">
        <w:tblPrEx>
          <w:tblCellMar>
            <w:left w:w="124" w:type="dxa"/>
            <w:right w:w="124" w:type="dxa"/>
          </w:tblCellMar>
        </w:tblPrEx>
        <w:trPr>
          <w:cantSplit/>
        </w:trPr>
        <w:tc>
          <w:tcPr>
            <w:tcW w:w="2430" w:type="dxa"/>
            <w:tcBorders>
              <w:top w:val="single" w:sz="4" w:space="0" w:color="auto"/>
              <w:left w:val="single" w:sz="7" w:space="0" w:color="auto"/>
              <w:bottom w:val="nil"/>
              <w:right w:val="nil"/>
            </w:tcBorders>
          </w:tcPr>
          <w:p w:rsidR="0087721B" w:rsidRDefault="0087721B">
            <w:pPr>
              <w:spacing w:before="100" w:after="56"/>
              <w:jc w:val="center"/>
              <w:rPr>
                <w:rFonts w:ascii="Arial Narrow" w:hAnsi="Arial Narrow"/>
                <w:b/>
                <w:bCs/>
                <w:sz w:val="20"/>
                <w:szCs w:val="24"/>
              </w:rPr>
            </w:pPr>
            <w:r>
              <w:rPr>
                <w:rFonts w:ascii="Arial Narrow" w:hAnsi="Arial Narrow"/>
                <w:b/>
                <w:bCs/>
                <w:sz w:val="20"/>
                <w:szCs w:val="24"/>
              </w:rPr>
              <w:t>TAC</w:t>
            </w:r>
          </w:p>
        </w:tc>
        <w:tc>
          <w:tcPr>
            <w:tcW w:w="7290" w:type="dxa"/>
            <w:gridSpan w:val="2"/>
            <w:tcBorders>
              <w:top w:val="single" w:sz="4" w:space="0" w:color="auto"/>
              <w:left w:val="single" w:sz="7" w:space="0" w:color="auto"/>
              <w:bottom w:val="nil"/>
              <w:right w:val="single" w:sz="7" w:space="0" w:color="auto"/>
            </w:tcBorders>
            <w:vAlign w:val="bottom"/>
          </w:tcPr>
          <w:p w:rsidR="0087721B" w:rsidRPr="00137A53" w:rsidRDefault="0087721B">
            <w:pPr>
              <w:spacing w:before="100" w:after="56"/>
              <w:jc w:val="center"/>
              <w:rPr>
                <w:rFonts w:cs="Arial"/>
                <w:b/>
                <w:bCs/>
                <w:sz w:val="20"/>
                <w:szCs w:val="24"/>
              </w:rPr>
            </w:pPr>
            <w:r w:rsidRPr="00137A53">
              <w:rPr>
                <w:rFonts w:cs="Arial"/>
                <w:b/>
                <w:bCs/>
                <w:sz w:val="20"/>
                <w:szCs w:val="24"/>
              </w:rPr>
              <w:t>EXPLANATION</w:t>
            </w:r>
          </w:p>
        </w:tc>
      </w:tr>
      <w:tr w:rsidR="0087721B">
        <w:tblPrEx>
          <w:tblCellMar>
            <w:left w:w="124" w:type="dxa"/>
            <w:right w:w="124" w:type="dxa"/>
          </w:tblCellMar>
        </w:tblPrEx>
        <w:trPr>
          <w:cantSplit/>
        </w:trPr>
        <w:tc>
          <w:tcPr>
            <w:tcW w:w="2430" w:type="dxa"/>
            <w:tcBorders>
              <w:top w:val="single" w:sz="4" w:space="0" w:color="auto"/>
              <w:left w:val="single" w:sz="7" w:space="0" w:color="auto"/>
              <w:bottom w:val="nil"/>
              <w:right w:val="nil"/>
            </w:tcBorders>
          </w:tcPr>
          <w:p w:rsidR="0087721B" w:rsidRDefault="0087721B">
            <w:pPr>
              <w:spacing w:before="100" w:after="56"/>
              <w:jc w:val="center"/>
              <w:rPr>
                <w:rFonts w:ascii="Arial Narrow" w:hAnsi="Arial Narrow" w:cs="Arial"/>
                <w:sz w:val="20"/>
                <w:szCs w:val="24"/>
              </w:rPr>
            </w:pPr>
            <w:r>
              <w:rPr>
                <w:rFonts w:ascii="Arial Narrow" w:hAnsi="Arial Narrow"/>
                <w:sz w:val="20"/>
                <w:szCs w:val="24"/>
              </w:rPr>
              <w:t>A-L</w:t>
            </w:r>
          </w:p>
        </w:tc>
        <w:tc>
          <w:tcPr>
            <w:tcW w:w="7290" w:type="dxa"/>
            <w:gridSpan w:val="2"/>
            <w:tcBorders>
              <w:top w:val="single" w:sz="4" w:space="0" w:color="auto"/>
              <w:left w:val="single" w:sz="7" w:space="0" w:color="auto"/>
              <w:bottom w:val="nil"/>
              <w:right w:val="single" w:sz="7" w:space="0" w:color="auto"/>
            </w:tcBorders>
            <w:vAlign w:val="bottom"/>
          </w:tcPr>
          <w:p w:rsidR="0087721B" w:rsidRPr="00137A53" w:rsidRDefault="0087721B">
            <w:pPr>
              <w:pStyle w:val="FootnoteText"/>
              <w:spacing w:before="60" w:after="60"/>
              <w:rPr>
                <w:rFonts w:cs="Arial"/>
                <w:szCs w:val="24"/>
              </w:rPr>
            </w:pPr>
            <w:r w:rsidRPr="00137A53">
              <w:rPr>
                <w:rFonts w:cs="Arial"/>
                <w:szCs w:val="24"/>
              </w:rPr>
              <w:t>Reserved.</w:t>
            </w:r>
          </w:p>
        </w:tc>
      </w:tr>
      <w:tr w:rsidR="0087721B">
        <w:tblPrEx>
          <w:tblCellMar>
            <w:left w:w="124" w:type="dxa"/>
            <w:right w:w="124" w:type="dxa"/>
          </w:tblCellMar>
        </w:tblPrEx>
        <w:trPr>
          <w:cantSplit/>
        </w:trPr>
        <w:tc>
          <w:tcPr>
            <w:tcW w:w="2430" w:type="dxa"/>
            <w:tcBorders>
              <w:top w:val="single" w:sz="7" w:space="0" w:color="auto"/>
              <w:left w:val="single" w:sz="7" w:space="0" w:color="auto"/>
              <w:bottom w:val="nil"/>
              <w:right w:val="nil"/>
            </w:tcBorders>
          </w:tcPr>
          <w:p w:rsidR="0087721B" w:rsidRDefault="0087721B">
            <w:pPr>
              <w:spacing w:before="100" w:after="56"/>
              <w:jc w:val="center"/>
              <w:rPr>
                <w:rFonts w:ascii="Arial Narrow" w:hAnsi="Arial Narrow" w:cs="Arial"/>
                <w:sz w:val="20"/>
                <w:szCs w:val="24"/>
              </w:rPr>
            </w:pPr>
            <w:r>
              <w:rPr>
                <w:rFonts w:ascii="Arial Narrow" w:hAnsi="Arial Narrow"/>
                <w:sz w:val="20"/>
                <w:szCs w:val="24"/>
              </w:rPr>
              <w:t>M</w:t>
            </w:r>
          </w:p>
        </w:tc>
        <w:tc>
          <w:tcPr>
            <w:tcW w:w="7290" w:type="dxa"/>
            <w:gridSpan w:val="2"/>
            <w:tcBorders>
              <w:top w:val="single" w:sz="7" w:space="0" w:color="auto"/>
              <w:left w:val="single" w:sz="7" w:space="0" w:color="auto"/>
              <w:bottom w:val="nil"/>
              <w:right w:val="single" w:sz="7" w:space="0" w:color="auto"/>
            </w:tcBorders>
            <w:vAlign w:val="bottom"/>
          </w:tcPr>
          <w:p w:rsidR="0087721B" w:rsidRPr="00137A53" w:rsidRDefault="0087721B">
            <w:pPr>
              <w:pStyle w:val="FootnoteText"/>
              <w:spacing w:after="60"/>
              <w:rPr>
                <w:rFonts w:cs="Arial"/>
                <w:szCs w:val="24"/>
              </w:rPr>
            </w:pPr>
            <w:r w:rsidRPr="00137A53">
              <w:rPr>
                <w:rFonts w:cs="Arial"/>
                <w:szCs w:val="24"/>
              </w:rPr>
              <w:t>TAC M identifies that clear text mark-for address which will be used on freight shipments.  Mark-for addresses will be placed on small parcel labels in such a manner as to prevent post office problems in identifying ZIP and APO/FPO codes.  The fourth position of the MAPAC will contain an alphabetic or numeric code to designate the mark-for address.  This code will be the same as the code in RP 33 of the MILSTRIP requisition.</w:t>
            </w:r>
          </w:p>
        </w:tc>
      </w:tr>
      <w:tr w:rsidR="0087721B">
        <w:tblPrEx>
          <w:tblCellMar>
            <w:left w:w="124" w:type="dxa"/>
            <w:right w:w="124" w:type="dxa"/>
          </w:tblCellMar>
        </w:tblPrEx>
        <w:trPr>
          <w:cantSplit/>
        </w:trPr>
        <w:tc>
          <w:tcPr>
            <w:tcW w:w="2430" w:type="dxa"/>
            <w:tcBorders>
              <w:top w:val="single" w:sz="7" w:space="0" w:color="auto"/>
              <w:left w:val="single" w:sz="7" w:space="0" w:color="auto"/>
              <w:bottom w:val="nil"/>
              <w:right w:val="nil"/>
            </w:tcBorders>
          </w:tcPr>
          <w:p w:rsidR="0087721B" w:rsidRDefault="0087721B">
            <w:pPr>
              <w:spacing w:before="100" w:after="56"/>
              <w:jc w:val="center"/>
              <w:rPr>
                <w:rFonts w:ascii="Arial Narrow" w:hAnsi="Arial Narrow" w:cs="Arial"/>
                <w:sz w:val="20"/>
                <w:szCs w:val="24"/>
              </w:rPr>
            </w:pPr>
            <w:r>
              <w:rPr>
                <w:rFonts w:ascii="Arial Narrow" w:hAnsi="Arial Narrow"/>
                <w:sz w:val="20"/>
                <w:szCs w:val="24"/>
              </w:rPr>
              <w:t>N-Z</w:t>
            </w:r>
          </w:p>
        </w:tc>
        <w:tc>
          <w:tcPr>
            <w:tcW w:w="7290" w:type="dxa"/>
            <w:gridSpan w:val="2"/>
            <w:tcBorders>
              <w:top w:val="single" w:sz="7" w:space="0" w:color="auto"/>
              <w:left w:val="single" w:sz="7" w:space="0" w:color="auto"/>
              <w:bottom w:val="nil"/>
              <w:right w:val="single" w:sz="7" w:space="0" w:color="auto"/>
            </w:tcBorders>
            <w:vAlign w:val="bottom"/>
          </w:tcPr>
          <w:p w:rsidR="0087721B" w:rsidRPr="00137A53" w:rsidRDefault="0087721B">
            <w:pPr>
              <w:pStyle w:val="FootnoteText"/>
              <w:spacing w:before="60" w:after="60"/>
              <w:rPr>
                <w:rFonts w:cs="Arial"/>
                <w:szCs w:val="24"/>
              </w:rPr>
            </w:pPr>
            <w:r w:rsidRPr="00137A53">
              <w:rPr>
                <w:rFonts w:cs="Arial"/>
                <w:szCs w:val="24"/>
              </w:rPr>
              <w:t>Reserved.</w:t>
            </w:r>
          </w:p>
        </w:tc>
      </w:tr>
      <w:tr w:rsidR="0087721B">
        <w:tblPrEx>
          <w:tblCellMar>
            <w:left w:w="124" w:type="dxa"/>
            <w:right w:w="124" w:type="dxa"/>
          </w:tblCellMar>
        </w:tblPrEx>
        <w:trPr>
          <w:cantSplit/>
        </w:trPr>
        <w:tc>
          <w:tcPr>
            <w:tcW w:w="2430" w:type="dxa"/>
            <w:tcBorders>
              <w:top w:val="single" w:sz="7" w:space="0" w:color="auto"/>
              <w:left w:val="single" w:sz="7" w:space="0" w:color="auto"/>
              <w:bottom w:val="nil"/>
              <w:right w:val="nil"/>
            </w:tcBorders>
          </w:tcPr>
          <w:p w:rsidR="0087721B" w:rsidRDefault="0087721B">
            <w:pPr>
              <w:spacing w:before="100" w:after="56"/>
              <w:jc w:val="center"/>
              <w:rPr>
                <w:rFonts w:ascii="Arial Narrow" w:hAnsi="Arial Narrow" w:cs="Arial"/>
                <w:sz w:val="20"/>
                <w:szCs w:val="24"/>
              </w:rPr>
            </w:pPr>
            <w:r>
              <w:rPr>
                <w:rFonts w:ascii="Arial Narrow" w:hAnsi="Arial Narrow"/>
                <w:sz w:val="20"/>
                <w:szCs w:val="24"/>
              </w:rPr>
              <w:t>1</w:t>
            </w:r>
          </w:p>
        </w:tc>
        <w:tc>
          <w:tcPr>
            <w:tcW w:w="7290" w:type="dxa"/>
            <w:gridSpan w:val="2"/>
            <w:tcBorders>
              <w:top w:val="single" w:sz="7" w:space="0" w:color="auto"/>
              <w:left w:val="single" w:sz="7" w:space="0" w:color="auto"/>
              <w:bottom w:val="nil"/>
              <w:right w:val="single" w:sz="7" w:space="0" w:color="auto"/>
            </w:tcBorders>
            <w:vAlign w:val="bottom"/>
          </w:tcPr>
          <w:p w:rsidR="0087721B" w:rsidRPr="00137A53" w:rsidRDefault="0087721B" w:rsidP="00CB2AE0">
            <w:pPr>
              <w:pStyle w:val="FootnoteText"/>
              <w:spacing w:after="60"/>
              <w:rPr>
                <w:rFonts w:cs="Arial"/>
                <w:szCs w:val="24"/>
              </w:rPr>
            </w:pPr>
            <w:r w:rsidRPr="00137A53">
              <w:rPr>
                <w:rFonts w:cs="Arial"/>
                <w:szCs w:val="24"/>
              </w:rPr>
              <w:t xml:space="preserve">This address will receive shipments moving by a carrier that can provide evidence of shipment or proof of delivery in compliance with MILSTAMP, </w:t>
            </w:r>
            <w:r w:rsidR="00CB2AE0" w:rsidRPr="009C7DE3">
              <w:rPr>
                <w:rFonts w:cs="Arial"/>
              </w:rPr>
              <w:t>DTR 4500.9-M</w:t>
            </w:r>
            <w:r w:rsidR="00CB2AE0" w:rsidRPr="00137A53">
              <w:rPr>
                <w:rFonts w:cs="Arial"/>
              </w:rPr>
              <w:t xml:space="preserve">, </w:t>
            </w:r>
            <w:r w:rsidR="00CB2AE0" w:rsidRPr="00137A53">
              <w:rPr>
                <w:rFonts w:cs="Arial"/>
                <w:color w:val="000000"/>
              </w:rPr>
              <w:t>Defense Transportation Regulation Part III chapter 203 item B</w:t>
            </w:r>
            <w:r w:rsidRPr="00137A53">
              <w:rPr>
                <w:rFonts w:cs="Arial"/>
                <w:szCs w:val="24"/>
              </w:rPr>
              <w:t>. Because Grant Aid materiel moves by DTS, shipments of both classified and unclassified materiel is included.</w:t>
            </w:r>
          </w:p>
        </w:tc>
      </w:tr>
      <w:tr w:rsidR="0087721B">
        <w:tblPrEx>
          <w:tblCellMar>
            <w:left w:w="124" w:type="dxa"/>
            <w:right w:w="124" w:type="dxa"/>
          </w:tblCellMar>
        </w:tblPrEx>
        <w:trPr>
          <w:cantSplit/>
        </w:trPr>
        <w:tc>
          <w:tcPr>
            <w:tcW w:w="2430" w:type="dxa"/>
            <w:tcBorders>
              <w:top w:val="single" w:sz="7" w:space="0" w:color="auto"/>
              <w:left w:val="single" w:sz="7" w:space="0" w:color="auto"/>
              <w:bottom w:val="single" w:sz="8" w:space="0" w:color="auto"/>
              <w:right w:val="nil"/>
            </w:tcBorders>
          </w:tcPr>
          <w:p w:rsidR="0087721B" w:rsidRDefault="0087721B">
            <w:pPr>
              <w:spacing w:before="100" w:after="56"/>
              <w:jc w:val="center"/>
              <w:rPr>
                <w:rFonts w:ascii="Arial Narrow" w:hAnsi="Arial Narrow" w:cs="Arial"/>
                <w:sz w:val="20"/>
                <w:szCs w:val="24"/>
              </w:rPr>
            </w:pPr>
            <w:r>
              <w:rPr>
                <w:rFonts w:ascii="Arial Narrow" w:hAnsi="Arial Narrow"/>
                <w:sz w:val="20"/>
                <w:szCs w:val="24"/>
              </w:rPr>
              <w:t>2</w:t>
            </w:r>
          </w:p>
        </w:tc>
        <w:tc>
          <w:tcPr>
            <w:tcW w:w="7290" w:type="dxa"/>
            <w:gridSpan w:val="2"/>
            <w:tcBorders>
              <w:top w:val="single" w:sz="7" w:space="0" w:color="auto"/>
              <w:left w:val="single" w:sz="7" w:space="0" w:color="auto"/>
              <w:bottom w:val="single" w:sz="8" w:space="0" w:color="auto"/>
              <w:right w:val="single" w:sz="7" w:space="0" w:color="auto"/>
            </w:tcBorders>
            <w:vAlign w:val="bottom"/>
          </w:tcPr>
          <w:p w:rsidR="0087721B" w:rsidRPr="00137A53" w:rsidRDefault="0087721B">
            <w:pPr>
              <w:pStyle w:val="FootnoteText"/>
              <w:spacing w:after="60"/>
              <w:rPr>
                <w:rFonts w:cs="Arial"/>
                <w:szCs w:val="24"/>
              </w:rPr>
            </w:pPr>
            <w:r w:rsidRPr="00137A53">
              <w:rPr>
                <w:rFonts w:cs="Arial"/>
                <w:szCs w:val="24"/>
              </w:rPr>
              <w:t>The WPOD and APOD codes will be used to obtain the appropriate destination when surface or air freight is selected as the transportation mode.  In addition to the selected destination, the TAC M address will be used as a mark-for address to consign materiel shipments.  The clear text address field will contain the name and geographical location of the civil airport to be used for commercial air shipments if commercial air is authorized.</w:t>
            </w:r>
          </w:p>
        </w:tc>
      </w:tr>
      <w:tr w:rsidR="0087721B">
        <w:tblPrEx>
          <w:tblCellMar>
            <w:left w:w="124" w:type="dxa"/>
            <w:right w:w="124" w:type="dxa"/>
          </w:tblCellMar>
        </w:tblPrEx>
        <w:trPr>
          <w:cantSplit/>
        </w:trPr>
        <w:tc>
          <w:tcPr>
            <w:tcW w:w="2430" w:type="dxa"/>
            <w:tcBorders>
              <w:top w:val="single" w:sz="8" w:space="0" w:color="auto"/>
              <w:left w:val="single" w:sz="8" w:space="0" w:color="auto"/>
              <w:bottom w:val="single" w:sz="4" w:space="0" w:color="auto"/>
              <w:right w:val="single" w:sz="8" w:space="0" w:color="auto"/>
            </w:tcBorders>
          </w:tcPr>
          <w:p w:rsidR="0087721B" w:rsidRDefault="0087721B">
            <w:pPr>
              <w:spacing w:before="100" w:after="56"/>
              <w:jc w:val="center"/>
              <w:rPr>
                <w:rFonts w:ascii="Arial Narrow" w:hAnsi="Arial Narrow" w:cs="Arial"/>
                <w:sz w:val="20"/>
                <w:szCs w:val="24"/>
              </w:rPr>
            </w:pPr>
            <w:r>
              <w:rPr>
                <w:rFonts w:ascii="Arial Narrow" w:hAnsi="Arial Narrow"/>
                <w:sz w:val="20"/>
                <w:szCs w:val="24"/>
              </w:rPr>
              <w:t>3</w:t>
            </w:r>
          </w:p>
        </w:tc>
        <w:tc>
          <w:tcPr>
            <w:tcW w:w="7290" w:type="dxa"/>
            <w:gridSpan w:val="2"/>
            <w:tcBorders>
              <w:top w:val="single" w:sz="8" w:space="0" w:color="auto"/>
              <w:left w:val="single" w:sz="8" w:space="0" w:color="auto"/>
              <w:bottom w:val="single" w:sz="4" w:space="0" w:color="auto"/>
              <w:right w:val="single" w:sz="8" w:space="0" w:color="auto"/>
            </w:tcBorders>
            <w:vAlign w:val="bottom"/>
          </w:tcPr>
          <w:p w:rsidR="0087721B" w:rsidRDefault="0087721B">
            <w:pPr>
              <w:pStyle w:val="FootnoteText"/>
              <w:spacing w:after="60"/>
              <w:rPr>
                <w:rFonts w:ascii="Arial Narrow" w:hAnsi="Arial Narrow" w:cs="Arial"/>
                <w:szCs w:val="24"/>
              </w:rPr>
            </w:pPr>
            <w:r>
              <w:rPr>
                <w:rFonts w:ascii="Arial Narrow" w:hAnsi="Arial Narrow"/>
                <w:szCs w:val="24"/>
              </w:rPr>
              <w:t>This address will be used for distribution of supply status, shipment status documents, and copies of release/receipt document.  Addresses may be listed for forwarding documents by mail and/or electronic transmission.  When SII “D” is used, indicating documents should be forwarded by electronic transmission, a mail address will also be included for distribution of copies of release/receipt documents and other documents not readily transmitted by electronic transmission, and for distribution of all documents in the event of a MINIMIZE.</w:t>
            </w:r>
          </w:p>
        </w:tc>
      </w:tr>
      <w:tr w:rsidR="0087721B">
        <w:tblPrEx>
          <w:tblCellMar>
            <w:left w:w="124" w:type="dxa"/>
            <w:right w:w="124" w:type="dxa"/>
          </w:tblCellMar>
        </w:tblPrEx>
        <w:trPr>
          <w:cantSplit/>
        </w:trPr>
        <w:tc>
          <w:tcPr>
            <w:tcW w:w="2430" w:type="dxa"/>
            <w:tcBorders>
              <w:top w:val="single" w:sz="4" w:space="0" w:color="auto"/>
              <w:left w:val="single" w:sz="7" w:space="0" w:color="auto"/>
              <w:bottom w:val="single" w:sz="7" w:space="0" w:color="auto"/>
              <w:right w:val="nil"/>
            </w:tcBorders>
          </w:tcPr>
          <w:p w:rsidR="0087721B" w:rsidRDefault="0087721B">
            <w:pPr>
              <w:spacing w:before="100" w:after="56"/>
              <w:jc w:val="center"/>
              <w:rPr>
                <w:rFonts w:ascii="Arial Narrow" w:hAnsi="Arial Narrow" w:cs="Arial"/>
                <w:sz w:val="20"/>
                <w:szCs w:val="24"/>
              </w:rPr>
            </w:pPr>
            <w:r>
              <w:rPr>
                <w:rFonts w:ascii="Arial Narrow" w:hAnsi="Arial Narrow"/>
                <w:sz w:val="20"/>
                <w:szCs w:val="24"/>
              </w:rPr>
              <w:t>9</w:t>
            </w:r>
          </w:p>
        </w:tc>
        <w:tc>
          <w:tcPr>
            <w:tcW w:w="7290" w:type="dxa"/>
            <w:gridSpan w:val="2"/>
            <w:tcBorders>
              <w:top w:val="single" w:sz="4" w:space="0" w:color="auto"/>
              <w:left w:val="single" w:sz="7" w:space="0" w:color="auto"/>
              <w:bottom w:val="single" w:sz="7" w:space="0" w:color="auto"/>
              <w:right w:val="single" w:sz="7" w:space="0" w:color="auto"/>
            </w:tcBorders>
            <w:vAlign w:val="bottom"/>
          </w:tcPr>
          <w:p w:rsidR="0087721B" w:rsidRDefault="0087721B">
            <w:pPr>
              <w:spacing w:after="60"/>
              <w:rPr>
                <w:rFonts w:ascii="Arial Narrow" w:hAnsi="Arial Narrow" w:cs="Arial"/>
                <w:sz w:val="20"/>
                <w:szCs w:val="24"/>
              </w:rPr>
            </w:pPr>
            <w:r>
              <w:rPr>
                <w:rFonts w:ascii="Arial Narrow" w:hAnsi="Arial Narrow"/>
                <w:sz w:val="20"/>
                <w:szCs w:val="24"/>
              </w:rPr>
              <w:t>TAC 9 indicates that the addresses for this MAPAC have been deleted; however, the MAPAC will remain in the directory to provide a reference to another MAPAC which will be used in processing documents that contain the deleted MAPAC.  It can also provide a reference to special instructions for processing documents containing the deleted code.  The deleted entry will remain in the MAPAD for a period of 5 years.</w:t>
            </w:r>
          </w:p>
        </w:tc>
      </w:tr>
    </w:tbl>
    <w:p w:rsidR="0087721B" w:rsidRDefault="0087721B">
      <w:pPr>
        <w:pStyle w:val="Heading2"/>
        <w:numPr>
          <w:ilvl w:val="0"/>
          <w:numId w:val="0"/>
        </w:numPr>
        <w:jc w:val="center"/>
        <w:rPr>
          <w:rFonts w:ascii="Arial Narrow" w:hAnsi="Arial Narrow"/>
          <w:sz w:val="20"/>
        </w:rPr>
      </w:pPr>
      <w:bookmarkStart w:id="0" w:name="_GoBack"/>
      <w:bookmarkEnd w:id="0"/>
    </w:p>
    <w:sectPr w:rsidR="0087721B" w:rsidSect="00C93AAA">
      <w:headerReference w:type="even" r:id="rId10"/>
      <w:headerReference w:type="default" r:id="rId11"/>
      <w:footerReference w:type="even" r:id="rId12"/>
      <w:footerReference w:type="default" r:id="rId13"/>
      <w:type w:val="continuous"/>
      <w:pgSz w:w="12240" w:h="15840" w:code="1"/>
      <w:pgMar w:top="1728" w:right="1440" w:bottom="172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791" w:rsidRDefault="00D43791">
      <w:r>
        <w:separator/>
      </w:r>
    </w:p>
  </w:endnote>
  <w:endnote w:type="continuationSeparator" w:id="0">
    <w:p w:rsidR="00D43791" w:rsidRDefault="00D4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AAA" w:rsidRDefault="0095141C" w:rsidP="0087721B">
    <w:pPr>
      <w:pStyle w:val="Footer"/>
      <w:framePr w:wrap="around" w:vAnchor="text" w:hAnchor="margin" w:xAlign="center" w:y="1"/>
      <w:rPr>
        <w:rStyle w:val="PageNumber"/>
      </w:rPr>
    </w:pPr>
    <w:r>
      <w:rPr>
        <w:rStyle w:val="PageNumber"/>
      </w:rPr>
      <w:fldChar w:fldCharType="begin"/>
    </w:r>
    <w:r w:rsidR="00C93AAA">
      <w:rPr>
        <w:rStyle w:val="PageNumber"/>
      </w:rPr>
      <w:instrText xml:space="preserve">PAGE  </w:instrText>
    </w:r>
    <w:r>
      <w:rPr>
        <w:rStyle w:val="PageNumber"/>
      </w:rPr>
      <w:fldChar w:fldCharType="separate"/>
    </w:r>
    <w:r w:rsidR="00C93AAA">
      <w:rPr>
        <w:rStyle w:val="PageNumber"/>
        <w:noProof/>
      </w:rPr>
      <w:t>2</w:t>
    </w:r>
    <w:r>
      <w:rPr>
        <w:rStyle w:val="PageNumber"/>
      </w:rPr>
      <w:fldChar w:fldCharType="end"/>
    </w:r>
  </w:p>
  <w:p w:rsidR="0087721B" w:rsidRDefault="0087721B">
    <w:pPr>
      <w:pStyle w:val="Footer"/>
      <w:jc w:val="center"/>
      <w:rPr>
        <w:b/>
      </w:rPr>
    </w:pPr>
    <w:r>
      <w:rPr>
        <w:b/>
      </w:rPr>
      <w:t>AP1.</w:t>
    </w:r>
  </w:p>
  <w:p w:rsidR="0087721B" w:rsidRDefault="0087721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AAA" w:rsidRPr="00C93AAA" w:rsidRDefault="00C93AAA" w:rsidP="0087721B">
    <w:pPr>
      <w:pStyle w:val="Footer"/>
      <w:framePr w:wrap="around" w:vAnchor="text" w:hAnchor="margin" w:xAlign="center" w:y="1"/>
      <w:rPr>
        <w:rStyle w:val="PageNumber"/>
        <w:b w:val="0"/>
      </w:rPr>
    </w:pPr>
    <w:r>
      <w:rPr>
        <w:rStyle w:val="PageNumber"/>
        <w:b w:val="0"/>
      </w:rPr>
      <w:t>AP</w:t>
    </w:r>
    <w:r w:rsidR="00C61EF3">
      <w:rPr>
        <w:rStyle w:val="PageNumber"/>
        <w:b w:val="0"/>
      </w:rPr>
      <w:t>2.</w:t>
    </w:r>
    <w:r>
      <w:rPr>
        <w:rStyle w:val="PageNumber"/>
        <w:b w:val="0"/>
      </w:rPr>
      <w:t>4-</w:t>
    </w:r>
    <w:r w:rsidR="0095141C" w:rsidRPr="00C93AAA">
      <w:rPr>
        <w:rStyle w:val="PageNumber"/>
        <w:b w:val="0"/>
      </w:rPr>
      <w:fldChar w:fldCharType="begin"/>
    </w:r>
    <w:r w:rsidRPr="00C93AAA">
      <w:rPr>
        <w:rStyle w:val="PageNumber"/>
        <w:b w:val="0"/>
      </w:rPr>
      <w:instrText xml:space="preserve">PAGE  </w:instrText>
    </w:r>
    <w:r w:rsidR="0095141C" w:rsidRPr="00C93AAA">
      <w:rPr>
        <w:rStyle w:val="PageNumber"/>
        <w:b w:val="0"/>
      </w:rPr>
      <w:fldChar w:fldCharType="separate"/>
    </w:r>
    <w:r w:rsidR="009C7DE3">
      <w:rPr>
        <w:rStyle w:val="PageNumber"/>
        <w:b w:val="0"/>
        <w:noProof/>
      </w:rPr>
      <w:t>4</w:t>
    </w:r>
    <w:r w:rsidR="0095141C" w:rsidRPr="00C93AAA">
      <w:rPr>
        <w:rStyle w:val="PageNumber"/>
        <w:b w:val="0"/>
      </w:rPr>
      <w:fldChar w:fldCharType="end"/>
    </w:r>
  </w:p>
  <w:p w:rsidR="0087721B" w:rsidRPr="00C93AAA" w:rsidRDefault="00C93AAA" w:rsidP="00C93AAA">
    <w:pPr>
      <w:pStyle w:val="Foote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 xml:space="preserve">APPENDIX </w:t>
    </w:r>
    <w:r w:rsidR="00C61EF3">
      <w:t>2.</w:t>
    </w:r>
    <w: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791" w:rsidRDefault="00D43791">
      <w:r>
        <w:separator/>
      </w:r>
    </w:p>
  </w:footnote>
  <w:footnote w:type="continuationSeparator" w:id="0">
    <w:p w:rsidR="00D43791" w:rsidRDefault="00D43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21B" w:rsidRDefault="0087721B">
    <w:pPr>
      <w:pStyle w:val="Header"/>
      <w:jc w:val="left"/>
      <w:rPr>
        <w:b/>
        <w:bCs/>
        <w:iCs/>
        <w:u w:val="none"/>
      </w:rPr>
    </w:pPr>
    <w:r>
      <w:rPr>
        <w:b/>
        <w:bCs/>
        <w:iCs/>
        <w:u w:val="none"/>
      </w:rPr>
      <w:t>DoD 4000.25-8-M</w:t>
    </w:r>
  </w:p>
  <w:p w:rsidR="0087721B" w:rsidRDefault="0087721B">
    <w:pPr>
      <w:pStyle w:val="Header"/>
      <w:jc w:val="left"/>
      <w:rPr>
        <w:u w:val="none"/>
      </w:rPr>
    </w:pPr>
    <w:r>
      <w:rPr>
        <w:b/>
        <w:bCs/>
        <w:u w:val="none"/>
      </w:rPr>
      <w:t>11 MARCH 1997</w:t>
    </w:r>
  </w:p>
  <w:p w:rsidR="0087721B" w:rsidRDefault="0087721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B98" w:rsidRPr="008F00ED" w:rsidRDefault="00461B98" w:rsidP="00461B98">
    <w:pPr>
      <w:pStyle w:val="Header"/>
      <w:jc w:val="right"/>
      <w:rPr>
        <w:rFonts w:cs="Arial"/>
        <w:u w:val="none"/>
      </w:rPr>
    </w:pPr>
    <w:r w:rsidRPr="008F00ED">
      <w:rPr>
        <w:rFonts w:cs="Arial"/>
        <w:u w:val="none"/>
      </w:rPr>
      <w:t>DLM 4000.25, Volume 6, June 5, 2012</w:t>
    </w:r>
  </w:p>
  <w:p w:rsidR="0087721B" w:rsidRPr="00461B98" w:rsidRDefault="0087721B" w:rsidP="00461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D88BC1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B7C8DC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8A70522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52C0277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8FC4BDC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5210978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F032447E"/>
    <w:lvl w:ilvl="0">
      <w:start w:val="4"/>
      <w:numFmt w:val="decimal"/>
      <w:pStyle w:val="Heading1"/>
      <w:suff w:val="nothing"/>
      <w:lvlText w:val="AP1.%1 APPENDIX 1.4 "/>
      <w:lvlJc w:val="left"/>
      <w:pPr>
        <w:ind w:left="0" w:firstLine="0"/>
      </w:pPr>
      <w:rPr>
        <w:rFonts w:ascii="Arial" w:hAnsi="Arial" w:hint="default"/>
        <w:b/>
        <w:i w:val="0"/>
        <w:sz w:val="48"/>
        <w:u w:val="single"/>
      </w:rPr>
    </w:lvl>
    <w:lvl w:ilvl="1">
      <w:start w:val="1"/>
      <w:numFmt w:val="decimal"/>
      <w:pStyle w:val="Heading2"/>
      <w:suff w:val="nothing"/>
      <w:lvlText w:val="AP%1.%2  "/>
      <w:lvlJc w:val="left"/>
      <w:pPr>
        <w:ind w:left="0" w:firstLine="0"/>
      </w:pPr>
      <w:rPr>
        <w:rFonts w:hint="default"/>
        <w:b/>
        <w:i w:val="0"/>
      </w:rPr>
    </w:lvl>
    <w:lvl w:ilvl="2">
      <w:start w:val="1"/>
      <w:numFmt w:val="decimal"/>
      <w:pStyle w:val="Heading3"/>
      <w:suff w:val="nothing"/>
      <w:lvlText w:val="AP%1.%2.%3  "/>
      <w:lvlJc w:val="left"/>
      <w:pPr>
        <w:ind w:left="0" w:firstLine="0"/>
      </w:pPr>
      <w:rPr>
        <w:rFonts w:hint="default"/>
        <w:b/>
        <w:i w:val="0"/>
      </w:rPr>
    </w:lvl>
    <w:lvl w:ilvl="3">
      <w:start w:val="1"/>
      <w:numFmt w:val="decimal"/>
      <w:pStyle w:val="Heading4"/>
      <w:suff w:val="nothing"/>
      <w:lvlText w:val="AP%1.%2.%3.%4  "/>
      <w:lvlJc w:val="left"/>
      <w:pPr>
        <w:ind w:left="0" w:firstLine="0"/>
      </w:pPr>
      <w:rPr>
        <w:rFonts w:ascii="Arial" w:hAnsi="Arial" w:hint="default"/>
        <w:b/>
        <w:i w:val="0"/>
        <w:sz w:val="24"/>
      </w:rPr>
    </w:lvl>
    <w:lvl w:ilvl="4">
      <w:start w:val="1"/>
      <w:numFmt w:val="decimal"/>
      <w:pStyle w:val="Heading5"/>
      <w:suff w:val="nothing"/>
      <w:lvlText w:val="AP%1.%2.%3.%4.%5  "/>
      <w:lvlJc w:val="left"/>
      <w:pPr>
        <w:ind w:left="0" w:firstLine="0"/>
      </w:pPr>
      <w:rPr>
        <w:rFonts w:hint="default"/>
        <w:b/>
        <w:i w:val="0"/>
      </w:rPr>
    </w:lvl>
    <w:lvl w:ilvl="5">
      <w:start w:val="1"/>
      <w:numFmt w:val="decimal"/>
      <w:pStyle w:val="Heading6"/>
      <w:suff w:val="nothing"/>
      <w:lvlText w:val="AP%1.%2.%3.%4.%5.%6  "/>
      <w:lvlJc w:val="left"/>
      <w:pPr>
        <w:ind w:left="0" w:firstLine="0"/>
      </w:pPr>
      <w:rPr>
        <w:rFonts w:ascii="Arial" w:hAnsi="Arial" w:hint="default"/>
        <w:b/>
        <w:i w:val="0"/>
        <w:sz w:val="24"/>
      </w:rPr>
    </w:lvl>
    <w:lvl w:ilvl="6">
      <w:start w:val="1"/>
      <w:numFmt w:val="decimal"/>
      <w:pStyle w:val="Heading7"/>
      <w:suff w:val="nothing"/>
      <w:lvlText w:val="AP%1.%2.%3.%4.%5.%6.%7  "/>
      <w:lvlJc w:val="left"/>
      <w:pPr>
        <w:ind w:left="0" w:firstLine="0"/>
      </w:pPr>
      <w:rPr>
        <w:rFonts w:hint="default"/>
        <w:b/>
        <w:i w:val="0"/>
      </w:rPr>
    </w:lvl>
    <w:lvl w:ilvl="7">
      <w:start w:val="1"/>
      <w:numFmt w:val="decimal"/>
      <w:pStyle w:val="Heading8"/>
      <w:suff w:val="nothing"/>
      <w:lvlText w:val="AP%1.%2.%3.%4.%5.%6.%7.%8  "/>
      <w:lvlJc w:val="left"/>
      <w:pPr>
        <w:ind w:left="0" w:firstLine="0"/>
      </w:pPr>
      <w:rPr>
        <w:rFonts w:hint="default"/>
        <w:b/>
        <w:i w:val="0"/>
      </w:rPr>
    </w:lvl>
    <w:lvl w:ilvl="8">
      <w:start w:val="1"/>
      <w:numFmt w:val="decimal"/>
      <w:pStyle w:val="Codes"/>
      <w:suff w:val="nothing"/>
      <w:lvlText w:val="AP%1.%2.%3.%4.%5.%6.%7.%8.%9  "/>
      <w:lvlJc w:val="left"/>
      <w:pPr>
        <w:ind w:left="0" w:firstLine="0"/>
      </w:pPr>
      <w:rPr>
        <w:rFonts w:hint="default"/>
        <w:b/>
        <w:i w:val="0"/>
      </w:rPr>
    </w:lvl>
  </w:abstractNum>
  <w:abstractNum w:abstractNumId="7"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7"/>
  </w:num>
  <w:num w:numId="3">
    <w:abstractNumId w:val="5"/>
  </w:num>
  <w:num w:numId="4">
    <w:abstractNumId w:val="3"/>
  </w:num>
  <w:num w:numId="5">
    <w:abstractNumId w:val="2"/>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93AAA"/>
    <w:rsid w:val="00083FDE"/>
    <w:rsid w:val="00137A53"/>
    <w:rsid w:val="00211A83"/>
    <w:rsid w:val="00301B00"/>
    <w:rsid w:val="00461B98"/>
    <w:rsid w:val="00481537"/>
    <w:rsid w:val="004E4896"/>
    <w:rsid w:val="006C4D24"/>
    <w:rsid w:val="00717CF2"/>
    <w:rsid w:val="00765013"/>
    <w:rsid w:val="007E48F8"/>
    <w:rsid w:val="0087721B"/>
    <w:rsid w:val="0095141C"/>
    <w:rsid w:val="009C04B9"/>
    <w:rsid w:val="009C7DE3"/>
    <w:rsid w:val="00B675B8"/>
    <w:rsid w:val="00BF6989"/>
    <w:rsid w:val="00C076A9"/>
    <w:rsid w:val="00C61EF3"/>
    <w:rsid w:val="00C93AAA"/>
    <w:rsid w:val="00CB2AE0"/>
    <w:rsid w:val="00CC4B43"/>
    <w:rsid w:val="00D40449"/>
    <w:rsid w:val="00D43791"/>
    <w:rsid w:val="00FA4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4A98D1-B6DA-4159-B936-D18BF4916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5B8"/>
    <w:rPr>
      <w:rFonts w:ascii="Arial" w:hAnsi="Arial"/>
      <w:sz w:val="24"/>
    </w:rPr>
  </w:style>
  <w:style w:type="paragraph" w:styleId="Heading1">
    <w:name w:val="heading 1"/>
    <w:basedOn w:val="Normal"/>
    <w:next w:val="Heading2"/>
    <w:qFormat/>
    <w:rsid w:val="00B675B8"/>
    <w:pPr>
      <w:numPr>
        <w:numId w:val="1"/>
      </w:numPr>
      <w:spacing w:before="60" w:after="120"/>
      <w:outlineLvl w:val="0"/>
    </w:pPr>
    <w:rPr>
      <w:b/>
      <w:caps/>
      <w:sz w:val="28"/>
    </w:rPr>
  </w:style>
  <w:style w:type="paragraph" w:styleId="Heading2">
    <w:name w:val="heading 2"/>
    <w:basedOn w:val="Normal"/>
    <w:qFormat/>
    <w:rsid w:val="00B675B8"/>
    <w:pPr>
      <w:numPr>
        <w:ilvl w:val="1"/>
        <w:numId w:val="1"/>
      </w:numPr>
      <w:spacing w:before="60" w:after="120"/>
      <w:outlineLvl w:val="1"/>
    </w:pPr>
  </w:style>
  <w:style w:type="paragraph" w:styleId="Heading3">
    <w:name w:val="heading 3"/>
    <w:basedOn w:val="Normal"/>
    <w:qFormat/>
    <w:rsid w:val="00B675B8"/>
    <w:pPr>
      <w:numPr>
        <w:ilvl w:val="2"/>
        <w:numId w:val="1"/>
      </w:numPr>
      <w:tabs>
        <w:tab w:val="left" w:pos="1530"/>
      </w:tabs>
      <w:spacing w:before="60" w:after="120"/>
      <w:outlineLvl w:val="2"/>
    </w:pPr>
  </w:style>
  <w:style w:type="paragraph" w:styleId="Heading4">
    <w:name w:val="heading 4"/>
    <w:basedOn w:val="Normal"/>
    <w:qFormat/>
    <w:rsid w:val="00B675B8"/>
    <w:pPr>
      <w:numPr>
        <w:ilvl w:val="3"/>
        <w:numId w:val="1"/>
      </w:numPr>
      <w:spacing w:before="60" w:after="120"/>
      <w:outlineLvl w:val="3"/>
    </w:pPr>
  </w:style>
  <w:style w:type="paragraph" w:styleId="Heading5">
    <w:name w:val="heading 5"/>
    <w:basedOn w:val="Normal"/>
    <w:qFormat/>
    <w:rsid w:val="00B675B8"/>
    <w:pPr>
      <w:numPr>
        <w:ilvl w:val="4"/>
        <w:numId w:val="1"/>
      </w:numPr>
      <w:spacing w:before="60" w:after="120"/>
      <w:outlineLvl w:val="4"/>
    </w:pPr>
  </w:style>
  <w:style w:type="paragraph" w:styleId="Heading6">
    <w:name w:val="heading 6"/>
    <w:basedOn w:val="Normal"/>
    <w:qFormat/>
    <w:rsid w:val="00B675B8"/>
    <w:pPr>
      <w:numPr>
        <w:ilvl w:val="5"/>
        <w:numId w:val="1"/>
      </w:numPr>
      <w:tabs>
        <w:tab w:val="left" w:pos="3150"/>
      </w:tabs>
      <w:spacing w:before="60" w:after="120"/>
      <w:outlineLvl w:val="5"/>
    </w:pPr>
  </w:style>
  <w:style w:type="paragraph" w:styleId="Heading7">
    <w:name w:val="heading 7"/>
    <w:basedOn w:val="Normal"/>
    <w:qFormat/>
    <w:rsid w:val="00B675B8"/>
    <w:pPr>
      <w:numPr>
        <w:ilvl w:val="6"/>
        <w:numId w:val="1"/>
      </w:numPr>
      <w:spacing w:before="60" w:after="120"/>
      <w:outlineLvl w:val="6"/>
    </w:pPr>
  </w:style>
  <w:style w:type="paragraph" w:styleId="Heading8">
    <w:name w:val="heading 8"/>
    <w:basedOn w:val="Normal"/>
    <w:next w:val="Heading9"/>
    <w:qFormat/>
    <w:rsid w:val="00B675B8"/>
    <w:pPr>
      <w:numPr>
        <w:ilvl w:val="7"/>
        <w:numId w:val="1"/>
      </w:numPr>
      <w:spacing w:before="60" w:after="120"/>
      <w:outlineLvl w:val="7"/>
    </w:pPr>
  </w:style>
  <w:style w:type="paragraph" w:styleId="Heading9">
    <w:name w:val="heading 9"/>
    <w:basedOn w:val="Normal"/>
    <w:qFormat/>
    <w:rsid w:val="00B675B8"/>
    <w:p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B675B8"/>
    <w:rPr>
      <w:vertAlign w:val="superscript"/>
    </w:rPr>
  </w:style>
  <w:style w:type="character" w:styleId="FootnoteReference">
    <w:name w:val="footnote reference"/>
    <w:basedOn w:val="DefaultParagraphFont"/>
    <w:semiHidden/>
    <w:rsid w:val="00B675B8"/>
    <w:rPr>
      <w:vertAlign w:val="superscript"/>
    </w:rPr>
  </w:style>
  <w:style w:type="character" w:styleId="PageNumber">
    <w:name w:val="page number"/>
    <w:basedOn w:val="DefaultParagraphFont"/>
    <w:rsid w:val="00B675B8"/>
    <w:rPr>
      <w:rFonts w:ascii="Arial" w:hAnsi="Arial"/>
      <w:b/>
      <w:sz w:val="24"/>
    </w:rPr>
  </w:style>
  <w:style w:type="paragraph" w:styleId="Footer">
    <w:name w:val="footer"/>
    <w:basedOn w:val="Normal"/>
    <w:rsid w:val="00B675B8"/>
    <w:pPr>
      <w:tabs>
        <w:tab w:val="center" w:pos="4320"/>
        <w:tab w:val="right" w:pos="8640"/>
      </w:tabs>
    </w:pPr>
  </w:style>
  <w:style w:type="paragraph" w:styleId="Header">
    <w:name w:val="header"/>
    <w:basedOn w:val="Normal"/>
    <w:link w:val="HeaderChar"/>
    <w:rsid w:val="00B675B8"/>
    <w:pPr>
      <w:tabs>
        <w:tab w:val="center" w:pos="4320"/>
        <w:tab w:val="right" w:pos="8640"/>
      </w:tabs>
      <w:jc w:val="center"/>
    </w:pPr>
    <w:rPr>
      <w:u w:val="single"/>
    </w:rPr>
  </w:style>
  <w:style w:type="paragraph" w:styleId="FootnoteText">
    <w:name w:val="footnote text"/>
    <w:basedOn w:val="Normal"/>
    <w:semiHidden/>
    <w:rsid w:val="00B675B8"/>
    <w:rPr>
      <w:sz w:val="20"/>
    </w:rPr>
  </w:style>
  <w:style w:type="paragraph" w:customStyle="1" w:styleId="SubTitle">
    <w:name w:val="Sub Title"/>
    <w:basedOn w:val="Title"/>
    <w:rsid w:val="00B675B8"/>
    <w:rPr>
      <w:u w:val="single"/>
    </w:rPr>
  </w:style>
  <w:style w:type="paragraph" w:styleId="Title">
    <w:name w:val="Title"/>
    <w:basedOn w:val="Normal"/>
    <w:next w:val="Header"/>
    <w:qFormat/>
    <w:rsid w:val="00B675B8"/>
    <w:pPr>
      <w:spacing w:after="240"/>
      <w:jc w:val="center"/>
    </w:pPr>
    <w:rPr>
      <w:b/>
      <w:caps/>
      <w:kern w:val="28"/>
      <w:sz w:val="28"/>
    </w:rPr>
  </w:style>
  <w:style w:type="paragraph" w:styleId="Subtitle0">
    <w:name w:val="Subtitle"/>
    <w:basedOn w:val="Normal"/>
    <w:qFormat/>
    <w:rsid w:val="00B675B8"/>
    <w:pPr>
      <w:spacing w:after="240"/>
      <w:jc w:val="center"/>
    </w:pPr>
    <w:rPr>
      <w:b/>
      <w:caps/>
      <w:sz w:val="28"/>
      <w:u w:val="single"/>
    </w:rPr>
  </w:style>
  <w:style w:type="paragraph" w:customStyle="1" w:styleId="BodyTextHanging">
    <w:name w:val="Body Text Hanging"/>
    <w:basedOn w:val="Normal"/>
    <w:rsid w:val="00B675B8"/>
    <w:pPr>
      <w:spacing w:after="160"/>
      <w:ind w:left="1440"/>
    </w:pPr>
  </w:style>
  <w:style w:type="paragraph" w:styleId="BodyText">
    <w:name w:val="Body Text"/>
    <w:basedOn w:val="Normal"/>
    <w:rsid w:val="00B675B8"/>
    <w:pPr>
      <w:spacing w:after="120"/>
    </w:pPr>
  </w:style>
  <w:style w:type="paragraph" w:styleId="ListBullet">
    <w:name w:val="List Bullet"/>
    <w:basedOn w:val="Normal"/>
    <w:rsid w:val="00B675B8"/>
    <w:pPr>
      <w:spacing w:after="120"/>
      <w:ind w:left="360" w:hanging="360"/>
    </w:pPr>
  </w:style>
  <w:style w:type="paragraph" w:styleId="ListBullet2">
    <w:name w:val="List Bullet 2"/>
    <w:basedOn w:val="Normal"/>
    <w:rsid w:val="00B675B8"/>
    <w:pPr>
      <w:ind w:left="720" w:hanging="360"/>
    </w:pPr>
  </w:style>
  <w:style w:type="paragraph" w:styleId="ListBullet3">
    <w:name w:val="List Bullet 3"/>
    <w:basedOn w:val="Normal"/>
    <w:rsid w:val="00B675B8"/>
    <w:pPr>
      <w:ind w:left="1080" w:hanging="360"/>
    </w:pPr>
  </w:style>
  <w:style w:type="paragraph" w:styleId="ListNumber">
    <w:name w:val="List Number"/>
    <w:basedOn w:val="Normal"/>
    <w:rsid w:val="00B675B8"/>
    <w:pPr>
      <w:ind w:left="360" w:hanging="360"/>
    </w:pPr>
  </w:style>
  <w:style w:type="paragraph" w:styleId="ListNumber2">
    <w:name w:val="List Number 2"/>
    <w:basedOn w:val="Normal"/>
    <w:rsid w:val="00B675B8"/>
    <w:pPr>
      <w:ind w:left="720" w:hanging="360"/>
    </w:pPr>
  </w:style>
  <w:style w:type="paragraph" w:styleId="ListNumber3">
    <w:name w:val="List Number 3"/>
    <w:basedOn w:val="Normal"/>
    <w:rsid w:val="00B675B8"/>
    <w:pPr>
      <w:ind w:left="1080" w:hanging="360"/>
    </w:pPr>
  </w:style>
  <w:style w:type="paragraph" w:styleId="DocumentMap">
    <w:name w:val="Document Map"/>
    <w:basedOn w:val="Normal"/>
    <w:semiHidden/>
    <w:rsid w:val="00B675B8"/>
    <w:pPr>
      <w:shd w:val="clear" w:color="auto" w:fill="000080"/>
    </w:pPr>
    <w:rPr>
      <w:rFonts w:ascii="Tahoma" w:hAnsi="Tahoma"/>
    </w:rPr>
  </w:style>
  <w:style w:type="character" w:customStyle="1" w:styleId="HeaderChar">
    <w:name w:val="Header Char"/>
    <w:basedOn w:val="DefaultParagraphFont"/>
    <w:link w:val="Header"/>
    <w:rsid w:val="00461B98"/>
    <w:rPr>
      <w:rFonts w:ascii="Arial" w:hAnsi="Arial"/>
      <w:sz w:val="24"/>
      <w:u w:val="single"/>
    </w:rPr>
  </w:style>
  <w:style w:type="paragraph" w:customStyle="1" w:styleId="Codes">
    <w:name w:val="Codes"/>
    <w:rsid w:val="00B675B8"/>
    <w:pPr>
      <w:numPr>
        <w:ilvl w:val="8"/>
        <w:numId w:val="1"/>
      </w:numPr>
    </w:pPr>
    <w:rPr>
      <w:rFonts w:ascii="Arial" w:hAnsi="Arial"/>
      <w:noProof/>
      <w:sz w:val="24"/>
    </w:rPr>
  </w:style>
  <w:style w:type="character" w:styleId="Hyperlink">
    <w:name w:val="Hyperlink"/>
    <w:rsid w:val="00C076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ppendi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080D6C-2395-462D-98AB-80DB1BC52CE7}"/>
</file>

<file path=customXml/itemProps2.xml><?xml version="1.0" encoding="utf-8"?>
<ds:datastoreItem xmlns:ds="http://schemas.openxmlformats.org/officeDocument/2006/customXml" ds:itemID="{3CC58AAA-8437-4985-B477-D122B3AED430}">
  <ds:schemaRefs>
    <ds:schemaRef ds:uri="http://schemas.microsoft.com/office/2006/metadata/properties"/>
    <ds:schemaRef ds:uri="1019005c-580f-42ae-adec-ba9490377f66"/>
    <ds:schemaRef ds:uri="http://schemas.microsoft.com/sharepoint/v4"/>
  </ds:schemaRefs>
</ds:datastoreItem>
</file>

<file path=customXml/itemProps3.xml><?xml version="1.0" encoding="utf-8"?>
<ds:datastoreItem xmlns:ds="http://schemas.openxmlformats.org/officeDocument/2006/customXml" ds:itemID="{CFAB5336-F335-4BD7-9A99-D79695C71A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Appendix.dot</Template>
  <TotalTime>14</TotalTime>
  <Pages>4</Pages>
  <Words>1490</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Type Of Address Codes (TACs)</vt:lpstr>
    </vt:vector>
  </TitlesOfParts>
  <Company>Defense Information Systems Agency</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2.4 - Type Of Address Codes (TACs)</dc:title>
  <dc:subject>Volume 1, Chapter 2, Section A</dc:subject>
  <dc:creator>Tanner, Larry</dc:creator>
  <cp:keywords/>
  <cp:lastModifiedBy>Nguyen, Bao X CTR DLA INFO OPERATIONS (US)</cp:lastModifiedBy>
  <cp:revision>16</cp:revision>
  <cp:lastPrinted>2001-02-06T17:34:00Z</cp:lastPrinted>
  <dcterms:created xsi:type="dcterms:W3CDTF">2012-06-11T16:26:00Z</dcterms:created>
  <dcterms:modified xsi:type="dcterms:W3CDTF">2017-12-15T17:08:00Z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y fmtid="{D5CDD505-2E9C-101B-9397-08002B2CF9AE}" pid="8" name="Order">
    <vt:r8>2356000</vt:r8>
  </property>
</Properties>
</file>