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5E" w:rsidRPr="003A22C4" w:rsidRDefault="003A22C4" w:rsidP="003A22C4">
      <w:pPr>
        <w:pStyle w:val="Heading1"/>
        <w:numPr>
          <w:ilvl w:val="0"/>
          <w:numId w:val="0"/>
        </w:numPr>
        <w:jc w:val="center"/>
        <w:rPr>
          <w:sz w:val="48"/>
          <w:szCs w:val="48"/>
        </w:rPr>
      </w:pPr>
      <w:bookmarkStart w:id="0" w:name="OLE_LINK1"/>
      <w:bookmarkStart w:id="1" w:name="OLE_LINK2"/>
      <w:bookmarkStart w:id="2" w:name="_GoBack"/>
      <w:r w:rsidRPr="003A22C4">
        <w:rPr>
          <w:sz w:val="48"/>
          <w:szCs w:val="48"/>
        </w:rPr>
        <w:t xml:space="preserve">APPENDIX </w:t>
      </w:r>
      <w:r w:rsidR="00D70670">
        <w:rPr>
          <w:sz w:val="48"/>
          <w:szCs w:val="48"/>
        </w:rPr>
        <w:t>2.</w:t>
      </w:r>
      <w:r w:rsidRPr="003A22C4">
        <w:rPr>
          <w:sz w:val="48"/>
          <w:szCs w:val="48"/>
        </w:rPr>
        <w:t>5</w:t>
      </w:r>
    </w:p>
    <w:bookmarkEnd w:id="0"/>
    <w:bookmarkEnd w:id="1"/>
    <w:bookmarkEnd w:id="2"/>
    <w:p w:rsidR="00721F5E" w:rsidRPr="002615B9" w:rsidRDefault="00721F5E">
      <w:pPr>
        <w:jc w:val="center"/>
        <w:rPr>
          <w:szCs w:val="24"/>
          <w:u w:val="single"/>
        </w:rPr>
      </w:pPr>
      <w:r w:rsidRPr="002615B9">
        <w:rPr>
          <w:b/>
          <w:bCs/>
          <w:sz w:val="36"/>
          <w:szCs w:val="36"/>
          <w:u w:val="single"/>
        </w:rPr>
        <w:t>DELIVERY TERM CODES (DTCs)</w:t>
      </w:r>
    </w:p>
    <w:p w:rsidR="00721F5E" w:rsidRDefault="00721F5E">
      <w:pPr>
        <w:jc w:val="center"/>
        <w:rPr>
          <w:szCs w:val="24"/>
        </w:rPr>
      </w:pPr>
    </w:p>
    <w:p w:rsidR="00721F5E" w:rsidRDefault="00721F5E">
      <w:pPr>
        <w:jc w:val="center"/>
        <w:rPr>
          <w:szCs w:val="24"/>
        </w:rPr>
      </w:pPr>
    </w:p>
    <w:tbl>
      <w:tblPr>
        <w:tblW w:w="0" w:type="auto"/>
        <w:tblInd w:w="100" w:type="dxa"/>
        <w:tblLayout w:type="fixed"/>
        <w:tblCellMar>
          <w:left w:w="100" w:type="dxa"/>
          <w:right w:w="100" w:type="dxa"/>
        </w:tblCellMar>
        <w:tblLook w:val="0000"/>
      </w:tblPr>
      <w:tblGrid>
        <w:gridCol w:w="2430"/>
        <w:gridCol w:w="1350"/>
        <w:gridCol w:w="5940"/>
      </w:tblGrid>
      <w:tr w:rsidR="00721F5E">
        <w:trPr>
          <w:cantSplit/>
        </w:trPr>
        <w:tc>
          <w:tcPr>
            <w:tcW w:w="3780" w:type="dxa"/>
            <w:gridSpan w:val="2"/>
            <w:tcBorders>
              <w:top w:val="single" w:sz="7" w:space="0" w:color="auto"/>
              <w:left w:val="single" w:sz="7" w:space="0" w:color="auto"/>
              <w:bottom w:val="nil"/>
              <w:right w:val="nil"/>
            </w:tcBorders>
            <w:vAlign w:val="bottom"/>
          </w:tcPr>
          <w:p w:rsidR="00721F5E" w:rsidRDefault="00721F5E">
            <w:pPr>
              <w:spacing w:before="100"/>
              <w:rPr>
                <w:rFonts w:ascii="Arial Narrow" w:hAnsi="Arial Narrow" w:cs="Arial"/>
                <w:sz w:val="20"/>
                <w:szCs w:val="24"/>
              </w:rPr>
            </w:pPr>
            <w:r>
              <w:rPr>
                <w:rFonts w:ascii="Arial Narrow" w:hAnsi="Arial Narrow"/>
                <w:b/>
                <w:bCs/>
                <w:sz w:val="20"/>
                <w:szCs w:val="24"/>
              </w:rPr>
              <w:t>NUMBER OF CHARACTERS:</w:t>
            </w:r>
          </w:p>
        </w:tc>
        <w:tc>
          <w:tcPr>
            <w:tcW w:w="5940" w:type="dxa"/>
            <w:tcBorders>
              <w:top w:val="single" w:sz="7" w:space="0" w:color="auto"/>
              <w:left w:val="single" w:sz="7" w:space="0" w:color="auto"/>
              <w:bottom w:val="nil"/>
              <w:right w:val="single" w:sz="7" w:space="0" w:color="auto"/>
            </w:tcBorders>
          </w:tcPr>
          <w:p w:rsidR="00721F5E" w:rsidRDefault="00721F5E">
            <w:pPr>
              <w:spacing w:before="100" w:after="57"/>
              <w:rPr>
                <w:rFonts w:ascii="Arial Narrow" w:hAnsi="Arial Narrow" w:cs="Arial"/>
                <w:sz w:val="20"/>
                <w:szCs w:val="24"/>
              </w:rPr>
            </w:pPr>
            <w:r>
              <w:rPr>
                <w:rFonts w:ascii="Arial Narrow" w:hAnsi="Arial Narrow"/>
                <w:sz w:val="20"/>
                <w:szCs w:val="24"/>
              </w:rPr>
              <w:t>One.</w:t>
            </w:r>
          </w:p>
        </w:tc>
      </w:tr>
      <w:tr w:rsidR="00721F5E">
        <w:trPr>
          <w:cantSplit/>
        </w:trPr>
        <w:tc>
          <w:tcPr>
            <w:tcW w:w="3780" w:type="dxa"/>
            <w:gridSpan w:val="2"/>
            <w:tcBorders>
              <w:top w:val="single" w:sz="7" w:space="0" w:color="auto"/>
              <w:left w:val="single" w:sz="7" w:space="0" w:color="auto"/>
              <w:bottom w:val="nil"/>
              <w:right w:val="nil"/>
            </w:tcBorders>
            <w:vAlign w:val="bottom"/>
          </w:tcPr>
          <w:p w:rsidR="00721F5E" w:rsidRDefault="00721F5E">
            <w:pPr>
              <w:spacing w:before="100"/>
              <w:rPr>
                <w:rFonts w:ascii="Arial Narrow" w:hAnsi="Arial Narrow" w:cs="Arial"/>
                <w:sz w:val="20"/>
                <w:szCs w:val="24"/>
              </w:rPr>
            </w:pPr>
            <w:r>
              <w:rPr>
                <w:rFonts w:ascii="Arial Narrow" w:hAnsi="Arial Narrow"/>
                <w:b/>
                <w:bCs/>
                <w:sz w:val="20"/>
                <w:szCs w:val="24"/>
              </w:rPr>
              <w:t>TYPE OF CODE:</w:t>
            </w:r>
          </w:p>
        </w:tc>
        <w:tc>
          <w:tcPr>
            <w:tcW w:w="5940" w:type="dxa"/>
            <w:tcBorders>
              <w:top w:val="single" w:sz="7" w:space="0" w:color="auto"/>
              <w:left w:val="single" w:sz="7" w:space="0" w:color="auto"/>
              <w:bottom w:val="nil"/>
              <w:right w:val="single" w:sz="7" w:space="0" w:color="auto"/>
            </w:tcBorders>
          </w:tcPr>
          <w:p w:rsidR="00721F5E" w:rsidRDefault="00721F5E">
            <w:pPr>
              <w:spacing w:before="100" w:after="57"/>
              <w:rPr>
                <w:rFonts w:ascii="Arial Narrow" w:hAnsi="Arial Narrow" w:cs="Arial"/>
                <w:sz w:val="20"/>
                <w:szCs w:val="24"/>
              </w:rPr>
            </w:pPr>
            <w:r>
              <w:rPr>
                <w:rFonts w:ascii="Arial Narrow" w:hAnsi="Arial Narrow"/>
                <w:sz w:val="20"/>
                <w:szCs w:val="24"/>
              </w:rPr>
              <w:t>Alphanumeric.</w:t>
            </w:r>
          </w:p>
        </w:tc>
      </w:tr>
      <w:tr w:rsidR="00721F5E">
        <w:trPr>
          <w:cantSplit/>
        </w:trPr>
        <w:tc>
          <w:tcPr>
            <w:tcW w:w="3780" w:type="dxa"/>
            <w:gridSpan w:val="2"/>
            <w:tcBorders>
              <w:top w:val="single" w:sz="7" w:space="0" w:color="auto"/>
              <w:left w:val="single" w:sz="7" w:space="0" w:color="auto"/>
              <w:bottom w:val="nil"/>
              <w:right w:val="nil"/>
            </w:tcBorders>
            <w:vAlign w:val="bottom"/>
          </w:tcPr>
          <w:p w:rsidR="00721F5E" w:rsidRDefault="00721F5E">
            <w:pPr>
              <w:spacing w:before="100"/>
              <w:rPr>
                <w:rFonts w:ascii="Arial Narrow" w:hAnsi="Arial Narrow"/>
                <w:b/>
                <w:bCs/>
                <w:sz w:val="20"/>
                <w:szCs w:val="24"/>
              </w:rPr>
            </w:pPr>
            <w:r>
              <w:rPr>
                <w:rFonts w:ascii="Arial Narrow" w:hAnsi="Arial Narrow"/>
                <w:b/>
                <w:bCs/>
                <w:sz w:val="20"/>
                <w:szCs w:val="24"/>
              </w:rPr>
              <w:t>EXPLANATION:</w:t>
            </w:r>
          </w:p>
          <w:p w:rsidR="00721F5E" w:rsidRDefault="00721F5E">
            <w:pPr>
              <w:spacing w:after="57"/>
              <w:rPr>
                <w:rFonts w:ascii="Arial Narrow" w:hAnsi="Arial Narrow" w:cs="Arial"/>
                <w:sz w:val="20"/>
                <w:szCs w:val="24"/>
              </w:rPr>
            </w:pPr>
          </w:p>
        </w:tc>
        <w:tc>
          <w:tcPr>
            <w:tcW w:w="5940" w:type="dxa"/>
            <w:tcBorders>
              <w:top w:val="single" w:sz="7" w:space="0" w:color="auto"/>
              <w:left w:val="single" w:sz="7" w:space="0" w:color="auto"/>
              <w:bottom w:val="nil"/>
              <w:right w:val="single" w:sz="7" w:space="0" w:color="auto"/>
            </w:tcBorders>
          </w:tcPr>
          <w:p w:rsidR="00721F5E" w:rsidRDefault="00721F5E">
            <w:pPr>
              <w:spacing w:before="100" w:after="57"/>
              <w:rPr>
                <w:rFonts w:ascii="Arial Narrow" w:hAnsi="Arial Narrow" w:cs="Arial"/>
                <w:sz w:val="20"/>
                <w:szCs w:val="24"/>
              </w:rPr>
            </w:pPr>
            <w:r>
              <w:rPr>
                <w:rFonts w:ascii="Arial Narrow" w:hAnsi="Arial Narrow"/>
                <w:sz w:val="20"/>
                <w:szCs w:val="24"/>
              </w:rPr>
              <w:t>Designates DoD/purchasing country’s responsibility for transportation and handling cost.</w:t>
            </w:r>
          </w:p>
        </w:tc>
      </w:tr>
      <w:tr w:rsidR="00721F5E">
        <w:trPr>
          <w:cantSplit/>
        </w:trPr>
        <w:tc>
          <w:tcPr>
            <w:tcW w:w="9720" w:type="dxa"/>
            <w:gridSpan w:val="3"/>
            <w:tcBorders>
              <w:top w:val="single" w:sz="7" w:space="0" w:color="auto"/>
              <w:left w:val="single" w:sz="7" w:space="0" w:color="auto"/>
              <w:bottom w:val="nil"/>
              <w:right w:val="single" w:sz="7" w:space="0" w:color="auto"/>
            </w:tcBorders>
            <w:vAlign w:val="bottom"/>
          </w:tcPr>
          <w:p w:rsidR="00721F5E" w:rsidRDefault="00721F5E">
            <w:pPr>
              <w:spacing w:before="100" w:after="57"/>
              <w:rPr>
                <w:rFonts w:ascii="Arial Narrow" w:hAnsi="Arial Narrow" w:cs="Arial"/>
                <w:sz w:val="20"/>
                <w:szCs w:val="24"/>
              </w:rPr>
            </w:pPr>
            <w:r>
              <w:rPr>
                <w:rFonts w:ascii="Arial Narrow" w:hAnsi="Arial Narrow"/>
                <w:sz w:val="20"/>
                <w:szCs w:val="24"/>
              </w:rPr>
              <w:tab/>
              <w:t>a.  Detailed explanation of DoD responsibility for CONUS originated FMS shipments.</w:t>
            </w:r>
          </w:p>
        </w:tc>
      </w:tr>
      <w:tr w:rsidR="00721F5E">
        <w:tblPrEx>
          <w:tblCellMar>
            <w:left w:w="124" w:type="dxa"/>
            <w:right w:w="124" w:type="dxa"/>
          </w:tblCellMar>
        </w:tblPrEx>
        <w:trPr>
          <w:cantSplit/>
          <w:tblHeader/>
        </w:trPr>
        <w:tc>
          <w:tcPr>
            <w:tcW w:w="2430" w:type="dxa"/>
            <w:tcBorders>
              <w:top w:val="single" w:sz="7" w:space="0" w:color="auto"/>
              <w:left w:val="single" w:sz="7" w:space="0" w:color="auto"/>
              <w:bottom w:val="nil"/>
              <w:right w:val="nil"/>
            </w:tcBorders>
            <w:vAlign w:val="bottom"/>
          </w:tcPr>
          <w:p w:rsidR="00721F5E" w:rsidRDefault="00721F5E">
            <w:pPr>
              <w:tabs>
                <w:tab w:val="left" w:pos="-1200"/>
                <w:tab w:val="left" w:pos="-720"/>
                <w:tab w:val="left" w:pos="0"/>
                <w:tab w:val="left" w:pos="69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56"/>
              <w:jc w:val="center"/>
              <w:rPr>
                <w:rFonts w:ascii="Arial Narrow" w:hAnsi="Arial Narrow" w:cs="Arial"/>
                <w:sz w:val="20"/>
                <w:szCs w:val="24"/>
              </w:rPr>
            </w:pPr>
            <w:r>
              <w:rPr>
                <w:rFonts w:ascii="Arial Narrow" w:hAnsi="Arial Narrow"/>
                <w:b/>
                <w:bCs/>
                <w:sz w:val="20"/>
                <w:szCs w:val="24"/>
              </w:rPr>
              <w:t>DTC</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tabs>
                <w:tab w:val="left" w:pos="-1200"/>
                <w:tab w:val="left" w:pos="-720"/>
                <w:tab w:val="left" w:pos="0"/>
                <w:tab w:val="left" w:pos="69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56"/>
              <w:jc w:val="center"/>
              <w:rPr>
                <w:rFonts w:ascii="Arial Narrow" w:hAnsi="Arial Narrow" w:cs="Arial"/>
                <w:sz w:val="20"/>
                <w:szCs w:val="24"/>
              </w:rPr>
            </w:pPr>
            <w:r>
              <w:rPr>
                <w:rFonts w:ascii="Arial Narrow" w:hAnsi="Arial Narrow"/>
                <w:b/>
                <w:bCs/>
                <w:sz w:val="20"/>
                <w:szCs w:val="24"/>
              </w:rPr>
              <w:t xml:space="preserve">EXPLANATION </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2</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Delivery to an inland destination with origin and destination in CONUS or origin and destination in the same overseas geographic area.  The DoD is responsible for transportation to the specified destination at which the customer is responsible for unloading, accepting custody, and subsequent onward movement.  Expenses to DoD for accessorial costs are reimbursable.  This code, which has limited use, is normally associated with shipments such as training items sent to DoD Activities foreign officers or excess materiel of one country filling a requirement of another country in the same geographic area.</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3</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Delivery to a point alongside vessel or aircraft at the POE (FAS), port of embarkation (FAS POE).  The DoD is responsible for transportation to a point within reach of the ship’s tackle or alongside the vessel/aircraft.  The customer is responsible for loading aboard the vessel/aircraft and subsequent onward movement.  Expenses to DoD for accessorial costs are reimbursable.  This code has limited use.</w:t>
            </w:r>
          </w:p>
        </w:tc>
      </w:tr>
      <w:tr w:rsidR="00721F5E">
        <w:tblPrEx>
          <w:tblCellMar>
            <w:left w:w="124" w:type="dxa"/>
            <w:right w:w="124" w:type="dxa"/>
          </w:tblCellMar>
        </w:tblPrEx>
        <w:trPr>
          <w:cantSplit/>
        </w:trPr>
        <w:tc>
          <w:tcPr>
            <w:tcW w:w="2430" w:type="dxa"/>
            <w:tcBorders>
              <w:top w:val="single" w:sz="7" w:space="0" w:color="auto"/>
              <w:left w:val="single" w:sz="7" w:space="0" w:color="auto"/>
              <w:bottom w:val="single" w:sz="8" w:space="0" w:color="auto"/>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4</w:t>
            </w:r>
          </w:p>
        </w:tc>
        <w:tc>
          <w:tcPr>
            <w:tcW w:w="7290" w:type="dxa"/>
            <w:gridSpan w:val="2"/>
            <w:tcBorders>
              <w:top w:val="single" w:sz="7" w:space="0" w:color="auto"/>
              <w:left w:val="single" w:sz="7" w:space="0" w:color="auto"/>
              <w:bottom w:val="single" w:sz="8" w:space="0" w:color="auto"/>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Delivery at the origin.  The materiel is made available to the customer at the point of origin (usually a depot, vendor’s loading dock, or a disposal activity).  The customer is responsible for all transportation and related costs.  Accordingly, the shipment is sent to a freight forwarder designated by the customer with transportation by prepaid parcel post, on a CBL prepaid by the freight forwarder, or paid for on a collect CBL.  (If a TAC 7 address is listed for the MAPAC, a CBL is issued and “billed to” that address rather than sending the shipment collect.)  This code is considered the standard code and is applied to most FMS transactions.  Offshore procurement.  Delivery at origin if customer has provided point to contact for the offshore procured items.  If no point of contact is provided, delivery will be at destination.  Contractor is responsible for movement to designated freight forwarder or country representative.</w:t>
            </w:r>
          </w:p>
        </w:tc>
      </w:tr>
      <w:tr w:rsidR="00721F5E">
        <w:tblPrEx>
          <w:tblCellMar>
            <w:left w:w="124" w:type="dxa"/>
            <w:right w:w="124" w:type="dxa"/>
          </w:tblCellMar>
        </w:tblPrEx>
        <w:trPr>
          <w:cantSplit/>
        </w:trPr>
        <w:tc>
          <w:tcPr>
            <w:tcW w:w="2430" w:type="dxa"/>
            <w:tcBorders>
              <w:top w:val="single" w:sz="8" w:space="0" w:color="auto"/>
              <w:left w:val="single" w:sz="8" w:space="0" w:color="auto"/>
              <w:bottom w:val="single" w:sz="4" w:space="0" w:color="auto"/>
              <w:right w:val="single" w:sz="8" w:space="0" w:color="auto"/>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5</w:t>
            </w:r>
          </w:p>
        </w:tc>
        <w:tc>
          <w:tcPr>
            <w:tcW w:w="7290" w:type="dxa"/>
            <w:gridSpan w:val="2"/>
            <w:tcBorders>
              <w:top w:val="single" w:sz="8" w:space="0" w:color="auto"/>
              <w:left w:val="single" w:sz="8" w:space="0" w:color="auto"/>
              <w:bottom w:val="single" w:sz="4" w:space="0" w:color="auto"/>
              <w:right w:val="single" w:sz="8"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Delivery to a POE (free on board (FOB)).  DoD is responsible for movement to the POE.  The customer is responsible for unloading the shipment from the inland carrier at the POE, delivery alongside the vessel/aircraft, and all subsequent onward movement.  Expenses to DoD for accessorial costs are reimbursable.  This code has limited use and is applied only when prior arrangements for the use of port facilities at the customer’s expense have been made.</w:t>
            </w:r>
          </w:p>
        </w:tc>
      </w:tr>
      <w:tr w:rsidR="00721F5E">
        <w:tblPrEx>
          <w:tblCellMar>
            <w:left w:w="124" w:type="dxa"/>
            <w:right w:w="124" w:type="dxa"/>
          </w:tblCellMar>
        </w:tblPrEx>
        <w:trPr>
          <w:cantSplit/>
        </w:trPr>
        <w:tc>
          <w:tcPr>
            <w:tcW w:w="2430" w:type="dxa"/>
            <w:tcBorders>
              <w:top w:val="single" w:sz="4"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lastRenderedPageBreak/>
              <w:t>6</w:t>
            </w:r>
          </w:p>
        </w:tc>
        <w:tc>
          <w:tcPr>
            <w:tcW w:w="7290" w:type="dxa"/>
            <w:gridSpan w:val="2"/>
            <w:tcBorders>
              <w:top w:val="single" w:sz="4"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Delivery to an overseas POD.  The DoD is responsible for transportation from the point of origin to the overseas POD.  The customer is responsible for discharging the vessel/aircraft, port handling, and subsequent onward movement.  Expenses to DoD for accessorial costs are reimbursable.  Shipments are made on GBLs and in the DTS (including LOGAIR, OUICKTRANS, MAC, MTMC water ports, and/or MSC).  Port handling at CONUS and overseas air terminals is provided without direct reimbursement by the customer when shipment is made under actual MAC tariff rates (which include such services).  The customer does provide reimbursement for port handling when movement costs are charged using the DoD accessorial rate.  At U.S. operated overseas water ports, handling costs are reimbursed according to local agreements between the United States and the customer; at  the overseas air and water ports, charges are paid directly by.</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the customer.  This code is the standard code for materiel that is the customer restricted from movement to a freight forwarder.  This code is normally applied to shipments of firearms, classified and explosive materiel, and in other instances specifically directed in the FMS case agreement.</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7</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 xml:space="preserve">Delivery to an inland point in the recipient country.  DoD is responsible for transportation, including </w:t>
            </w:r>
            <w:proofErr w:type="spellStart"/>
            <w:r>
              <w:rPr>
                <w:rFonts w:ascii="Arial Narrow" w:hAnsi="Arial Narrow"/>
                <w:sz w:val="20"/>
                <w:szCs w:val="24"/>
              </w:rPr>
              <w:t>transocean</w:t>
            </w:r>
            <w:proofErr w:type="spellEnd"/>
            <w:r>
              <w:rPr>
                <w:rFonts w:ascii="Arial Narrow" w:hAnsi="Arial Narrow"/>
                <w:sz w:val="20"/>
                <w:szCs w:val="24"/>
              </w:rPr>
              <w:t xml:space="preserve"> and overseas inland movement, from the point of origin, to a specified inland location.  The customer is responsible for unloading the shipment from the inland carrier at the specified location and for all subsequent onward movement.  Expenses to DoD for accessorial costs are reimbursable.  This code has limited use and normally applies to the shipment of materiel to those countries which have no seaports (e.g., Bolivia, Paraguay, Switzerland, and Austria).  The shipper provides modes and routing from the origin to the consignee location by GBL or by special arrangement with MAC, MSC, or U.S. military activities within the country for movement from the POD to the consignee location.</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8</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Delivery onboard a vessel/aircraft at the POE.  The DoD is responsible for transportation from the point of origin to the vessel at the POE including unloading from the inland carrier, port handling, and stowage aboard the vessel/aircraft.  The customer is responsible for all subsequent onward movement.  Expenses to the DoD for accessorial costs are reimbursable.  Shipments are made on GBLs.  This code is especially applicable for explosive materiel prohibited from movement by a freight forwarder, but which must move through Military-controlled port with onward movement arranged by and coordinated with the country freight forwarder.</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9</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Delivery to POD.  The DoD is responsible for transportation from the point of origin to the overseas POD, including discharge from the vessel/aircraft.  The customer is responsible for all subsequent handling and onward movement.  Expenses to the DoD for accessorial costs are reimbursable.</w:t>
            </w:r>
          </w:p>
        </w:tc>
      </w:tr>
      <w:tr w:rsidR="00721F5E">
        <w:tblPrEx>
          <w:tblCellMar>
            <w:left w:w="124" w:type="dxa"/>
            <w:right w:w="124" w:type="dxa"/>
          </w:tblCellMar>
        </w:tblPrEx>
        <w:trPr>
          <w:cantSplit/>
        </w:trPr>
        <w:tc>
          <w:tcPr>
            <w:tcW w:w="9720" w:type="dxa"/>
            <w:gridSpan w:val="3"/>
            <w:tcBorders>
              <w:top w:val="single" w:sz="7" w:space="0" w:color="auto"/>
              <w:left w:val="single" w:sz="7" w:space="0" w:color="auto"/>
              <w:bottom w:val="nil"/>
              <w:right w:val="single" w:sz="7" w:space="0" w:color="auto"/>
            </w:tcBorders>
            <w:vAlign w:val="bottom"/>
          </w:tcPr>
          <w:p w:rsidR="00721F5E" w:rsidRDefault="00721F5E">
            <w:pPr>
              <w:tabs>
                <w:tab w:val="left" w:pos="-1200"/>
                <w:tab w:val="left" w:pos="-720"/>
                <w:tab w:val="left" w:pos="0"/>
                <w:tab w:val="left" w:pos="69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56"/>
              <w:rPr>
                <w:rFonts w:ascii="Arial Narrow" w:hAnsi="Arial Narrow" w:cs="Arial"/>
                <w:sz w:val="20"/>
                <w:szCs w:val="24"/>
              </w:rPr>
            </w:pPr>
            <w:r>
              <w:rPr>
                <w:rFonts w:ascii="Arial Narrow" w:hAnsi="Arial Narrow"/>
                <w:sz w:val="20"/>
                <w:szCs w:val="24"/>
              </w:rPr>
              <w:tab/>
              <w:t>b.  Detailed explanation of DoD responsibility for FMS repair and return shipments originating from and returning to overseas.</w:t>
            </w:r>
          </w:p>
        </w:tc>
      </w:tr>
      <w:tr w:rsidR="00721F5E">
        <w:tblPrEx>
          <w:tblCellMar>
            <w:left w:w="124" w:type="dxa"/>
            <w:right w:w="124" w:type="dxa"/>
          </w:tblCellMar>
        </w:tblPrEx>
        <w:trPr>
          <w:cantSplit/>
        </w:trPr>
        <w:tc>
          <w:tcPr>
            <w:tcW w:w="2430" w:type="dxa"/>
            <w:tcBorders>
              <w:top w:val="single" w:sz="7" w:space="0" w:color="auto"/>
              <w:left w:val="single" w:sz="7" w:space="0" w:color="auto"/>
              <w:bottom w:val="single" w:sz="8" w:space="0" w:color="auto"/>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A</w:t>
            </w:r>
          </w:p>
        </w:tc>
        <w:tc>
          <w:tcPr>
            <w:tcW w:w="7290" w:type="dxa"/>
            <w:gridSpan w:val="2"/>
            <w:tcBorders>
              <w:top w:val="single" w:sz="7" w:space="0" w:color="auto"/>
              <w:left w:val="single" w:sz="7" w:space="0" w:color="auto"/>
              <w:bottom w:val="single" w:sz="8" w:space="0" w:color="auto"/>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The DoD is responsible for transportation from a designated overseas POE to a CONUS destination and subsequent return to a designated overseas POD.  The customer is responsible for overseas inland transportation of materiel to and from the overseas POE/POD and overseas port handling.</w:t>
            </w:r>
          </w:p>
        </w:tc>
      </w:tr>
      <w:tr w:rsidR="00721F5E">
        <w:tblPrEx>
          <w:tblCellMar>
            <w:left w:w="124" w:type="dxa"/>
            <w:right w:w="124" w:type="dxa"/>
          </w:tblCellMar>
        </w:tblPrEx>
        <w:trPr>
          <w:cantSplit/>
        </w:trPr>
        <w:tc>
          <w:tcPr>
            <w:tcW w:w="2430" w:type="dxa"/>
            <w:tcBorders>
              <w:top w:val="single" w:sz="8" w:space="0" w:color="auto"/>
              <w:left w:val="single" w:sz="8" w:space="0" w:color="auto"/>
              <w:bottom w:val="single" w:sz="4" w:space="0" w:color="auto"/>
              <w:right w:val="single" w:sz="8" w:space="0" w:color="auto"/>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B</w:t>
            </w:r>
          </w:p>
        </w:tc>
        <w:tc>
          <w:tcPr>
            <w:tcW w:w="7290" w:type="dxa"/>
            <w:gridSpan w:val="2"/>
            <w:tcBorders>
              <w:top w:val="single" w:sz="8" w:space="0" w:color="auto"/>
              <w:left w:val="single" w:sz="8" w:space="0" w:color="auto"/>
              <w:bottom w:val="single" w:sz="4" w:space="0" w:color="auto"/>
              <w:right w:val="single" w:sz="8"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The DoD is responsible for transportation from a designated overseas POE to a CONUS destination, return to a CONUS POE, and CONUS port handling.  The customer is responsible for overseas inland transportation to the overseas POE, overseas port loading, and all return transportation from the CONUS POE to ultimate destination.</w:t>
            </w:r>
          </w:p>
        </w:tc>
      </w:tr>
      <w:tr w:rsidR="00721F5E">
        <w:tblPrEx>
          <w:tblCellMar>
            <w:left w:w="124" w:type="dxa"/>
            <w:right w:w="124" w:type="dxa"/>
          </w:tblCellMar>
        </w:tblPrEx>
        <w:trPr>
          <w:cantSplit/>
        </w:trPr>
        <w:tc>
          <w:tcPr>
            <w:tcW w:w="2430" w:type="dxa"/>
            <w:tcBorders>
              <w:top w:val="single" w:sz="4"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lastRenderedPageBreak/>
              <w:t>C</w:t>
            </w:r>
          </w:p>
        </w:tc>
        <w:tc>
          <w:tcPr>
            <w:tcW w:w="7290" w:type="dxa"/>
            <w:gridSpan w:val="2"/>
            <w:tcBorders>
              <w:top w:val="single" w:sz="4"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The DoD is responsible for CONUS port unloading from the customer arranged carrier, transportation to and from a designated CONUS destination, and CONUS port loading of a customer arranged carrier.  The customer is responsible for movement of materiel to and from the CONUS POD/POE.</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D</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The DoD is responsible for CONUS port unloading from the customer arranged carrier, transportation to a CONUS destination, and return to an overseas designated POD.  The customer country is responsible for transportation to a CONUS POD, overseas port unloading, and overseas inland transportation to ultimate destination.</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E</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The customer is responsible for all transportation from overseas point of origin to the CONUS destination and return to an overseas destination.</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F</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 xml:space="preserve">The DoD is responsible for transportation from an overseas inland location to an overseas POE, overseas port handling, transportation to a CONUS POE, CONUS port handling, inland transportation to a designated </w:t>
            </w:r>
            <w:proofErr w:type="spellStart"/>
            <w:r>
              <w:rPr>
                <w:rFonts w:ascii="Arial Narrow" w:hAnsi="Arial Narrow"/>
                <w:sz w:val="20"/>
                <w:szCs w:val="24"/>
              </w:rPr>
              <w:t>conus</w:t>
            </w:r>
            <w:proofErr w:type="spellEnd"/>
            <w:r>
              <w:rPr>
                <w:rFonts w:ascii="Arial Narrow" w:hAnsi="Arial Narrow"/>
                <w:sz w:val="20"/>
                <w:szCs w:val="24"/>
              </w:rPr>
              <w:t xml:space="preserve"> destination, and return to an overseas destination.</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G</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The DoD is responsible for overseas port handling through an overseas POE, transportation to a CONUS POD, CONUS port handling, inland transportation to a CONUS destination, return to an overseas POD and overseas port handling.  Customer country is responsible for overseas inland transportation to and from the overseas POE/POD.</w:t>
            </w:r>
          </w:p>
        </w:tc>
      </w:tr>
      <w:tr w:rsidR="00721F5E">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H</w:t>
            </w:r>
          </w:p>
        </w:tc>
        <w:tc>
          <w:tcPr>
            <w:tcW w:w="7290" w:type="dxa"/>
            <w:gridSpan w:val="2"/>
            <w:tcBorders>
              <w:top w:val="single" w:sz="7" w:space="0" w:color="auto"/>
              <w:left w:val="single" w:sz="7" w:space="0" w:color="auto"/>
              <w:bottom w:val="nil"/>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 xml:space="preserve">The customer is responsible for all transportation from the overseas point of origin to the CONUS destination.  The DoD is responsible for return transportation form the CONUS activity to the CONUS POE.  The customer is responsible for return CONUS port handling and all transportation to the overseas destination.  This code is required for return, repair or exchange, and reshipment of classified </w:t>
            </w:r>
            <w:proofErr w:type="spellStart"/>
            <w:r>
              <w:rPr>
                <w:rFonts w:ascii="Arial Narrow" w:hAnsi="Arial Narrow"/>
                <w:sz w:val="20"/>
                <w:szCs w:val="24"/>
              </w:rPr>
              <w:t>materiels</w:t>
            </w:r>
            <w:proofErr w:type="spellEnd"/>
            <w:r>
              <w:rPr>
                <w:rFonts w:ascii="Arial Narrow" w:hAnsi="Arial Narrow"/>
                <w:sz w:val="20"/>
                <w:szCs w:val="24"/>
              </w:rPr>
              <w:t>.</w:t>
            </w:r>
          </w:p>
        </w:tc>
      </w:tr>
      <w:tr w:rsidR="00721F5E">
        <w:tblPrEx>
          <w:tblCellMar>
            <w:left w:w="124" w:type="dxa"/>
            <w:right w:w="124" w:type="dxa"/>
          </w:tblCellMar>
        </w:tblPrEx>
        <w:trPr>
          <w:cantSplit/>
        </w:trPr>
        <w:tc>
          <w:tcPr>
            <w:tcW w:w="2430" w:type="dxa"/>
            <w:tcBorders>
              <w:top w:val="single" w:sz="7" w:space="0" w:color="auto"/>
              <w:left w:val="single" w:sz="7" w:space="0" w:color="auto"/>
              <w:bottom w:val="single" w:sz="7" w:space="0" w:color="auto"/>
              <w:right w:val="nil"/>
            </w:tcBorders>
          </w:tcPr>
          <w:p w:rsidR="00721F5E" w:rsidRDefault="00721F5E">
            <w:pPr>
              <w:spacing w:before="100" w:after="56"/>
              <w:jc w:val="center"/>
              <w:rPr>
                <w:rFonts w:ascii="Arial Narrow" w:hAnsi="Arial Narrow" w:cs="Arial"/>
                <w:sz w:val="20"/>
                <w:szCs w:val="24"/>
              </w:rPr>
            </w:pPr>
            <w:r>
              <w:rPr>
                <w:rFonts w:ascii="Arial Narrow" w:hAnsi="Arial Narrow"/>
                <w:sz w:val="20"/>
                <w:szCs w:val="24"/>
              </w:rPr>
              <w:t>J</w:t>
            </w:r>
          </w:p>
        </w:tc>
        <w:tc>
          <w:tcPr>
            <w:tcW w:w="7290" w:type="dxa"/>
            <w:gridSpan w:val="2"/>
            <w:tcBorders>
              <w:top w:val="single" w:sz="7" w:space="0" w:color="auto"/>
              <w:left w:val="single" w:sz="7" w:space="0" w:color="auto"/>
              <w:bottom w:val="single" w:sz="7" w:space="0" w:color="auto"/>
              <w:right w:val="single" w:sz="7" w:space="0" w:color="auto"/>
            </w:tcBorders>
            <w:vAlign w:val="bottom"/>
          </w:tcPr>
          <w:p w:rsidR="00721F5E" w:rsidRDefault="00721F5E">
            <w:pPr>
              <w:spacing w:before="100" w:after="56"/>
              <w:rPr>
                <w:rFonts w:ascii="Arial Narrow" w:hAnsi="Arial Narrow" w:cs="Arial"/>
                <w:sz w:val="20"/>
                <w:szCs w:val="24"/>
              </w:rPr>
            </w:pPr>
            <w:r>
              <w:rPr>
                <w:rFonts w:ascii="Arial Narrow" w:hAnsi="Arial Narrow"/>
                <w:sz w:val="20"/>
                <w:szCs w:val="24"/>
              </w:rPr>
              <w:t xml:space="preserve">The customer is responsible for all transportation from the overseas point of origin to the CONUS destination.  The DoD is responsible for all transportation from the CONUS activity to the overseas destination.  This code is required for return, repair or exchange, and reshipment of classified cryptographic </w:t>
            </w:r>
            <w:proofErr w:type="spellStart"/>
            <w:r>
              <w:rPr>
                <w:rFonts w:ascii="Arial Narrow" w:hAnsi="Arial Narrow"/>
                <w:sz w:val="20"/>
                <w:szCs w:val="24"/>
              </w:rPr>
              <w:t>materiels</w:t>
            </w:r>
            <w:proofErr w:type="spellEnd"/>
            <w:r>
              <w:rPr>
                <w:rFonts w:ascii="Arial Narrow" w:hAnsi="Arial Narrow"/>
                <w:sz w:val="20"/>
                <w:szCs w:val="24"/>
              </w:rPr>
              <w:t>.</w:t>
            </w:r>
          </w:p>
        </w:tc>
      </w:tr>
    </w:tbl>
    <w:p w:rsidR="00721F5E" w:rsidRDefault="00721F5E">
      <w:pPr>
        <w:pStyle w:val="Heading2"/>
        <w:numPr>
          <w:ilvl w:val="0"/>
          <w:numId w:val="0"/>
        </w:numPr>
        <w:jc w:val="center"/>
      </w:pPr>
    </w:p>
    <w:sectPr w:rsidR="00721F5E" w:rsidSect="00331BAA">
      <w:headerReference w:type="even" r:id="rId10"/>
      <w:headerReference w:type="default" r:id="rId11"/>
      <w:footerReference w:type="even" r:id="rId12"/>
      <w:footerReference w:type="default" r:id="rId13"/>
      <w:type w:val="continuous"/>
      <w:pgSz w:w="12240" w:h="15840" w:code="1"/>
      <w:pgMar w:top="1728" w:right="1440" w:bottom="1728"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4A" w:rsidRDefault="00FE244A">
      <w:r>
        <w:separator/>
      </w:r>
    </w:p>
  </w:endnote>
  <w:endnote w:type="continuationSeparator" w:id="0">
    <w:p w:rsidR="00FE244A" w:rsidRDefault="00FE2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AA" w:rsidRDefault="001C0364" w:rsidP="00721F5E">
    <w:pPr>
      <w:pStyle w:val="Footer"/>
      <w:framePr w:wrap="around" w:vAnchor="text" w:hAnchor="margin" w:xAlign="center" w:y="1"/>
      <w:rPr>
        <w:rStyle w:val="PageNumber"/>
      </w:rPr>
    </w:pPr>
    <w:r>
      <w:rPr>
        <w:rStyle w:val="PageNumber"/>
      </w:rPr>
      <w:fldChar w:fldCharType="begin"/>
    </w:r>
    <w:r w:rsidR="00331BAA">
      <w:rPr>
        <w:rStyle w:val="PageNumber"/>
      </w:rPr>
      <w:instrText xml:space="preserve">PAGE  </w:instrText>
    </w:r>
    <w:r>
      <w:rPr>
        <w:rStyle w:val="PageNumber"/>
      </w:rPr>
      <w:fldChar w:fldCharType="separate"/>
    </w:r>
    <w:r w:rsidR="00331BAA">
      <w:rPr>
        <w:rStyle w:val="PageNumber"/>
        <w:noProof/>
      </w:rPr>
      <w:t>2</w:t>
    </w:r>
    <w:r>
      <w:rPr>
        <w:rStyle w:val="PageNumber"/>
      </w:rPr>
      <w:fldChar w:fldCharType="end"/>
    </w:r>
  </w:p>
  <w:p w:rsidR="00721F5E" w:rsidRDefault="00721F5E">
    <w:pPr>
      <w:pStyle w:val="Footer"/>
      <w:jc w:val="center"/>
      <w:rPr>
        <w:b/>
      </w:rPr>
    </w:pPr>
    <w:r>
      <w:rPr>
        <w:b/>
      </w:rPr>
      <w:t>AP1.</w:t>
    </w:r>
  </w:p>
  <w:p w:rsidR="00721F5E" w:rsidRDefault="00721F5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AA" w:rsidRPr="00331BAA" w:rsidRDefault="00BB6914" w:rsidP="00721F5E">
    <w:pPr>
      <w:pStyle w:val="Footer"/>
      <w:framePr w:wrap="around" w:vAnchor="text" w:hAnchor="margin" w:xAlign="center" w:y="1"/>
      <w:rPr>
        <w:rStyle w:val="PageNumber"/>
        <w:b w:val="0"/>
      </w:rPr>
    </w:pPr>
    <w:r>
      <w:rPr>
        <w:rStyle w:val="PageNumber"/>
        <w:b w:val="0"/>
      </w:rPr>
      <w:t>AP2</w:t>
    </w:r>
    <w:r w:rsidR="00331BAA">
      <w:rPr>
        <w:rStyle w:val="PageNumber"/>
        <w:b w:val="0"/>
      </w:rPr>
      <w:t>.5-</w:t>
    </w:r>
    <w:r w:rsidR="001C0364" w:rsidRPr="00331BAA">
      <w:rPr>
        <w:rStyle w:val="PageNumber"/>
        <w:b w:val="0"/>
      </w:rPr>
      <w:fldChar w:fldCharType="begin"/>
    </w:r>
    <w:r w:rsidR="00331BAA" w:rsidRPr="00331BAA">
      <w:rPr>
        <w:rStyle w:val="PageNumber"/>
        <w:b w:val="0"/>
      </w:rPr>
      <w:instrText xml:space="preserve">PAGE  </w:instrText>
    </w:r>
    <w:r w:rsidR="001C0364" w:rsidRPr="00331BAA">
      <w:rPr>
        <w:rStyle w:val="PageNumber"/>
        <w:b w:val="0"/>
      </w:rPr>
      <w:fldChar w:fldCharType="separate"/>
    </w:r>
    <w:r>
      <w:rPr>
        <w:rStyle w:val="PageNumber"/>
        <w:b w:val="0"/>
        <w:noProof/>
      </w:rPr>
      <w:t>1</w:t>
    </w:r>
    <w:r w:rsidR="001C0364" w:rsidRPr="00331BAA">
      <w:rPr>
        <w:rStyle w:val="PageNumber"/>
        <w:b w:val="0"/>
      </w:rPr>
      <w:fldChar w:fldCharType="end"/>
    </w:r>
  </w:p>
  <w:p w:rsidR="00721F5E" w:rsidRPr="00331BAA" w:rsidRDefault="00331BAA" w:rsidP="00331BAA">
    <w:pPr>
      <w:pStyle w:val="Foot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 xml:space="preserve">APPENDIX </w:t>
    </w:r>
    <w:r w:rsidR="00BB6914">
      <w:t>2.</w:t>
    </w:r>
    <w: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4A" w:rsidRDefault="00FE244A">
      <w:r>
        <w:separator/>
      </w:r>
    </w:p>
  </w:footnote>
  <w:footnote w:type="continuationSeparator" w:id="0">
    <w:p w:rsidR="00FE244A" w:rsidRDefault="00FE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5E" w:rsidRDefault="00721F5E">
    <w:pPr>
      <w:pStyle w:val="Header"/>
      <w:jc w:val="left"/>
      <w:rPr>
        <w:u w:val="none"/>
      </w:rPr>
    </w:pPr>
    <w:r>
      <w:rPr>
        <w:b/>
        <w:bCs/>
        <w:iCs/>
        <w:u w:val="none"/>
      </w:rPr>
      <w:t>DoD 4000.25-8-M</w:t>
    </w:r>
  </w:p>
  <w:p w:rsidR="00721F5E" w:rsidRDefault="00721F5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11 MARCH 1997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89" w:rsidRPr="008F00ED" w:rsidRDefault="00511A89" w:rsidP="00511A89">
    <w:pPr>
      <w:pStyle w:val="Header"/>
      <w:jc w:val="right"/>
      <w:rPr>
        <w:rFonts w:cs="Arial"/>
        <w:u w:val="none"/>
      </w:rPr>
    </w:pPr>
    <w:r w:rsidRPr="008F00ED">
      <w:rPr>
        <w:rFonts w:cs="Arial"/>
        <w:u w:val="none"/>
      </w:rPr>
      <w:t>DLM 4000.25, Volume 6, June 5, 2012</w:t>
    </w:r>
  </w:p>
  <w:p w:rsidR="00721F5E" w:rsidRPr="00511A89" w:rsidRDefault="00721F5E" w:rsidP="00511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D88BC12"/>
    <w:lvl w:ilvl="0">
      <w:start w:val="1"/>
      <w:numFmt w:val="decimal"/>
      <w:lvlText w:val="%1."/>
      <w:lvlJc w:val="left"/>
      <w:pPr>
        <w:tabs>
          <w:tab w:val="num" w:pos="1080"/>
        </w:tabs>
        <w:ind w:left="1080" w:hanging="360"/>
      </w:pPr>
    </w:lvl>
  </w:abstractNum>
  <w:abstractNum w:abstractNumId="1">
    <w:nsid w:val="FFFFFF7F"/>
    <w:multiLevelType w:val="singleLevel"/>
    <w:tmpl w:val="EB7C8DCC"/>
    <w:lvl w:ilvl="0">
      <w:start w:val="1"/>
      <w:numFmt w:val="decimal"/>
      <w:lvlText w:val="%1."/>
      <w:lvlJc w:val="left"/>
      <w:pPr>
        <w:tabs>
          <w:tab w:val="num" w:pos="720"/>
        </w:tabs>
        <w:ind w:left="720" w:hanging="360"/>
      </w:pPr>
    </w:lvl>
  </w:abstractNum>
  <w:abstractNum w:abstractNumId="2">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8FC4BDC2"/>
    <w:lvl w:ilvl="0">
      <w:start w:val="1"/>
      <w:numFmt w:val="decimal"/>
      <w:lvlText w:val="%1."/>
      <w:lvlJc w:val="left"/>
      <w:pPr>
        <w:tabs>
          <w:tab w:val="num" w:pos="360"/>
        </w:tabs>
        <w:ind w:left="360" w:hanging="360"/>
      </w:pPr>
    </w:lvl>
  </w:abstractNum>
  <w:abstractNum w:abstractNumId="5">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880253A6"/>
    <w:lvl w:ilvl="0">
      <w:start w:val="5"/>
      <w:numFmt w:val="decimal"/>
      <w:pStyle w:val="Heading1"/>
      <w:suff w:val="nothing"/>
      <w:lvlText w:val="AP1.%1 APPENDIX 1.5  "/>
      <w:lvlJc w:val="left"/>
      <w:pPr>
        <w:ind w:left="0" w:firstLine="0"/>
      </w:pPr>
      <w:rPr>
        <w:rFonts w:ascii="Arial" w:hAnsi="Arial" w:hint="default"/>
        <w:b/>
        <w:i w:val="0"/>
        <w:sz w:val="48"/>
        <w:u w:val="single"/>
      </w:rPr>
    </w:lvl>
    <w:lvl w:ilvl="1">
      <w:start w:val="1"/>
      <w:numFmt w:val="decimal"/>
      <w:pStyle w:val="Heading2"/>
      <w:suff w:val="nothing"/>
      <w:lvlText w:val="AP%1.%2  "/>
      <w:lvlJc w:val="left"/>
      <w:pPr>
        <w:ind w:left="0" w:firstLine="0"/>
      </w:pPr>
      <w:rPr>
        <w:rFonts w:hint="default"/>
        <w:b/>
        <w:i w:val="0"/>
      </w:rPr>
    </w:lvl>
    <w:lvl w:ilvl="2">
      <w:start w:val="1"/>
      <w:numFmt w:val="decimal"/>
      <w:pStyle w:val="Heading3"/>
      <w:suff w:val="nothing"/>
      <w:lvlText w:val="AP%1.%2.%3  "/>
      <w:lvlJc w:val="left"/>
      <w:pPr>
        <w:ind w:left="0" w:firstLine="0"/>
      </w:pPr>
      <w:rPr>
        <w:rFonts w:hint="default"/>
        <w:b/>
        <w:i w:val="0"/>
      </w:rPr>
    </w:lvl>
    <w:lvl w:ilvl="3">
      <w:start w:val="1"/>
      <w:numFmt w:val="decimal"/>
      <w:pStyle w:val="Heading4"/>
      <w:suff w:val="nothing"/>
      <w:lvlText w:val="AP%1.%2.%3.%4  "/>
      <w:lvlJc w:val="left"/>
      <w:pPr>
        <w:ind w:left="0" w:firstLine="0"/>
      </w:pPr>
      <w:rPr>
        <w:rFonts w:ascii="Arial" w:hAnsi="Arial" w:hint="default"/>
        <w:b/>
        <w:i w:val="0"/>
        <w:sz w:val="24"/>
      </w:rPr>
    </w:lvl>
    <w:lvl w:ilvl="4">
      <w:start w:val="1"/>
      <w:numFmt w:val="decimal"/>
      <w:pStyle w:val="Heading5"/>
      <w:suff w:val="nothing"/>
      <w:lvlText w:val="AP%1.%2.%3.%4.%5  "/>
      <w:lvlJc w:val="left"/>
      <w:pPr>
        <w:ind w:left="0" w:firstLine="0"/>
      </w:pPr>
      <w:rPr>
        <w:rFonts w:hint="default"/>
        <w:b/>
        <w:i w:val="0"/>
      </w:rPr>
    </w:lvl>
    <w:lvl w:ilvl="5">
      <w:start w:val="1"/>
      <w:numFmt w:val="decimal"/>
      <w:pStyle w:val="Heading6"/>
      <w:suff w:val="nothing"/>
      <w:lvlText w:val="AP%1.%2.%3.%4.%5.%6  "/>
      <w:lvlJc w:val="left"/>
      <w:pPr>
        <w:ind w:left="0" w:firstLine="0"/>
      </w:pPr>
      <w:rPr>
        <w:rFonts w:ascii="Arial" w:hAnsi="Arial" w:hint="default"/>
        <w:b/>
        <w:i w:val="0"/>
        <w:sz w:val="24"/>
      </w:rPr>
    </w:lvl>
    <w:lvl w:ilvl="6">
      <w:start w:val="1"/>
      <w:numFmt w:val="decimal"/>
      <w:pStyle w:val="Heading7"/>
      <w:suff w:val="nothing"/>
      <w:lvlText w:val="AP%1.%2.%3.%4.%5.%6.%7  "/>
      <w:lvlJc w:val="left"/>
      <w:pPr>
        <w:ind w:left="0" w:firstLine="0"/>
      </w:pPr>
      <w:rPr>
        <w:rFonts w:hint="default"/>
        <w:b/>
        <w:i w:val="0"/>
      </w:rPr>
    </w:lvl>
    <w:lvl w:ilvl="7">
      <w:start w:val="1"/>
      <w:numFmt w:val="decimal"/>
      <w:pStyle w:val="Heading8"/>
      <w:suff w:val="nothing"/>
      <w:lvlText w:val="AP%1.%2.%3.%4.%5.%6.%7.%8  "/>
      <w:lvlJc w:val="left"/>
      <w:pPr>
        <w:ind w:left="0" w:firstLine="0"/>
      </w:pPr>
      <w:rPr>
        <w:rFonts w:hint="default"/>
        <w:b/>
        <w:i w:val="0"/>
      </w:rPr>
    </w:lvl>
    <w:lvl w:ilvl="8">
      <w:start w:val="1"/>
      <w:numFmt w:val="decimal"/>
      <w:pStyle w:val="Codes"/>
      <w:suff w:val="nothing"/>
      <w:lvlText w:val="AP%1.%2.%3.%4.%5.%6.%7.%8.%9  "/>
      <w:lvlJc w:val="left"/>
      <w:pPr>
        <w:ind w:left="0" w:firstLine="0"/>
      </w:pPr>
      <w:rPr>
        <w:rFonts w:hint="default"/>
        <w:b/>
        <w:i w:val="0"/>
      </w:rPr>
    </w:lvl>
  </w:abstractNum>
  <w:abstractNum w:abstractNumId="7">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attachedTemplate r:id="rId1"/>
  <w:linkStyles/>
  <w:stylePaneFormatFilter w:val="3F01"/>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331BAA"/>
    <w:rsid w:val="001C0364"/>
    <w:rsid w:val="002615B9"/>
    <w:rsid w:val="00320F9D"/>
    <w:rsid w:val="00331BAA"/>
    <w:rsid w:val="003A22C4"/>
    <w:rsid w:val="003A6B05"/>
    <w:rsid w:val="00511A89"/>
    <w:rsid w:val="00721F5E"/>
    <w:rsid w:val="008144B9"/>
    <w:rsid w:val="00B33AAB"/>
    <w:rsid w:val="00BB6914"/>
    <w:rsid w:val="00C9597B"/>
    <w:rsid w:val="00D70670"/>
    <w:rsid w:val="00F23D18"/>
    <w:rsid w:val="00FE2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B05"/>
    <w:rPr>
      <w:rFonts w:ascii="Arial" w:hAnsi="Arial"/>
      <w:sz w:val="24"/>
    </w:rPr>
  </w:style>
  <w:style w:type="paragraph" w:styleId="Heading1">
    <w:name w:val="heading 1"/>
    <w:basedOn w:val="Normal"/>
    <w:next w:val="Heading2"/>
    <w:qFormat/>
    <w:rsid w:val="003A6B05"/>
    <w:pPr>
      <w:numPr>
        <w:numId w:val="1"/>
      </w:numPr>
      <w:spacing w:before="60" w:after="120"/>
      <w:outlineLvl w:val="0"/>
    </w:pPr>
    <w:rPr>
      <w:b/>
      <w:caps/>
      <w:sz w:val="28"/>
    </w:rPr>
  </w:style>
  <w:style w:type="paragraph" w:styleId="Heading2">
    <w:name w:val="heading 2"/>
    <w:basedOn w:val="Normal"/>
    <w:qFormat/>
    <w:rsid w:val="003A6B05"/>
    <w:pPr>
      <w:numPr>
        <w:ilvl w:val="1"/>
        <w:numId w:val="1"/>
      </w:numPr>
      <w:spacing w:before="60" w:after="120"/>
      <w:outlineLvl w:val="1"/>
    </w:pPr>
  </w:style>
  <w:style w:type="paragraph" w:styleId="Heading3">
    <w:name w:val="heading 3"/>
    <w:basedOn w:val="Normal"/>
    <w:qFormat/>
    <w:rsid w:val="003A6B05"/>
    <w:pPr>
      <w:numPr>
        <w:ilvl w:val="2"/>
        <w:numId w:val="1"/>
      </w:numPr>
      <w:tabs>
        <w:tab w:val="left" w:pos="1530"/>
      </w:tabs>
      <w:spacing w:before="60" w:after="120"/>
      <w:outlineLvl w:val="2"/>
    </w:pPr>
  </w:style>
  <w:style w:type="paragraph" w:styleId="Heading4">
    <w:name w:val="heading 4"/>
    <w:basedOn w:val="Normal"/>
    <w:qFormat/>
    <w:rsid w:val="003A6B05"/>
    <w:pPr>
      <w:numPr>
        <w:ilvl w:val="3"/>
        <w:numId w:val="1"/>
      </w:numPr>
      <w:spacing w:before="60" w:after="120"/>
      <w:outlineLvl w:val="3"/>
    </w:pPr>
  </w:style>
  <w:style w:type="paragraph" w:styleId="Heading5">
    <w:name w:val="heading 5"/>
    <w:basedOn w:val="Normal"/>
    <w:qFormat/>
    <w:rsid w:val="003A6B05"/>
    <w:pPr>
      <w:numPr>
        <w:ilvl w:val="4"/>
        <w:numId w:val="1"/>
      </w:numPr>
      <w:spacing w:before="60" w:after="120"/>
      <w:outlineLvl w:val="4"/>
    </w:pPr>
  </w:style>
  <w:style w:type="paragraph" w:styleId="Heading6">
    <w:name w:val="heading 6"/>
    <w:basedOn w:val="Normal"/>
    <w:qFormat/>
    <w:rsid w:val="003A6B05"/>
    <w:pPr>
      <w:numPr>
        <w:ilvl w:val="5"/>
        <w:numId w:val="1"/>
      </w:numPr>
      <w:tabs>
        <w:tab w:val="left" w:pos="3150"/>
      </w:tabs>
      <w:spacing w:before="60" w:after="120"/>
      <w:outlineLvl w:val="5"/>
    </w:pPr>
  </w:style>
  <w:style w:type="paragraph" w:styleId="Heading7">
    <w:name w:val="heading 7"/>
    <w:basedOn w:val="Normal"/>
    <w:qFormat/>
    <w:rsid w:val="003A6B05"/>
    <w:pPr>
      <w:numPr>
        <w:ilvl w:val="6"/>
        <w:numId w:val="1"/>
      </w:numPr>
      <w:spacing w:before="60" w:after="120"/>
      <w:outlineLvl w:val="6"/>
    </w:pPr>
  </w:style>
  <w:style w:type="paragraph" w:styleId="Heading8">
    <w:name w:val="heading 8"/>
    <w:basedOn w:val="Normal"/>
    <w:next w:val="Heading9"/>
    <w:qFormat/>
    <w:rsid w:val="003A6B05"/>
    <w:pPr>
      <w:numPr>
        <w:ilvl w:val="7"/>
        <w:numId w:val="1"/>
      </w:numPr>
      <w:spacing w:before="60" w:after="120"/>
      <w:outlineLvl w:val="7"/>
    </w:pPr>
  </w:style>
  <w:style w:type="paragraph" w:styleId="Heading9">
    <w:name w:val="heading 9"/>
    <w:basedOn w:val="Normal"/>
    <w:qFormat/>
    <w:rsid w:val="003A6B05"/>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3A6B05"/>
    <w:rPr>
      <w:vertAlign w:val="superscript"/>
    </w:rPr>
  </w:style>
  <w:style w:type="character" w:styleId="FootnoteReference">
    <w:name w:val="footnote reference"/>
    <w:basedOn w:val="DefaultParagraphFont"/>
    <w:semiHidden/>
    <w:rsid w:val="003A6B05"/>
    <w:rPr>
      <w:vertAlign w:val="superscript"/>
    </w:rPr>
  </w:style>
  <w:style w:type="character" w:styleId="PageNumber">
    <w:name w:val="page number"/>
    <w:basedOn w:val="DefaultParagraphFont"/>
    <w:rsid w:val="003A6B05"/>
    <w:rPr>
      <w:rFonts w:ascii="Arial" w:hAnsi="Arial"/>
      <w:b/>
      <w:sz w:val="24"/>
    </w:rPr>
  </w:style>
  <w:style w:type="paragraph" w:styleId="Footer">
    <w:name w:val="footer"/>
    <w:basedOn w:val="Normal"/>
    <w:rsid w:val="003A6B05"/>
    <w:pPr>
      <w:tabs>
        <w:tab w:val="center" w:pos="4320"/>
        <w:tab w:val="right" w:pos="8640"/>
      </w:tabs>
    </w:pPr>
  </w:style>
  <w:style w:type="paragraph" w:styleId="Header">
    <w:name w:val="header"/>
    <w:basedOn w:val="Normal"/>
    <w:link w:val="HeaderChar"/>
    <w:rsid w:val="003A6B05"/>
    <w:pPr>
      <w:tabs>
        <w:tab w:val="center" w:pos="4320"/>
        <w:tab w:val="right" w:pos="8640"/>
      </w:tabs>
      <w:jc w:val="center"/>
    </w:pPr>
    <w:rPr>
      <w:u w:val="single"/>
    </w:rPr>
  </w:style>
  <w:style w:type="paragraph" w:styleId="FootnoteText">
    <w:name w:val="footnote text"/>
    <w:basedOn w:val="Normal"/>
    <w:semiHidden/>
    <w:rsid w:val="003A6B05"/>
    <w:rPr>
      <w:sz w:val="20"/>
    </w:rPr>
  </w:style>
  <w:style w:type="paragraph" w:customStyle="1" w:styleId="SubTitle">
    <w:name w:val="Sub Title"/>
    <w:basedOn w:val="Title"/>
    <w:rsid w:val="003A6B05"/>
    <w:rPr>
      <w:u w:val="single"/>
    </w:rPr>
  </w:style>
  <w:style w:type="paragraph" w:styleId="Title">
    <w:name w:val="Title"/>
    <w:basedOn w:val="Normal"/>
    <w:next w:val="Header"/>
    <w:qFormat/>
    <w:rsid w:val="003A6B05"/>
    <w:pPr>
      <w:spacing w:after="240"/>
      <w:jc w:val="center"/>
    </w:pPr>
    <w:rPr>
      <w:b/>
      <w:caps/>
      <w:kern w:val="28"/>
      <w:sz w:val="28"/>
    </w:rPr>
  </w:style>
  <w:style w:type="paragraph" w:styleId="Subtitle0">
    <w:name w:val="Subtitle"/>
    <w:basedOn w:val="Normal"/>
    <w:qFormat/>
    <w:rsid w:val="003A6B05"/>
    <w:pPr>
      <w:spacing w:after="240"/>
      <w:jc w:val="center"/>
    </w:pPr>
    <w:rPr>
      <w:b/>
      <w:caps/>
      <w:sz w:val="28"/>
      <w:u w:val="single"/>
    </w:rPr>
  </w:style>
  <w:style w:type="paragraph" w:customStyle="1" w:styleId="BodyTextHanging">
    <w:name w:val="Body Text Hanging"/>
    <w:basedOn w:val="Normal"/>
    <w:rsid w:val="003A6B05"/>
    <w:pPr>
      <w:spacing w:after="160"/>
      <w:ind w:left="1440"/>
    </w:pPr>
  </w:style>
  <w:style w:type="paragraph" w:styleId="BodyText">
    <w:name w:val="Body Text"/>
    <w:basedOn w:val="Normal"/>
    <w:rsid w:val="003A6B05"/>
    <w:pPr>
      <w:spacing w:after="120"/>
    </w:pPr>
  </w:style>
  <w:style w:type="paragraph" w:styleId="ListBullet">
    <w:name w:val="List Bullet"/>
    <w:basedOn w:val="Normal"/>
    <w:rsid w:val="003A6B05"/>
    <w:pPr>
      <w:spacing w:after="120"/>
      <w:ind w:left="360" w:hanging="360"/>
    </w:pPr>
  </w:style>
  <w:style w:type="paragraph" w:styleId="ListBullet2">
    <w:name w:val="List Bullet 2"/>
    <w:basedOn w:val="Normal"/>
    <w:rsid w:val="003A6B05"/>
    <w:pPr>
      <w:ind w:left="720" w:hanging="360"/>
    </w:pPr>
  </w:style>
  <w:style w:type="paragraph" w:styleId="ListBullet3">
    <w:name w:val="List Bullet 3"/>
    <w:basedOn w:val="Normal"/>
    <w:rsid w:val="003A6B05"/>
    <w:pPr>
      <w:ind w:left="1080" w:hanging="360"/>
    </w:pPr>
  </w:style>
  <w:style w:type="paragraph" w:styleId="ListNumber">
    <w:name w:val="List Number"/>
    <w:basedOn w:val="Normal"/>
    <w:rsid w:val="003A6B05"/>
    <w:pPr>
      <w:ind w:left="360" w:hanging="360"/>
    </w:pPr>
  </w:style>
  <w:style w:type="paragraph" w:styleId="ListNumber2">
    <w:name w:val="List Number 2"/>
    <w:basedOn w:val="Normal"/>
    <w:rsid w:val="003A6B05"/>
    <w:pPr>
      <w:ind w:left="720" w:hanging="360"/>
    </w:pPr>
  </w:style>
  <w:style w:type="paragraph" w:styleId="ListNumber3">
    <w:name w:val="List Number 3"/>
    <w:basedOn w:val="Normal"/>
    <w:rsid w:val="003A6B05"/>
    <w:pPr>
      <w:ind w:left="1080" w:hanging="360"/>
    </w:pPr>
  </w:style>
  <w:style w:type="paragraph" w:styleId="DocumentMap">
    <w:name w:val="Document Map"/>
    <w:basedOn w:val="Normal"/>
    <w:semiHidden/>
    <w:rsid w:val="003A6B05"/>
    <w:pPr>
      <w:shd w:val="clear" w:color="auto" w:fill="000080"/>
    </w:pPr>
    <w:rPr>
      <w:rFonts w:ascii="Tahoma" w:hAnsi="Tahoma"/>
    </w:rPr>
  </w:style>
  <w:style w:type="character" w:customStyle="1" w:styleId="HeaderChar">
    <w:name w:val="Header Char"/>
    <w:link w:val="Header"/>
    <w:rsid w:val="00511A89"/>
    <w:rPr>
      <w:rFonts w:ascii="Arial" w:hAnsi="Arial"/>
      <w:sz w:val="24"/>
      <w:u w:val="single"/>
    </w:rPr>
  </w:style>
  <w:style w:type="paragraph" w:customStyle="1" w:styleId="Codes">
    <w:name w:val="Codes"/>
    <w:rsid w:val="003A6B05"/>
    <w:pPr>
      <w:numPr>
        <w:ilvl w:val="8"/>
        <w:numId w:val="1"/>
      </w:numPr>
    </w:pP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ppend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Props1.xml><?xml version="1.0" encoding="utf-8"?>
<ds:datastoreItem xmlns:ds="http://schemas.openxmlformats.org/officeDocument/2006/customXml" ds:itemID="{FDE0482F-8A94-4038-8DE8-7EC48815DB68}"/>
</file>

<file path=customXml/itemProps2.xml><?xml version="1.0" encoding="utf-8"?>
<ds:datastoreItem xmlns:ds="http://schemas.openxmlformats.org/officeDocument/2006/customXml" ds:itemID="{167159A9-2356-4BEA-882D-D011D49C0610}"/>
</file>

<file path=customXml/itemProps3.xml><?xml version="1.0" encoding="utf-8"?>
<ds:datastoreItem xmlns:ds="http://schemas.openxmlformats.org/officeDocument/2006/customXml" ds:itemID="{08FE01B7-ACE3-4667-9885-E95E43F1DFDE}"/>
</file>

<file path=docProps/app.xml><?xml version="1.0" encoding="utf-8"?>
<Properties xmlns="http://schemas.openxmlformats.org/officeDocument/2006/extended-properties" xmlns:vt="http://schemas.openxmlformats.org/officeDocument/2006/docPropsVTypes">
  <Template>Appendix</Template>
  <TotalTime>4</TotalTime>
  <Pages>3</Pages>
  <Words>1297</Words>
  <Characters>7242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Delivery Term Codes (DTCs)</vt:lpstr>
    </vt:vector>
  </TitlesOfParts>
  <Company>Defense Information Systems Agency</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2.5 - Delivery Term Codes (DTCs)</dc:title>
  <dc:subject>AP5. APPENDIX 5</dc:subject>
  <dc:creator>Tanner, Larry</dc:creator>
  <cp:keywords/>
  <cp:lastModifiedBy>Larry Tanner</cp:lastModifiedBy>
  <cp:revision>7</cp:revision>
  <cp:lastPrinted>2001-02-06T17:34:00Z</cp:lastPrinted>
  <dcterms:created xsi:type="dcterms:W3CDTF">2012-06-11T16:26:00Z</dcterms:created>
  <dcterms:modified xsi:type="dcterms:W3CDTF">2013-12-30T16:24:00Z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2356100</vt:r8>
  </property>
</Properties>
</file>