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F5E" w:rsidRPr="003A22C4" w:rsidRDefault="003A22C4" w:rsidP="003A22C4">
      <w:pPr>
        <w:pStyle w:val="Heading1"/>
        <w:numPr>
          <w:ilvl w:val="0"/>
          <w:numId w:val="0"/>
        </w:numPr>
        <w:jc w:val="center"/>
        <w:rPr>
          <w:sz w:val="48"/>
          <w:szCs w:val="48"/>
        </w:rPr>
      </w:pPr>
      <w:bookmarkStart w:id="0" w:name="OLE_LINK1"/>
      <w:bookmarkStart w:id="1" w:name="OLE_LINK2"/>
      <w:bookmarkStart w:id="2" w:name="_GoBack"/>
      <w:r w:rsidRPr="003A22C4">
        <w:rPr>
          <w:sz w:val="48"/>
          <w:szCs w:val="48"/>
        </w:rPr>
        <w:t xml:space="preserve">APPENDIX </w:t>
      </w:r>
      <w:r w:rsidR="00D70670">
        <w:rPr>
          <w:sz w:val="48"/>
          <w:szCs w:val="48"/>
        </w:rPr>
        <w:t>2.</w:t>
      </w:r>
      <w:r w:rsidRPr="003A22C4">
        <w:rPr>
          <w:sz w:val="48"/>
          <w:szCs w:val="48"/>
        </w:rPr>
        <w:t>5</w:t>
      </w:r>
    </w:p>
    <w:bookmarkEnd w:id="0"/>
    <w:bookmarkEnd w:id="1"/>
    <w:bookmarkEnd w:id="2"/>
    <w:p w:rsidR="00721F5E" w:rsidRPr="002615B9" w:rsidRDefault="00721F5E">
      <w:pPr>
        <w:jc w:val="center"/>
        <w:rPr>
          <w:szCs w:val="24"/>
          <w:u w:val="single"/>
        </w:rPr>
      </w:pPr>
      <w:r w:rsidRPr="002615B9">
        <w:rPr>
          <w:b/>
          <w:bCs/>
          <w:sz w:val="36"/>
          <w:szCs w:val="36"/>
          <w:u w:val="single"/>
        </w:rPr>
        <w:t>DELIVERY TERM CODES (DTCs)</w:t>
      </w:r>
    </w:p>
    <w:p w:rsidR="00721F5E" w:rsidRDefault="00721F5E">
      <w:pPr>
        <w:jc w:val="center"/>
        <w:rPr>
          <w:szCs w:val="24"/>
        </w:rPr>
      </w:pPr>
    </w:p>
    <w:p w:rsidR="00721F5E" w:rsidRDefault="00721F5E">
      <w:pPr>
        <w:jc w:val="center"/>
        <w:rPr>
          <w:szCs w:val="24"/>
        </w:rPr>
      </w:pPr>
    </w:p>
    <w:tbl>
      <w:tblPr>
        <w:tblW w:w="0" w:type="auto"/>
        <w:tblInd w:w="100" w:type="dxa"/>
        <w:tblLayout w:type="fixed"/>
        <w:tblCellMar>
          <w:left w:w="100" w:type="dxa"/>
          <w:right w:w="100" w:type="dxa"/>
        </w:tblCellMar>
        <w:tblLook w:val="0000"/>
      </w:tblPr>
      <w:tblGrid>
        <w:gridCol w:w="2430"/>
        <w:gridCol w:w="1350"/>
        <w:gridCol w:w="5940"/>
      </w:tblGrid>
      <w:tr w:rsidR="00721F5E">
        <w:trPr>
          <w:cantSplit/>
        </w:trPr>
        <w:tc>
          <w:tcPr>
            <w:tcW w:w="3780" w:type="dxa"/>
            <w:gridSpan w:val="2"/>
            <w:tcBorders>
              <w:top w:val="single" w:sz="7" w:space="0" w:color="auto"/>
              <w:left w:val="single" w:sz="7" w:space="0" w:color="auto"/>
              <w:bottom w:val="nil"/>
              <w:right w:val="nil"/>
            </w:tcBorders>
            <w:vAlign w:val="bottom"/>
          </w:tcPr>
          <w:p w:rsidR="00721F5E" w:rsidRDefault="00721F5E">
            <w:pPr>
              <w:spacing w:before="100"/>
              <w:rPr>
                <w:rFonts w:ascii="Arial Narrow" w:hAnsi="Arial Narrow" w:cs="Arial"/>
                <w:sz w:val="20"/>
                <w:szCs w:val="24"/>
              </w:rPr>
            </w:pPr>
            <w:r>
              <w:rPr>
                <w:rFonts w:ascii="Arial Narrow" w:hAnsi="Arial Narrow"/>
                <w:b/>
                <w:bCs/>
                <w:sz w:val="20"/>
                <w:szCs w:val="24"/>
              </w:rPr>
              <w:t>NUMBER OF CHARACTERS:</w:t>
            </w:r>
          </w:p>
        </w:tc>
        <w:tc>
          <w:tcPr>
            <w:tcW w:w="5940" w:type="dxa"/>
            <w:tcBorders>
              <w:top w:val="single" w:sz="7" w:space="0" w:color="auto"/>
              <w:left w:val="single" w:sz="7" w:space="0" w:color="auto"/>
              <w:bottom w:val="nil"/>
              <w:right w:val="single" w:sz="7" w:space="0" w:color="auto"/>
            </w:tcBorders>
          </w:tcPr>
          <w:p w:rsidR="00721F5E" w:rsidRDefault="00721F5E">
            <w:pPr>
              <w:spacing w:before="100" w:after="57"/>
              <w:rPr>
                <w:rFonts w:ascii="Arial Narrow" w:hAnsi="Arial Narrow" w:cs="Arial"/>
                <w:sz w:val="20"/>
                <w:szCs w:val="24"/>
              </w:rPr>
            </w:pPr>
            <w:r>
              <w:rPr>
                <w:rFonts w:ascii="Arial Narrow" w:hAnsi="Arial Narrow"/>
                <w:sz w:val="20"/>
                <w:szCs w:val="24"/>
              </w:rPr>
              <w:t>One.</w:t>
            </w:r>
          </w:p>
        </w:tc>
      </w:tr>
      <w:tr w:rsidR="00721F5E">
        <w:trPr>
          <w:cantSplit/>
        </w:trPr>
        <w:tc>
          <w:tcPr>
            <w:tcW w:w="3780" w:type="dxa"/>
            <w:gridSpan w:val="2"/>
            <w:tcBorders>
              <w:top w:val="single" w:sz="7" w:space="0" w:color="auto"/>
              <w:left w:val="single" w:sz="7" w:space="0" w:color="auto"/>
              <w:bottom w:val="nil"/>
              <w:right w:val="nil"/>
            </w:tcBorders>
            <w:vAlign w:val="bottom"/>
          </w:tcPr>
          <w:p w:rsidR="00721F5E" w:rsidRDefault="00721F5E">
            <w:pPr>
              <w:spacing w:before="100"/>
              <w:rPr>
                <w:rFonts w:ascii="Arial Narrow" w:hAnsi="Arial Narrow" w:cs="Arial"/>
                <w:sz w:val="20"/>
                <w:szCs w:val="24"/>
              </w:rPr>
            </w:pPr>
            <w:r>
              <w:rPr>
                <w:rFonts w:ascii="Arial Narrow" w:hAnsi="Arial Narrow"/>
                <w:b/>
                <w:bCs/>
                <w:sz w:val="20"/>
                <w:szCs w:val="24"/>
              </w:rPr>
              <w:t>TYPE OF CODE:</w:t>
            </w:r>
          </w:p>
        </w:tc>
        <w:tc>
          <w:tcPr>
            <w:tcW w:w="5940" w:type="dxa"/>
            <w:tcBorders>
              <w:top w:val="single" w:sz="7" w:space="0" w:color="auto"/>
              <w:left w:val="single" w:sz="7" w:space="0" w:color="auto"/>
              <w:bottom w:val="nil"/>
              <w:right w:val="single" w:sz="7" w:space="0" w:color="auto"/>
            </w:tcBorders>
          </w:tcPr>
          <w:p w:rsidR="00721F5E" w:rsidRDefault="00721F5E">
            <w:pPr>
              <w:spacing w:before="100" w:after="57"/>
              <w:rPr>
                <w:rFonts w:ascii="Arial Narrow" w:hAnsi="Arial Narrow" w:cs="Arial"/>
                <w:sz w:val="20"/>
                <w:szCs w:val="24"/>
              </w:rPr>
            </w:pPr>
            <w:r>
              <w:rPr>
                <w:rFonts w:ascii="Arial Narrow" w:hAnsi="Arial Narrow"/>
                <w:sz w:val="20"/>
                <w:szCs w:val="24"/>
              </w:rPr>
              <w:t>Alphanumeric.</w:t>
            </w:r>
          </w:p>
        </w:tc>
      </w:tr>
      <w:tr w:rsidR="00721F5E">
        <w:trPr>
          <w:cantSplit/>
        </w:trPr>
        <w:tc>
          <w:tcPr>
            <w:tcW w:w="3780" w:type="dxa"/>
            <w:gridSpan w:val="2"/>
            <w:tcBorders>
              <w:top w:val="single" w:sz="7" w:space="0" w:color="auto"/>
              <w:left w:val="single" w:sz="7" w:space="0" w:color="auto"/>
              <w:bottom w:val="nil"/>
              <w:right w:val="nil"/>
            </w:tcBorders>
            <w:vAlign w:val="bottom"/>
          </w:tcPr>
          <w:p w:rsidR="00721F5E" w:rsidRDefault="00721F5E">
            <w:pPr>
              <w:spacing w:before="100"/>
              <w:rPr>
                <w:rFonts w:ascii="Arial Narrow" w:hAnsi="Arial Narrow"/>
                <w:b/>
                <w:bCs/>
                <w:sz w:val="20"/>
                <w:szCs w:val="24"/>
              </w:rPr>
            </w:pPr>
            <w:r>
              <w:rPr>
                <w:rFonts w:ascii="Arial Narrow" w:hAnsi="Arial Narrow"/>
                <w:b/>
                <w:bCs/>
                <w:sz w:val="20"/>
                <w:szCs w:val="24"/>
              </w:rPr>
              <w:t>EXPLANATION:</w:t>
            </w:r>
          </w:p>
          <w:p w:rsidR="00721F5E" w:rsidRDefault="00721F5E">
            <w:pPr>
              <w:spacing w:after="57"/>
              <w:rPr>
                <w:rFonts w:ascii="Arial Narrow" w:hAnsi="Arial Narrow" w:cs="Arial"/>
                <w:sz w:val="20"/>
                <w:szCs w:val="24"/>
              </w:rPr>
            </w:pPr>
          </w:p>
        </w:tc>
        <w:tc>
          <w:tcPr>
            <w:tcW w:w="5940" w:type="dxa"/>
            <w:tcBorders>
              <w:top w:val="single" w:sz="7" w:space="0" w:color="auto"/>
              <w:left w:val="single" w:sz="7" w:space="0" w:color="auto"/>
              <w:bottom w:val="nil"/>
              <w:right w:val="single" w:sz="7" w:space="0" w:color="auto"/>
            </w:tcBorders>
          </w:tcPr>
          <w:p w:rsidR="00721F5E" w:rsidRDefault="00721F5E">
            <w:pPr>
              <w:spacing w:before="100" w:after="57"/>
              <w:rPr>
                <w:rFonts w:ascii="Arial Narrow" w:hAnsi="Arial Narrow" w:cs="Arial"/>
                <w:sz w:val="20"/>
                <w:szCs w:val="24"/>
              </w:rPr>
            </w:pPr>
            <w:r>
              <w:rPr>
                <w:rFonts w:ascii="Arial Narrow" w:hAnsi="Arial Narrow"/>
                <w:sz w:val="20"/>
                <w:szCs w:val="24"/>
              </w:rPr>
              <w:t>Designates DoD/purchasing country’s responsibility for transportation and handling cost.</w:t>
            </w:r>
          </w:p>
        </w:tc>
      </w:tr>
      <w:tr w:rsidR="00721F5E">
        <w:trPr>
          <w:cantSplit/>
        </w:trPr>
        <w:tc>
          <w:tcPr>
            <w:tcW w:w="9720" w:type="dxa"/>
            <w:gridSpan w:val="3"/>
            <w:tcBorders>
              <w:top w:val="single" w:sz="7" w:space="0" w:color="auto"/>
              <w:left w:val="single" w:sz="7" w:space="0" w:color="auto"/>
              <w:bottom w:val="nil"/>
              <w:right w:val="single" w:sz="7" w:space="0" w:color="auto"/>
            </w:tcBorders>
            <w:vAlign w:val="bottom"/>
          </w:tcPr>
          <w:p w:rsidR="00721F5E" w:rsidRDefault="00721F5E">
            <w:pPr>
              <w:spacing w:before="100" w:after="57"/>
              <w:rPr>
                <w:rFonts w:ascii="Arial Narrow" w:hAnsi="Arial Narrow" w:cs="Arial"/>
                <w:sz w:val="20"/>
                <w:szCs w:val="24"/>
              </w:rPr>
            </w:pPr>
            <w:r>
              <w:rPr>
                <w:rFonts w:ascii="Arial Narrow" w:hAnsi="Arial Narrow"/>
                <w:sz w:val="20"/>
                <w:szCs w:val="24"/>
              </w:rPr>
              <w:tab/>
              <w:t>a.  Detailed explanation of DoD responsibility for CONUS originated FMS shipments.</w:t>
            </w:r>
          </w:p>
        </w:tc>
      </w:tr>
      <w:tr w:rsidR="00721F5E">
        <w:tblPrEx>
          <w:tblCellMar>
            <w:left w:w="124" w:type="dxa"/>
            <w:right w:w="124" w:type="dxa"/>
          </w:tblCellMar>
        </w:tblPrEx>
        <w:trPr>
          <w:cantSplit/>
          <w:tblHeader/>
        </w:trPr>
        <w:tc>
          <w:tcPr>
            <w:tcW w:w="2430" w:type="dxa"/>
            <w:tcBorders>
              <w:top w:val="single" w:sz="7" w:space="0" w:color="auto"/>
              <w:left w:val="single" w:sz="7" w:space="0" w:color="auto"/>
              <w:bottom w:val="nil"/>
              <w:right w:val="nil"/>
            </w:tcBorders>
            <w:vAlign w:val="bottom"/>
          </w:tcPr>
          <w:p w:rsidR="00721F5E" w:rsidRDefault="00721F5E">
            <w:pPr>
              <w:tabs>
                <w:tab w:val="left" w:pos="-1200"/>
                <w:tab w:val="left" w:pos="-720"/>
                <w:tab w:val="left" w:pos="0"/>
                <w:tab w:val="left" w:pos="69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00" w:after="56"/>
              <w:jc w:val="center"/>
              <w:rPr>
                <w:rFonts w:ascii="Arial Narrow" w:hAnsi="Arial Narrow" w:cs="Arial"/>
                <w:sz w:val="20"/>
                <w:szCs w:val="24"/>
              </w:rPr>
            </w:pPr>
            <w:r>
              <w:rPr>
                <w:rFonts w:ascii="Arial Narrow" w:hAnsi="Arial Narrow"/>
                <w:b/>
                <w:bCs/>
                <w:sz w:val="20"/>
                <w:szCs w:val="24"/>
              </w:rPr>
              <w:t>DTC</w:t>
            </w:r>
          </w:p>
        </w:tc>
        <w:tc>
          <w:tcPr>
            <w:tcW w:w="7290" w:type="dxa"/>
            <w:gridSpan w:val="2"/>
            <w:tcBorders>
              <w:top w:val="single" w:sz="7" w:space="0" w:color="auto"/>
              <w:left w:val="single" w:sz="7" w:space="0" w:color="auto"/>
              <w:bottom w:val="nil"/>
              <w:right w:val="single" w:sz="7" w:space="0" w:color="auto"/>
            </w:tcBorders>
            <w:vAlign w:val="bottom"/>
          </w:tcPr>
          <w:p w:rsidR="00721F5E" w:rsidRDefault="00721F5E">
            <w:pPr>
              <w:tabs>
                <w:tab w:val="left" w:pos="-1200"/>
                <w:tab w:val="left" w:pos="-720"/>
                <w:tab w:val="left" w:pos="0"/>
                <w:tab w:val="left" w:pos="69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00" w:after="56"/>
              <w:jc w:val="center"/>
              <w:rPr>
                <w:rFonts w:ascii="Arial Narrow" w:hAnsi="Arial Narrow" w:cs="Arial"/>
                <w:sz w:val="20"/>
                <w:szCs w:val="24"/>
              </w:rPr>
            </w:pPr>
            <w:r>
              <w:rPr>
                <w:rFonts w:ascii="Arial Narrow" w:hAnsi="Arial Narrow"/>
                <w:b/>
                <w:bCs/>
                <w:sz w:val="20"/>
                <w:szCs w:val="24"/>
              </w:rPr>
              <w:t xml:space="preserve">EXPLANATION </w:t>
            </w:r>
          </w:p>
        </w:tc>
      </w:tr>
      <w:tr w:rsidR="00721F5E">
        <w:tblPrEx>
          <w:tblCellMar>
            <w:left w:w="124" w:type="dxa"/>
            <w:right w:w="124" w:type="dxa"/>
          </w:tblCellMar>
        </w:tblPrEx>
        <w:trPr>
          <w:cantSplit/>
        </w:trPr>
        <w:tc>
          <w:tcPr>
            <w:tcW w:w="2430" w:type="dxa"/>
            <w:tcBorders>
              <w:top w:val="single" w:sz="7" w:space="0" w:color="auto"/>
              <w:left w:val="single" w:sz="7" w:space="0" w:color="auto"/>
              <w:bottom w:val="nil"/>
              <w:right w:val="nil"/>
            </w:tcBorders>
          </w:tcPr>
          <w:p w:rsidR="00721F5E" w:rsidRDefault="00721F5E">
            <w:pPr>
              <w:spacing w:before="100" w:after="56"/>
              <w:jc w:val="center"/>
              <w:rPr>
                <w:rFonts w:ascii="Arial Narrow" w:hAnsi="Arial Narrow" w:cs="Arial"/>
                <w:sz w:val="20"/>
                <w:szCs w:val="24"/>
              </w:rPr>
            </w:pPr>
            <w:r>
              <w:rPr>
                <w:rFonts w:ascii="Arial Narrow" w:hAnsi="Arial Narrow"/>
                <w:sz w:val="20"/>
                <w:szCs w:val="24"/>
              </w:rPr>
              <w:t>2</w:t>
            </w:r>
          </w:p>
        </w:tc>
        <w:tc>
          <w:tcPr>
            <w:tcW w:w="7290" w:type="dxa"/>
            <w:gridSpan w:val="2"/>
            <w:tcBorders>
              <w:top w:val="single" w:sz="7" w:space="0" w:color="auto"/>
              <w:left w:val="single" w:sz="7" w:space="0" w:color="auto"/>
              <w:bottom w:val="nil"/>
              <w:right w:val="single" w:sz="7" w:space="0" w:color="auto"/>
            </w:tcBorders>
            <w:vAlign w:val="bottom"/>
          </w:tcPr>
          <w:p w:rsidR="00721F5E" w:rsidRDefault="00721F5E">
            <w:pPr>
              <w:spacing w:before="100" w:after="56"/>
              <w:rPr>
                <w:rFonts w:ascii="Arial Narrow" w:hAnsi="Arial Narrow" w:cs="Arial"/>
                <w:sz w:val="20"/>
                <w:szCs w:val="24"/>
              </w:rPr>
            </w:pPr>
            <w:r>
              <w:rPr>
                <w:rFonts w:ascii="Arial Narrow" w:hAnsi="Arial Narrow"/>
                <w:sz w:val="20"/>
                <w:szCs w:val="24"/>
              </w:rPr>
              <w:t>Delivery to an inland destination with origin and destination in CONUS or origin and destination in the same overseas geographic area.  The DoD is responsible for transportation to the specified destination at which the customer is responsible for unloading, accepting custody, and subsequent onward movement.  Expenses to DoD for accessorial costs are reimbursable.  This code, which has limited use, is normally associated with shipments such as training items sent to DoD Activities foreign officers or excess materiel of one country filling a requirement of another country in the same geographic area.</w:t>
            </w:r>
          </w:p>
        </w:tc>
      </w:tr>
      <w:tr w:rsidR="00721F5E">
        <w:tblPrEx>
          <w:tblCellMar>
            <w:left w:w="124" w:type="dxa"/>
            <w:right w:w="124" w:type="dxa"/>
          </w:tblCellMar>
        </w:tblPrEx>
        <w:trPr>
          <w:cantSplit/>
        </w:trPr>
        <w:tc>
          <w:tcPr>
            <w:tcW w:w="2430" w:type="dxa"/>
            <w:tcBorders>
              <w:top w:val="single" w:sz="7" w:space="0" w:color="auto"/>
              <w:left w:val="single" w:sz="7" w:space="0" w:color="auto"/>
              <w:bottom w:val="nil"/>
              <w:right w:val="nil"/>
            </w:tcBorders>
          </w:tcPr>
          <w:p w:rsidR="00721F5E" w:rsidRDefault="00721F5E">
            <w:pPr>
              <w:spacing w:before="100" w:after="56"/>
              <w:jc w:val="center"/>
              <w:rPr>
                <w:rFonts w:ascii="Arial Narrow" w:hAnsi="Arial Narrow" w:cs="Arial"/>
                <w:sz w:val="20"/>
                <w:szCs w:val="24"/>
              </w:rPr>
            </w:pPr>
            <w:r>
              <w:rPr>
                <w:rFonts w:ascii="Arial Narrow" w:hAnsi="Arial Narrow"/>
                <w:sz w:val="20"/>
                <w:szCs w:val="24"/>
              </w:rPr>
              <w:t>3</w:t>
            </w:r>
          </w:p>
        </w:tc>
        <w:tc>
          <w:tcPr>
            <w:tcW w:w="7290" w:type="dxa"/>
            <w:gridSpan w:val="2"/>
            <w:tcBorders>
              <w:top w:val="single" w:sz="7" w:space="0" w:color="auto"/>
              <w:left w:val="single" w:sz="7" w:space="0" w:color="auto"/>
              <w:bottom w:val="nil"/>
              <w:right w:val="single" w:sz="7" w:space="0" w:color="auto"/>
            </w:tcBorders>
            <w:vAlign w:val="bottom"/>
          </w:tcPr>
          <w:p w:rsidR="00721F5E" w:rsidRDefault="00721F5E">
            <w:pPr>
              <w:spacing w:before="100" w:after="56"/>
              <w:rPr>
                <w:rFonts w:ascii="Arial Narrow" w:hAnsi="Arial Narrow" w:cs="Arial"/>
                <w:sz w:val="20"/>
                <w:szCs w:val="24"/>
              </w:rPr>
            </w:pPr>
            <w:r>
              <w:rPr>
                <w:rFonts w:ascii="Arial Narrow" w:hAnsi="Arial Narrow"/>
                <w:sz w:val="20"/>
                <w:szCs w:val="24"/>
              </w:rPr>
              <w:t>Delivery to a point alongside vessel or aircraft at the POE (FAS), port of embarkation (FAS POE).  The DoD is responsible for transportation to a point within reach of the ship’s tackle or alongside the vessel/aircraft.  The customer is responsible for loading aboard the vessel/aircraft and subsequent onward movement.  Expenses to DoD for accessorial costs are reimbursable.  This code has limited use.</w:t>
            </w:r>
          </w:p>
        </w:tc>
      </w:tr>
      <w:tr w:rsidR="00721F5E">
        <w:tblPrEx>
          <w:tblCellMar>
            <w:left w:w="124" w:type="dxa"/>
            <w:right w:w="124" w:type="dxa"/>
          </w:tblCellMar>
        </w:tblPrEx>
        <w:trPr>
          <w:cantSplit/>
        </w:trPr>
        <w:tc>
          <w:tcPr>
            <w:tcW w:w="2430" w:type="dxa"/>
            <w:tcBorders>
              <w:top w:val="single" w:sz="7" w:space="0" w:color="auto"/>
              <w:left w:val="single" w:sz="7" w:space="0" w:color="auto"/>
              <w:bottom w:val="single" w:sz="8" w:space="0" w:color="auto"/>
              <w:right w:val="nil"/>
            </w:tcBorders>
          </w:tcPr>
          <w:p w:rsidR="00721F5E" w:rsidRDefault="00721F5E">
            <w:pPr>
              <w:spacing w:before="100" w:after="56"/>
              <w:jc w:val="center"/>
              <w:rPr>
                <w:rFonts w:ascii="Arial Narrow" w:hAnsi="Arial Narrow" w:cs="Arial"/>
                <w:sz w:val="20"/>
                <w:szCs w:val="24"/>
              </w:rPr>
            </w:pPr>
            <w:r>
              <w:rPr>
                <w:rFonts w:ascii="Arial Narrow" w:hAnsi="Arial Narrow"/>
                <w:sz w:val="20"/>
                <w:szCs w:val="24"/>
              </w:rPr>
              <w:t>4</w:t>
            </w:r>
          </w:p>
        </w:tc>
        <w:tc>
          <w:tcPr>
            <w:tcW w:w="7290" w:type="dxa"/>
            <w:gridSpan w:val="2"/>
            <w:tcBorders>
              <w:top w:val="single" w:sz="7" w:space="0" w:color="auto"/>
              <w:left w:val="single" w:sz="7" w:space="0" w:color="auto"/>
              <w:bottom w:val="single" w:sz="8" w:space="0" w:color="auto"/>
              <w:right w:val="single" w:sz="7" w:space="0" w:color="auto"/>
            </w:tcBorders>
            <w:vAlign w:val="bottom"/>
          </w:tcPr>
          <w:p w:rsidR="00721F5E" w:rsidRDefault="00721F5E">
            <w:pPr>
              <w:spacing w:before="100" w:after="56"/>
              <w:rPr>
                <w:rFonts w:ascii="Arial Narrow" w:hAnsi="Arial Narrow" w:cs="Arial"/>
                <w:sz w:val="20"/>
                <w:szCs w:val="24"/>
              </w:rPr>
            </w:pPr>
            <w:r>
              <w:rPr>
                <w:rFonts w:ascii="Arial Narrow" w:hAnsi="Arial Narrow"/>
                <w:sz w:val="20"/>
                <w:szCs w:val="24"/>
              </w:rPr>
              <w:t>Delivery at the origin.  The materiel is made available to the customer at the point of origin (usually a depot, vendor’s loading dock, or a disposal activity).  The customer is responsible for all transportation and related costs.  Accordingly, the shipment is sent to a freight forwarder designated by the customer with transportation by prepaid parcel post, on a CBL prepaid by the freight forwarder, or paid for on a collect CBL.  (If a TAC 7 address is listed for the MAPAC, a CBL is issued and “billed to” that address rather than sending the shipment collect.)  This code is considered the standard code and is applied to most FMS transactions.  Offshore procurement.  Delivery at origin if customer has provided point to contact for the offshore procured items.  If no point of contact is provided, delivery will be at destination.  Contractor is responsible for movement to designated freight forwarder or country representative.</w:t>
            </w:r>
          </w:p>
        </w:tc>
      </w:tr>
      <w:tr w:rsidR="00721F5E">
        <w:tblPrEx>
          <w:tblCellMar>
            <w:left w:w="124" w:type="dxa"/>
            <w:right w:w="124" w:type="dxa"/>
          </w:tblCellMar>
        </w:tblPrEx>
        <w:trPr>
          <w:cantSplit/>
        </w:trPr>
        <w:tc>
          <w:tcPr>
            <w:tcW w:w="2430" w:type="dxa"/>
            <w:tcBorders>
              <w:top w:val="single" w:sz="8" w:space="0" w:color="auto"/>
              <w:left w:val="single" w:sz="8" w:space="0" w:color="auto"/>
              <w:bottom w:val="single" w:sz="4" w:space="0" w:color="auto"/>
              <w:right w:val="single" w:sz="8" w:space="0" w:color="auto"/>
            </w:tcBorders>
          </w:tcPr>
          <w:p w:rsidR="00721F5E" w:rsidRDefault="00721F5E">
            <w:pPr>
              <w:spacing w:before="100" w:after="56"/>
              <w:jc w:val="center"/>
              <w:rPr>
                <w:rFonts w:ascii="Arial Narrow" w:hAnsi="Arial Narrow" w:cs="Arial"/>
                <w:sz w:val="20"/>
                <w:szCs w:val="24"/>
              </w:rPr>
            </w:pPr>
            <w:r>
              <w:rPr>
                <w:rFonts w:ascii="Arial Narrow" w:hAnsi="Arial Narrow"/>
                <w:sz w:val="20"/>
                <w:szCs w:val="24"/>
              </w:rPr>
              <w:t>5</w:t>
            </w:r>
          </w:p>
        </w:tc>
        <w:tc>
          <w:tcPr>
            <w:tcW w:w="7290" w:type="dxa"/>
            <w:gridSpan w:val="2"/>
            <w:tcBorders>
              <w:top w:val="single" w:sz="8" w:space="0" w:color="auto"/>
              <w:left w:val="single" w:sz="8" w:space="0" w:color="auto"/>
              <w:bottom w:val="single" w:sz="4" w:space="0" w:color="auto"/>
              <w:right w:val="single" w:sz="8" w:space="0" w:color="auto"/>
            </w:tcBorders>
            <w:vAlign w:val="bottom"/>
          </w:tcPr>
          <w:p w:rsidR="00721F5E" w:rsidRDefault="00721F5E">
            <w:pPr>
              <w:spacing w:before="100" w:after="56"/>
              <w:rPr>
                <w:rFonts w:ascii="Arial Narrow" w:hAnsi="Arial Narrow" w:cs="Arial"/>
                <w:sz w:val="20"/>
                <w:szCs w:val="24"/>
              </w:rPr>
            </w:pPr>
            <w:r>
              <w:rPr>
                <w:rFonts w:ascii="Arial Narrow" w:hAnsi="Arial Narrow"/>
                <w:sz w:val="20"/>
                <w:szCs w:val="24"/>
              </w:rPr>
              <w:t>Delivery to a POE (free on board (FOB)).  DoD is responsible for movement to the POE.  The customer is responsible for unloading the shipment from the inland carrier at the POE, delivery alongside the vessel/aircraft, and all subsequent onward movement.  Expenses to DoD for accessorial costs are reimbursable.  This code has limited use and is applied only when prior arrangements for the use of port facilities at the customer’s expense have been made.</w:t>
            </w:r>
          </w:p>
        </w:tc>
      </w:tr>
      <w:tr w:rsidR="00721F5E">
        <w:tblPrEx>
          <w:tblCellMar>
            <w:left w:w="124" w:type="dxa"/>
            <w:right w:w="124" w:type="dxa"/>
          </w:tblCellMar>
        </w:tblPrEx>
        <w:trPr>
          <w:cantSplit/>
        </w:trPr>
        <w:tc>
          <w:tcPr>
            <w:tcW w:w="2430" w:type="dxa"/>
            <w:tcBorders>
              <w:top w:val="single" w:sz="4" w:space="0" w:color="auto"/>
              <w:left w:val="single" w:sz="7" w:space="0" w:color="auto"/>
              <w:bottom w:val="nil"/>
              <w:right w:val="nil"/>
            </w:tcBorders>
          </w:tcPr>
          <w:p w:rsidR="00721F5E" w:rsidRDefault="00721F5E">
            <w:pPr>
              <w:spacing w:before="100" w:after="56"/>
              <w:jc w:val="center"/>
              <w:rPr>
                <w:rFonts w:ascii="Arial Narrow" w:hAnsi="Arial Narrow" w:cs="Arial"/>
                <w:sz w:val="20"/>
                <w:szCs w:val="24"/>
              </w:rPr>
            </w:pPr>
            <w:r>
              <w:rPr>
                <w:rFonts w:ascii="Arial Narrow" w:hAnsi="Arial Narrow"/>
                <w:sz w:val="20"/>
                <w:szCs w:val="24"/>
              </w:rPr>
              <w:lastRenderedPageBreak/>
              <w:t>6</w:t>
            </w:r>
          </w:p>
        </w:tc>
        <w:tc>
          <w:tcPr>
            <w:tcW w:w="7290" w:type="dxa"/>
            <w:gridSpan w:val="2"/>
            <w:tcBorders>
              <w:top w:val="single" w:sz="4" w:space="0" w:color="auto"/>
              <w:left w:val="single" w:sz="7" w:space="0" w:color="auto"/>
              <w:bottom w:val="nil"/>
              <w:right w:val="single" w:sz="7" w:space="0" w:color="auto"/>
            </w:tcBorders>
            <w:vAlign w:val="bottom"/>
          </w:tcPr>
          <w:p w:rsidR="00721F5E" w:rsidRDefault="00721F5E">
            <w:pPr>
              <w:spacing w:before="100" w:after="56"/>
              <w:rPr>
                <w:rFonts w:ascii="Arial Narrow" w:hAnsi="Arial Narrow" w:cs="Arial"/>
                <w:sz w:val="20"/>
                <w:szCs w:val="24"/>
              </w:rPr>
            </w:pPr>
            <w:r>
              <w:rPr>
                <w:rFonts w:ascii="Arial Narrow" w:hAnsi="Arial Narrow"/>
                <w:sz w:val="20"/>
                <w:szCs w:val="24"/>
              </w:rPr>
              <w:t>Delivery to an overseas POD.  The DoD is responsible for transportation from the point of origin to the overseas POD.  The customer is responsible for discharging the vessel/aircraft, port handling, and subsequent onward movement.  Expenses to DoD for accessorial costs are reimbursable.  Shipments are made on GBLs and in the DTS (including LOGAIR, OUICKTRANS, MAC, MTMC water ports, and/or MSC).  Port handling at CONUS and overseas air terminals is provided without direct reimbursement by the customer when shipment is made under actual MAC tariff rates (which include such services).  The customer does provide reimbursement for port handling when movement costs are charged using the DoD accessorial rate.  At U.S. operated overseas water ports, handling costs are reimbursed according to local agreements between the United States and the customer; at  the overseas air and water ports, charges are paid directly by.</w:t>
            </w:r>
          </w:p>
        </w:tc>
      </w:tr>
      <w:tr w:rsidR="00721F5E">
        <w:tblPrEx>
          <w:tblCellMar>
            <w:left w:w="124" w:type="dxa"/>
            <w:right w:w="124" w:type="dxa"/>
          </w:tblCellMar>
        </w:tblPrEx>
        <w:trPr>
          <w:cantSplit/>
        </w:trPr>
        <w:tc>
          <w:tcPr>
            <w:tcW w:w="2430" w:type="dxa"/>
            <w:tcBorders>
              <w:top w:val="single" w:sz="7" w:space="0" w:color="auto"/>
              <w:left w:val="single" w:sz="7" w:space="0" w:color="auto"/>
              <w:bottom w:val="nil"/>
              <w:right w:val="nil"/>
            </w:tcBorders>
          </w:tcPr>
          <w:p w:rsidR="00721F5E" w:rsidRDefault="00721F5E">
            <w:pPr>
              <w:spacing w:before="100" w:after="56"/>
              <w:jc w:val="center"/>
              <w:rPr>
                <w:rFonts w:ascii="Arial Narrow" w:hAnsi="Arial Narrow" w:cs="Arial"/>
                <w:sz w:val="20"/>
                <w:szCs w:val="24"/>
              </w:rPr>
            </w:pPr>
          </w:p>
        </w:tc>
        <w:tc>
          <w:tcPr>
            <w:tcW w:w="7290" w:type="dxa"/>
            <w:gridSpan w:val="2"/>
            <w:tcBorders>
              <w:top w:val="single" w:sz="7" w:space="0" w:color="auto"/>
              <w:left w:val="single" w:sz="7" w:space="0" w:color="auto"/>
              <w:bottom w:val="nil"/>
              <w:right w:val="single" w:sz="7" w:space="0" w:color="auto"/>
            </w:tcBorders>
            <w:vAlign w:val="bottom"/>
          </w:tcPr>
          <w:p w:rsidR="00721F5E" w:rsidRDefault="00721F5E">
            <w:pPr>
              <w:spacing w:before="100" w:after="56"/>
              <w:rPr>
                <w:rFonts w:ascii="Arial Narrow" w:hAnsi="Arial Narrow" w:cs="Arial"/>
                <w:sz w:val="20"/>
                <w:szCs w:val="24"/>
              </w:rPr>
            </w:pPr>
            <w:r>
              <w:rPr>
                <w:rFonts w:ascii="Arial Narrow" w:hAnsi="Arial Narrow"/>
                <w:sz w:val="20"/>
                <w:szCs w:val="24"/>
              </w:rPr>
              <w:t>the customer.  This code is the standard code for materiel that is the customer restricted from movement to a freight forwarder.  This code is normally applied to shipments of firearms, classified and explosive materiel, and in other instances specifically directed in the FMS case agreement.</w:t>
            </w:r>
          </w:p>
        </w:tc>
      </w:tr>
      <w:tr w:rsidR="00721F5E">
        <w:tblPrEx>
          <w:tblCellMar>
            <w:left w:w="124" w:type="dxa"/>
            <w:right w:w="124" w:type="dxa"/>
          </w:tblCellMar>
        </w:tblPrEx>
        <w:trPr>
          <w:cantSplit/>
        </w:trPr>
        <w:tc>
          <w:tcPr>
            <w:tcW w:w="2430" w:type="dxa"/>
            <w:tcBorders>
              <w:top w:val="single" w:sz="7" w:space="0" w:color="auto"/>
              <w:left w:val="single" w:sz="7" w:space="0" w:color="auto"/>
              <w:bottom w:val="nil"/>
              <w:right w:val="nil"/>
            </w:tcBorders>
          </w:tcPr>
          <w:p w:rsidR="00721F5E" w:rsidRDefault="00721F5E">
            <w:pPr>
              <w:spacing w:before="100" w:after="56"/>
              <w:jc w:val="center"/>
              <w:rPr>
                <w:rFonts w:ascii="Arial Narrow" w:hAnsi="Arial Narrow" w:cs="Arial"/>
                <w:sz w:val="20"/>
                <w:szCs w:val="24"/>
              </w:rPr>
            </w:pPr>
            <w:r>
              <w:rPr>
                <w:rFonts w:ascii="Arial Narrow" w:hAnsi="Arial Narrow"/>
                <w:sz w:val="20"/>
                <w:szCs w:val="24"/>
              </w:rPr>
              <w:t>7</w:t>
            </w:r>
          </w:p>
        </w:tc>
        <w:tc>
          <w:tcPr>
            <w:tcW w:w="7290" w:type="dxa"/>
            <w:gridSpan w:val="2"/>
            <w:tcBorders>
              <w:top w:val="single" w:sz="7" w:space="0" w:color="auto"/>
              <w:left w:val="single" w:sz="7" w:space="0" w:color="auto"/>
              <w:bottom w:val="nil"/>
              <w:right w:val="single" w:sz="7" w:space="0" w:color="auto"/>
            </w:tcBorders>
            <w:vAlign w:val="bottom"/>
          </w:tcPr>
          <w:p w:rsidR="00721F5E" w:rsidRDefault="00721F5E">
            <w:pPr>
              <w:spacing w:before="100" w:after="56"/>
              <w:rPr>
                <w:rFonts w:ascii="Arial Narrow" w:hAnsi="Arial Narrow" w:cs="Arial"/>
                <w:sz w:val="20"/>
                <w:szCs w:val="24"/>
              </w:rPr>
            </w:pPr>
            <w:r>
              <w:rPr>
                <w:rFonts w:ascii="Arial Narrow" w:hAnsi="Arial Narrow"/>
                <w:sz w:val="20"/>
                <w:szCs w:val="24"/>
              </w:rPr>
              <w:t xml:space="preserve">Delivery to an inland point in the recipient country.  DoD is responsible for transportation, including </w:t>
            </w:r>
            <w:proofErr w:type="spellStart"/>
            <w:r>
              <w:rPr>
                <w:rFonts w:ascii="Arial Narrow" w:hAnsi="Arial Narrow"/>
                <w:sz w:val="20"/>
                <w:szCs w:val="24"/>
              </w:rPr>
              <w:t>transocean</w:t>
            </w:r>
            <w:proofErr w:type="spellEnd"/>
            <w:r>
              <w:rPr>
                <w:rFonts w:ascii="Arial Narrow" w:hAnsi="Arial Narrow"/>
                <w:sz w:val="20"/>
                <w:szCs w:val="24"/>
              </w:rPr>
              <w:t xml:space="preserve"> and overseas inland movement, from the point of origin, to a specified inland location.  The customer is responsible for unloading the shipment from the inland carrier at the specified location and for all subsequent onward movement.  Expenses to DoD for accessorial costs are reimbursable.  This code has limited use and normally applies to the shipment of materiel to those countries which have no seaports (e.g., Bolivia, Paraguay, Switzerland, and Austria).  The shipper provides modes and routing from the origin to the consignee location by GBL or by special arrangement with MAC, MSC, or U.S. military activities within the country for movement from the POD to the consignee location.</w:t>
            </w:r>
          </w:p>
        </w:tc>
      </w:tr>
      <w:tr w:rsidR="00721F5E">
        <w:tblPrEx>
          <w:tblCellMar>
            <w:left w:w="124" w:type="dxa"/>
            <w:right w:w="124" w:type="dxa"/>
          </w:tblCellMar>
        </w:tblPrEx>
        <w:trPr>
          <w:cantSplit/>
        </w:trPr>
        <w:tc>
          <w:tcPr>
            <w:tcW w:w="2430" w:type="dxa"/>
            <w:tcBorders>
              <w:top w:val="single" w:sz="7" w:space="0" w:color="auto"/>
              <w:left w:val="single" w:sz="7" w:space="0" w:color="auto"/>
              <w:bottom w:val="nil"/>
              <w:right w:val="nil"/>
            </w:tcBorders>
          </w:tcPr>
          <w:p w:rsidR="00721F5E" w:rsidRDefault="00721F5E">
            <w:pPr>
              <w:spacing w:before="100" w:after="56"/>
              <w:jc w:val="center"/>
              <w:rPr>
                <w:rFonts w:ascii="Arial Narrow" w:hAnsi="Arial Narrow" w:cs="Arial"/>
                <w:sz w:val="20"/>
                <w:szCs w:val="24"/>
              </w:rPr>
            </w:pPr>
            <w:r>
              <w:rPr>
                <w:rFonts w:ascii="Arial Narrow" w:hAnsi="Arial Narrow"/>
                <w:sz w:val="20"/>
                <w:szCs w:val="24"/>
              </w:rPr>
              <w:t>8</w:t>
            </w:r>
          </w:p>
        </w:tc>
        <w:tc>
          <w:tcPr>
            <w:tcW w:w="7290" w:type="dxa"/>
            <w:gridSpan w:val="2"/>
            <w:tcBorders>
              <w:top w:val="single" w:sz="7" w:space="0" w:color="auto"/>
              <w:left w:val="single" w:sz="7" w:space="0" w:color="auto"/>
              <w:bottom w:val="nil"/>
              <w:right w:val="single" w:sz="7" w:space="0" w:color="auto"/>
            </w:tcBorders>
            <w:vAlign w:val="bottom"/>
          </w:tcPr>
          <w:p w:rsidR="00721F5E" w:rsidRDefault="00721F5E">
            <w:pPr>
              <w:spacing w:before="100" w:after="56"/>
              <w:rPr>
                <w:rFonts w:ascii="Arial Narrow" w:hAnsi="Arial Narrow" w:cs="Arial"/>
                <w:sz w:val="20"/>
                <w:szCs w:val="24"/>
              </w:rPr>
            </w:pPr>
            <w:r>
              <w:rPr>
                <w:rFonts w:ascii="Arial Narrow" w:hAnsi="Arial Narrow"/>
                <w:sz w:val="20"/>
                <w:szCs w:val="24"/>
              </w:rPr>
              <w:t>Delivery onboard a vessel/aircraft at the POE.  The DoD is responsible for transportation from the point of origin to the vessel at the POE including unloading from the inland carrier, port handling, and stowage aboard the vessel/aircraft.  The customer is responsible for all subsequent onward movement.  Expenses to the DoD for accessorial costs are reimbursable.  Shipments are made on GBLs.  This code is especially applicable for explosive materiel prohibited from movement by a freight forwarder, but which must move through Military-controlled port with onward movement arranged by and coordinated with the country freight forwarder.</w:t>
            </w:r>
          </w:p>
        </w:tc>
      </w:tr>
      <w:tr w:rsidR="00721F5E">
        <w:tblPrEx>
          <w:tblCellMar>
            <w:left w:w="124" w:type="dxa"/>
            <w:right w:w="124" w:type="dxa"/>
          </w:tblCellMar>
        </w:tblPrEx>
        <w:trPr>
          <w:cantSplit/>
        </w:trPr>
        <w:tc>
          <w:tcPr>
            <w:tcW w:w="2430" w:type="dxa"/>
            <w:tcBorders>
              <w:top w:val="single" w:sz="7" w:space="0" w:color="auto"/>
              <w:left w:val="single" w:sz="7" w:space="0" w:color="auto"/>
              <w:bottom w:val="nil"/>
              <w:right w:val="nil"/>
            </w:tcBorders>
          </w:tcPr>
          <w:p w:rsidR="00721F5E" w:rsidRDefault="00721F5E">
            <w:pPr>
              <w:spacing w:before="100" w:after="56"/>
              <w:jc w:val="center"/>
              <w:rPr>
                <w:rFonts w:ascii="Arial Narrow" w:hAnsi="Arial Narrow" w:cs="Arial"/>
                <w:sz w:val="20"/>
                <w:szCs w:val="24"/>
              </w:rPr>
            </w:pPr>
            <w:r>
              <w:rPr>
                <w:rFonts w:ascii="Arial Narrow" w:hAnsi="Arial Narrow"/>
                <w:sz w:val="20"/>
                <w:szCs w:val="24"/>
              </w:rPr>
              <w:t>9</w:t>
            </w:r>
          </w:p>
        </w:tc>
        <w:tc>
          <w:tcPr>
            <w:tcW w:w="7290" w:type="dxa"/>
            <w:gridSpan w:val="2"/>
            <w:tcBorders>
              <w:top w:val="single" w:sz="7" w:space="0" w:color="auto"/>
              <w:left w:val="single" w:sz="7" w:space="0" w:color="auto"/>
              <w:bottom w:val="nil"/>
              <w:right w:val="single" w:sz="7" w:space="0" w:color="auto"/>
            </w:tcBorders>
            <w:vAlign w:val="bottom"/>
          </w:tcPr>
          <w:p w:rsidR="00721F5E" w:rsidRDefault="00721F5E">
            <w:pPr>
              <w:spacing w:before="100" w:after="56"/>
              <w:rPr>
                <w:rFonts w:ascii="Arial Narrow" w:hAnsi="Arial Narrow" w:cs="Arial"/>
                <w:sz w:val="20"/>
                <w:szCs w:val="24"/>
              </w:rPr>
            </w:pPr>
            <w:r>
              <w:rPr>
                <w:rFonts w:ascii="Arial Narrow" w:hAnsi="Arial Narrow"/>
                <w:sz w:val="20"/>
                <w:szCs w:val="24"/>
              </w:rPr>
              <w:t>Delivery to POD.  The DoD is responsible for transportation from the point of origin to the overseas POD, including discharge from the vessel/aircraft.  The customer is responsible for all subsequent handling and onward movement.  Expenses to the DoD for accessorial costs are reimbursable.</w:t>
            </w:r>
          </w:p>
        </w:tc>
      </w:tr>
      <w:tr w:rsidR="00721F5E">
        <w:tblPrEx>
          <w:tblCellMar>
            <w:left w:w="124" w:type="dxa"/>
            <w:right w:w="124" w:type="dxa"/>
          </w:tblCellMar>
        </w:tblPrEx>
        <w:trPr>
          <w:cantSplit/>
        </w:trPr>
        <w:tc>
          <w:tcPr>
            <w:tcW w:w="9720" w:type="dxa"/>
            <w:gridSpan w:val="3"/>
            <w:tcBorders>
              <w:top w:val="single" w:sz="7" w:space="0" w:color="auto"/>
              <w:left w:val="single" w:sz="7" w:space="0" w:color="auto"/>
              <w:bottom w:val="nil"/>
              <w:right w:val="single" w:sz="7" w:space="0" w:color="auto"/>
            </w:tcBorders>
            <w:vAlign w:val="bottom"/>
          </w:tcPr>
          <w:p w:rsidR="00721F5E" w:rsidRDefault="00721F5E">
            <w:pPr>
              <w:tabs>
                <w:tab w:val="left" w:pos="-1200"/>
                <w:tab w:val="left" w:pos="-720"/>
                <w:tab w:val="left" w:pos="0"/>
                <w:tab w:val="left" w:pos="69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00" w:after="56"/>
              <w:rPr>
                <w:rFonts w:ascii="Arial Narrow" w:hAnsi="Arial Narrow" w:cs="Arial"/>
                <w:sz w:val="20"/>
                <w:szCs w:val="24"/>
              </w:rPr>
            </w:pPr>
            <w:r>
              <w:rPr>
                <w:rFonts w:ascii="Arial Narrow" w:hAnsi="Arial Narrow"/>
                <w:sz w:val="20"/>
                <w:szCs w:val="24"/>
              </w:rPr>
              <w:tab/>
              <w:t>b.  Detailed explanation of DoD responsibility for FMS repair and return shipments originating from and returning to overseas.</w:t>
            </w:r>
          </w:p>
        </w:tc>
      </w:tr>
      <w:tr w:rsidR="00721F5E">
        <w:tblPrEx>
          <w:tblCellMar>
            <w:left w:w="124" w:type="dxa"/>
            <w:right w:w="124" w:type="dxa"/>
          </w:tblCellMar>
        </w:tblPrEx>
        <w:trPr>
          <w:cantSplit/>
        </w:trPr>
        <w:tc>
          <w:tcPr>
            <w:tcW w:w="2430" w:type="dxa"/>
            <w:tcBorders>
              <w:top w:val="single" w:sz="7" w:space="0" w:color="auto"/>
              <w:left w:val="single" w:sz="7" w:space="0" w:color="auto"/>
              <w:bottom w:val="single" w:sz="8" w:space="0" w:color="auto"/>
              <w:right w:val="nil"/>
            </w:tcBorders>
          </w:tcPr>
          <w:p w:rsidR="00721F5E" w:rsidRDefault="00721F5E">
            <w:pPr>
              <w:spacing w:before="100" w:after="56"/>
              <w:jc w:val="center"/>
              <w:rPr>
                <w:rFonts w:ascii="Arial Narrow" w:hAnsi="Arial Narrow" w:cs="Arial"/>
                <w:sz w:val="20"/>
                <w:szCs w:val="24"/>
              </w:rPr>
            </w:pPr>
            <w:r>
              <w:rPr>
                <w:rFonts w:ascii="Arial Narrow" w:hAnsi="Arial Narrow"/>
                <w:sz w:val="20"/>
                <w:szCs w:val="24"/>
              </w:rPr>
              <w:t>A</w:t>
            </w:r>
          </w:p>
        </w:tc>
        <w:tc>
          <w:tcPr>
            <w:tcW w:w="7290" w:type="dxa"/>
            <w:gridSpan w:val="2"/>
            <w:tcBorders>
              <w:top w:val="single" w:sz="7" w:space="0" w:color="auto"/>
              <w:left w:val="single" w:sz="7" w:space="0" w:color="auto"/>
              <w:bottom w:val="single" w:sz="8" w:space="0" w:color="auto"/>
              <w:right w:val="single" w:sz="7" w:space="0" w:color="auto"/>
            </w:tcBorders>
            <w:vAlign w:val="bottom"/>
          </w:tcPr>
          <w:p w:rsidR="00721F5E" w:rsidRDefault="00721F5E">
            <w:pPr>
              <w:spacing w:before="100" w:after="56"/>
              <w:rPr>
                <w:rFonts w:ascii="Arial Narrow" w:hAnsi="Arial Narrow" w:cs="Arial"/>
                <w:sz w:val="20"/>
                <w:szCs w:val="24"/>
              </w:rPr>
            </w:pPr>
            <w:r>
              <w:rPr>
                <w:rFonts w:ascii="Arial Narrow" w:hAnsi="Arial Narrow"/>
                <w:sz w:val="20"/>
                <w:szCs w:val="24"/>
              </w:rPr>
              <w:t>The DoD is responsible for transportation from a designated overseas POE to a CONUS destination and subsequent return to a designated overseas POD.  The customer is responsible for overseas inland transportation of materiel to and from the overseas POE/POD and overseas port handling.</w:t>
            </w:r>
          </w:p>
        </w:tc>
      </w:tr>
      <w:tr w:rsidR="00721F5E">
        <w:tblPrEx>
          <w:tblCellMar>
            <w:left w:w="124" w:type="dxa"/>
            <w:right w:w="124" w:type="dxa"/>
          </w:tblCellMar>
        </w:tblPrEx>
        <w:trPr>
          <w:cantSplit/>
        </w:trPr>
        <w:tc>
          <w:tcPr>
            <w:tcW w:w="2430" w:type="dxa"/>
            <w:tcBorders>
              <w:top w:val="single" w:sz="8" w:space="0" w:color="auto"/>
              <w:left w:val="single" w:sz="8" w:space="0" w:color="auto"/>
              <w:bottom w:val="single" w:sz="4" w:space="0" w:color="auto"/>
              <w:right w:val="single" w:sz="8" w:space="0" w:color="auto"/>
            </w:tcBorders>
          </w:tcPr>
          <w:p w:rsidR="00721F5E" w:rsidRDefault="00721F5E">
            <w:pPr>
              <w:spacing w:before="100" w:after="56"/>
              <w:jc w:val="center"/>
              <w:rPr>
                <w:rFonts w:ascii="Arial Narrow" w:hAnsi="Arial Narrow" w:cs="Arial"/>
                <w:sz w:val="20"/>
                <w:szCs w:val="24"/>
              </w:rPr>
            </w:pPr>
            <w:r>
              <w:rPr>
                <w:rFonts w:ascii="Arial Narrow" w:hAnsi="Arial Narrow"/>
                <w:sz w:val="20"/>
                <w:szCs w:val="24"/>
              </w:rPr>
              <w:t>B</w:t>
            </w:r>
          </w:p>
        </w:tc>
        <w:tc>
          <w:tcPr>
            <w:tcW w:w="7290" w:type="dxa"/>
            <w:gridSpan w:val="2"/>
            <w:tcBorders>
              <w:top w:val="single" w:sz="8" w:space="0" w:color="auto"/>
              <w:left w:val="single" w:sz="8" w:space="0" w:color="auto"/>
              <w:bottom w:val="single" w:sz="4" w:space="0" w:color="auto"/>
              <w:right w:val="single" w:sz="8" w:space="0" w:color="auto"/>
            </w:tcBorders>
            <w:vAlign w:val="bottom"/>
          </w:tcPr>
          <w:p w:rsidR="00721F5E" w:rsidRDefault="00721F5E">
            <w:pPr>
              <w:spacing w:before="100" w:after="56"/>
              <w:rPr>
                <w:rFonts w:ascii="Arial Narrow" w:hAnsi="Arial Narrow" w:cs="Arial"/>
                <w:sz w:val="20"/>
                <w:szCs w:val="24"/>
              </w:rPr>
            </w:pPr>
            <w:r>
              <w:rPr>
                <w:rFonts w:ascii="Arial Narrow" w:hAnsi="Arial Narrow"/>
                <w:sz w:val="20"/>
                <w:szCs w:val="24"/>
              </w:rPr>
              <w:t>The DoD is responsible for transportation from a designated overseas POE to a CONUS destination, return to a CONUS POE, and CONUS port handling.  The customer is responsible for overseas inland transportation to the overseas POE, overseas port loading, and all return transportation from the CONUS POE to ultimate destination.</w:t>
            </w:r>
          </w:p>
        </w:tc>
      </w:tr>
      <w:tr w:rsidR="00721F5E">
        <w:tblPrEx>
          <w:tblCellMar>
            <w:left w:w="124" w:type="dxa"/>
            <w:right w:w="124" w:type="dxa"/>
          </w:tblCellMar>
        </w:tblPrEx>
        <w:trPr>
          <w:cantSplit/>
        </w:trPr>
        <w:tc>
          <w:tcPr>
            <w:tcW w:w="2430" w:type="dxa"/>
            <w:tcBorders>
              <w:top w:val="single" w:sz="4" w:space="0" w:color="auto"/>
              <w:left w:val="single" w:sz="7" w:space="0" w:color="auto"/>
              <w:bottom w:val="nil"/>
              <w:right w:val="nil"/>
            </w:tcBorders>
          </w:tcPr>
          <w:p w:rsidR="00721F5E" w:rsidRDefault="00721F5E">
            <w:pPr>
              <w:spacing w:before="100" w:after="56"/>
              <w:jc w:val="center"/>
              <w:rPr>
                <w:rFonts w:ascii="Arial Narrow" w:hAnsi="Arial Narrow" w:cs="Arial"/>
                <w:sz w:val="20"/>
                <w:szCs w:val="24"/>
              </w:rPr>
            </w:pPr>
            <w:r>
              <w:rPr>
                <w:rFonts w:ascii="Arial Narrow" w:hAnsi="Arial Narrow"/>
                <w:sz w:val="20"/>
                <w:szCs w:val="24"/>
              </w:rPr>
              <w:lastRenderedPageBreak/>
              <w:t>C</w:t>
            </w:r>
          </w:p>
        </w:tc>
        <w:tc>
          <w:tcPr>
            <w:tcW w:w="7290" w:type="dxa"/>
            <w:gridSpan w:val="2"/>
            <w:tcBorders>
              <w:top w:val="single" w:sz="4" w:space="0" w:color="auto"/>
              <w:left w:val="single" w:sz="7" w:space="0" w:color="auto"/>
              <w:bottom w:val="nil"/>
              <w:right w:val="single" w:sz="7" w:space="0" w:color="auto"/>
            </w:tcBorders>
            <w:vAlign w:val="bottom"/>
          </w:tcPr>
          <w:p w:rsidR="00721F5E" w:rsidRDefault="00721F5E">
            <w:pPr>
              <w:spacing w:before="100" w:after="56"/>
              <w:rPr>
                <w:rFonts w:ascii="Arial Narrow" w:hAnsi="Arial Narrow" w:cs="Arial"/>
                <w:sz w:val="20"/>
                <w:szCs w:val="24"/>
              </w:rPr>
            </w:pPr>
            <w:r>
              <w:rPr>
                <w:rFonts w:ascii="Arial Narrow" w:hAnsi="Arial Narrow"/>
                <w:sz w:val="20"/>
                <w:szCs w:val="24"/>
              </w:rPr>
              <w:t>The DoD is responsible for CONUS port unloading from the customer arranged carrier, transportation to and from a designated CONUS destination, and CONUS port loading of a customer arranged carrier.  The customer is responsible for movement of materiel to and from the CONUS POD/POE.</w:t>
            </w:r>
          </w:p>
        </w:tc>
      </w:tr>
      <w:tr w:rsidR="00721F5E">
        <w:tblPrEx>
          <w:tblCellMar>
            <w:left w:w="124" w:type="dxa"/>
            <w:right w:w="124" w:type="dxa"/>
          </w:tblCellMar>
        </w:tblPrEx>
        <w:trPr>
          <w:cantSplit/>
        </w:trPr>
        <w:tc>
          <w:tcPr>
            <w:tcW w:w="2430" w:type="dxa"/>
            <w:tcBorders>
              <w:top w:val="single" w:sz="7" w:space="0" w:color="auto"/>
              <w:left w:val="single" w:sz="7" w:space="0" w:color="auto"/>
              <w:bottom w:val="nil"/>
              <w:right w:val="nil"/>
            </w:tcBorders>
          </w:tcPr>
          <w:p w:rsidR="00721F5E" w:rsidRDefault="00721F5E">
            <w:pPr>
              <w:spacing w:before="100" w:after="56"/>
              <w:jc w:val="center"/>
              <w:rPr>
                <w:rFonts w:ascii="Arial Narrow" w:hAnsi="Arial Narrow" w:cs="Arial"/>
                <w:sz w:val="20"/>
                <w:szCs w:val="24"/>
              </w:rPr>
            </w:pPr>
            <w:r>
              <w:rPr>
                <w:rFonts w:ascii="Arial Narrow" w:hAnsi="Arial Narrow"/>
                <w:sz w:val="20"/>
                <w:szCs w:val="24"/>
              </w:rPr>
              <w:t>D</w:t>
            </w:r>
          </w:p>
        </w:tc>
        <w:tc>
          <w:tcPr>
            <w:tcW w:w="7290" w:type="dxa"/>
            <w:gridSpan w:val="2"/>
            <w:tcBorders>
              <w:top w:val="single" w:sz="7" w:space="0" w:color="auto"/>
              <w:left w:val="single" w:sz="7" w:space="0" w:color="auto"/>
              <w:bottom w:val="nil"/>
              <w:right w:val="single" w:sz="7" w:space="0" w:color="auto"/>
            </w:tcBorders>
            <w:vAlign w:val="bottom"/>
          </w:tcPr>
          <w:p w:rsidR="00721F5E" w:rsidRDefault="00721F5E">
            <w:pPr>
              <w:spacing w:before="100" w:after="56"/>
              <w:rPr>
                <w:rFonts w:ascii="Arial Narrow" w:hAnsi="Arial Narrow" w:cs="Arial"/>
                <w:sz w:val="20"/>
                <w:szCs w:val="24"/>
              </w:rPr>
            </w:pPr>
            <w:r>
              <w:rPr>
                <w:rFonts w:ascii="Arial Narrow" w:hAnsi="Arial Narrow"/>
                <w:sz w:val="20"/>
                <w:szCs w:val="24"/>
              </w:rPr>
              <w:t>The DoD is responsible for CONUS port unloading from the customer arranged carrier, transportation to a CONUS destination, and return to an overseas designated POD.  The customer country is responsible for transportation to a CONUS POD, overseas port unloading, and overseas inland transportation to ultimate destination.</w:t>
            </w:r>
          </w:p>
        </w:tc>
      </w:tr>
      <w:tr w:rsidR="00721F5E">
        <w:tblPrEx>
          <w:tblCellMar>
            <w:left w:w="124" w:type="dxa"/>
            <w:right w:w="124" w:type="dxa"/>
          </w:tblCellMar>
        </w:tblPrEx>
        <w:trPr>
          <w:cantSplit/>
        </w:trPr>
        <w:tc>
          <w:tcPr>
            <w:tcW w:w="2430" w:type="dxa"/>
            <w:tcBorders>
              <w:top w:val="single" w:sz="7" w:space="0" w:color="auto"/>
              <w:left w:val="single" w:sz="7" w:space="0" w:color="auto"/>
              <w:bottom w:val="nil"/>
              <w:right w:val="nil"/>
            </w:tcBorders>
          </w:tcPr>
          <w:p w:rsidR="00721F5E" w:rsidRDefault="00721F5E">
            <w:pPr>
              <w:spacing w:before="100" w:after="56"/>
              <w:jc w:val="center"/>
              <w:rPr>
                <w:rFonts w:ascii="Arial Narrow" w:hAnsi="Arial Narrow" w:cs="Arial"/>
                <w:sz w:val="20"/>
                <w:szCs w:val="24"/>
              </w:rPr>
            </w:pPr>
            <w:r>
              <w:rPr>
                <w:rFonts w:ascii="Arial Narrow" w:hAnsi="Arial Narrow"/>
                <w:sz w:val="20"/>
                <w:szCs w:val="24"/>
              </w:rPr>
              <w:t>E</w:t>
            </w:r>
          </w:p>
        </w:tc>
        <w:tc>
          <w:tcPr>
            <w:tcW w:w="7290" w:type="dxa"/>
            <w:gridSpan w:val="2"/>
            <w:tcBorders>
              <w:top w:val="single" w:sz="7" w:space="0" w:color="auto"/>
              <w:left w:val="single" w:sz="7" w:space="0" w:color="auto"/>
              <w:bottom w:val="nil"/>
              <w:right w:val="single" w:sz="7" w:space="0" w:color="auto"/>
            </w:tcBorders>
            <w:vAlign w:val="bottom"/>
          </w:tcPr>
          <w:p w:rsidR="00721F5E" w:rsidRDefault="00721F5E">
            <w:pPr>
              <w:spacing w:before="100" w:after="56"/>
              <w:rPr>
                <w:rFonts w:ascii="Arial Narrow" w:hAnsi="Arial Narrow" w:cs="Arial"/>
                <w:sz w:val="20"/>
                <w:szCs w:val="24"/>
              </w:rPr>
            </w:pPr>
            <w:r>
              <w:rPr>
                <w:rFonts w:ascii="Arial Narrow" w:hAnsi="Arial Narrow"/>
                <w:sz w:val="20"/>
                <w:szCs w:val="24"/>
              </w:rPr>
              <w:t>The customer is responsible for all transportation from overseas point of origin to the CONUS destination and return to an overseas destination.</w:t>
            </w:r>
          </w:p>
        </w:tc>
      </w:tr>
      <w:tr w:rsidR="00721F5E">
        <w:tblPrEx>
          <w:tblCellMar>
            <w:left w:w="124" w:type="dxa"/>
            <w:right w:w="124" w:type="dxa"/>
          </w:tblCellMar>
        </w:tblPrEx>
        <w:trPr>
          <w:cantSplit/>
        </w:trPr>
        <w:tc>
          <w:tcPr>
            <w:tcW w:w="2430" w:type="dxa"/>
            <w:tcBorders>
              <w:top w:val="single" w:sz="7" w:space="0" w:color="auto"/>
              <w:left w:val="single" w:sz="7" w:space="0" w:color="auto"/>
              <w:bottom w:val="nil"/>
              <w:right w:val="nil"/>
            </w:tcBorders>
          </w:tcPr>
          <w:p w:rsidR="00721F5E" w:rsidRDefault="00721F5E">
            <w:pPr>
              <w:spacing w:before="100" w:after="56"/>
              <w:jc w:val="center"/>
              <w:rPr>
                <w:rFonts w:ascii="Arial Narrow" w:hAnsi="Arial Narrow" w:cs="Arial"/>
                <w:sz w:val="20"/>
                <w:szCs w:val="24"/>
              </w:rPr>
            </w:pPr>
            <w:r>
              <w:rPr>
                <w:rFonts w:ascii="Arial Narrow" w:hAnsi="Arial Narrow"/>
                <w:sz w:val="20"/>
                <w:szCs w:val="24"/>
              </w:rPr>
              <w:t>F</w:t>
            </w:r>
          </w:p>
        </w:tc>
        <w:tc>
          <w:tcPr>
            <w:tcW w:w="7290" w:type="dxa"/>
            <w:gridSpan w:val="2"/>
            <w:tcBorders>
              <w:top w:val="single" w:sz="7" w:space="0" w:color="auto"/>
              <w:left w:val="single" w:sz="7" w:space="0" w:color="auto"/>
              <w:bottom w:val="nil"/>
              <w:right w:val="single" w:sz="7" w:space="0" w:color="auto"/>
            </w:tcBorders>
            <w:vAlign w:val="bottom"/>
          </w:tcPr>
          <w:p w:rsidR="00721F5E" w:rsidRDefault="00721F5E">
            <w:pPr>
              <w:spacing w:before="100" w:after="56"/>
              <w:rPr>
                <w:rFonts w:ascii="Arial Narrow" w:hAnsi="Arial Narrow" w:cs="Arial"/>
                <w:sz w:val="20"/>
                <w:szCs w:val="24"/>
              </w:rPr>
            </w:pPr>
            <w:r>
              <w:rPr>
                <w:rFonts w:ascii="Arial Narrow" w:hAnsi="Arial Narrow"/>
                <w:sz w:val="20"/>
                <w:szCs w:val="24"/>
              </w:rPr>
              <w:t xml:space="preserve">The DoD is responsible for transportation from an overseas inland location to an overseas POE, overseas port handling, transportation to a CONUS POE, CONUS port handling, inland transportation to a designated </w:t>
            </w:r>
            <w:proofErr w:type="spellStart"/>
            <w:r>
              <w:rPr>
                <w:rFonts w:ascii="Arial Narrow" w:hAnsi="Arial Narrow"/>
                <w:sz w:val="20"/>
                <w:szCs w:val="24"/>
              </w:rPr>
              <w:t>conus</w:t>
            </w:r>
            <w:proofErr w:type="spellEnd"/>
            <w:r>
              <w:rPr>
                <w:rFonts w:ascii="Arial Narrow" w:hAnsi="Arial Narrow"/>
                <w:sz w:val="20"/>
                <w:szCs w:val="24"/>
              </w:rPr>
              <w:t xml:space="preserve"> destination, and return to an overseas destination.</w:t>
            </w:r>
          </w:p>
        </w:tc>
      </w:tr>
      <w:tr w:rsidR="00721F5E">
        <w:tblPrEx>
          <w:tblCellMar>
            <w:left w:w="124" w:type="dxa"/>
            <w:right w:w="124" w:type="dxa"/>
          </w:tblCellMar>
        </w:tblPrEx>
        <w:trPr>
          <w:cantSplit/>
        </w:trPr>
        <w:tc>
          <w:tcPr>
            <w:tcW w:w="2430" w:type="dxa"/>
            <w:tcBorders>
              <w:top w:val="single" w:sz="7" w:space="0" w:color="auto"/>
              <w:left w:val="single" w:sz="7" w:space="0" w:color="auto"/>
              <w:bottom w:val="nil"/>
              <w:right w:val="nil"/>
            </w:tcBorders>
          </w:tcPr>
          <w:p w:rsidR="00721F5E" w:rsidRDefault="00721F5E">
            <w:pPr>
              <w:spacing w:before="100" w:after="56"/>
              <w:jc w:val="center"/>
              <w:rPr>
                <w:rFonts w:ascii="Arial Narrow" w:hAnsi="Arial Narrow" w:cs="Arial"/>
                <w:sz w:val="20"/>
                <w:szCs w:val="24"/>
              </w:rPr>
            </w:pPr>
            <w:r>
              <w:rPr>
                <w:rFonts w:ascii="Arial Narrow" w:hAnsi="Arial Narrow"/>
                <w:sz w:val="20"/>
                <w:szCs w:val="24"/>
              </w:rPr>
              <w:t>G</w:t>
            </w:r>
          </w:p>
        </w:tc>
        <w:tc>
          <w:tcPr>
            <w:tcW w:w="7290" w:type="dxa"/>
            <w:gridSpan w:val="2"/>
            <w:tcBorders>
              <w:top w:val="single" w:sz="7" w:space="0" w:color="auto"/>
              <w:left w:val="single" w:sz="7" w:space="0" w:color="auto"/>
              <w:bottom w:val="nil"/>
              <w:right w:val="single" w:sz="7" w:space="0" w:color="auto"/>
            </w:tcBorders>
            <w:vAlign w:val="bottom"/>
          </w:tcPr>
          <w:p w:rsidR="00721F5E" w:rsidRDefault="00721F5E">
            <w:pPr>
              <w:spacing w:before="100" w:after="56"/>
              <w:rPr>
                <w:rFonts w:ascii="Arial Narrow" w:hAnsi="Arial Narrow" w:cs="Arial"/>
                <w:sz w:val="20"/>
                <w:szCs w:val="24"/>
              </w:rPr>
            </w:pPr>
            <w:r>
              <w:rPr>
                <w:rFonts w:ascii="Arial Narrow" w:hAnsi="Arial Narrow"/>
                <w:sz w:val="20"/>
                <w:szCs w:val="24"/>
              </w:rPr>
              <w:t>The DoD is responsible for overseas port handling through an overseas POE, transportation to a CONUS POD, CONUS port handling, inland transportation to a CONUS destination, return to an overseas POD and overseas port handling.  Customer country is responsible for overseas inland transportation to and from the overseas POE/POD.</w:t>
            </w:r>
          </w:p>
        </w:tc>
      </w:tr>
      <w:tr w:rsidR="00721F5E">
        <w:tblPrEx>
          <w:tblCellMar>
            <w:left w:w="124" w:type="dxa"/>
            <w:right w:w="124" w:type="dxa"/>
          </w:tblCellMar>
        </w:tblPrEx>
        <w:trPr>
          <w:cantSplit/>
        </w:trPr>
        <w:tc>
          <w:tcPr>
            <w:tcW w:w="2430" w:type="dxa"/>
            <w:tcBorders>
              <w:top w:val="single" w:sz="7" w:space="0" w:color="auto"/>
              <w:left w:val="single" w:sz="7" w:space="0" w:color="auto"/>
              <w:bottom w:val="nil"/>
              <w:right w:val="nil"/>
            </w:tcBorders>
          </w:tcPr>
          <w:p w:rsidR="00721F5E" w:rsidRDefault="00721F5E">
            <w:pPr>
              <w:spacing w:before="100" w:after="56"/>
              <w:jc w:val="center"/>
              <w:rPr>
                <w:rFonts w:ascii="Arial Narrow" w:hAnsi="Arial Narrow" w:cs="Arial"/>
                <w:sz w:val="20"/>
                <w:szCs w:val="24"/>
              </w:rPr>
            </w:pPr>
            <w:r>
              <w:rPr>
                <w:rFonts w:ascii="Arial Narrow" w:hAnsi="Arial Narrow"/>
                <w:sz w:val="20"/>
                <w:szCs w:val="24"/>
              </w:rPr>
              <w:t>H</w:t>
            </w:r>
          </w:p>
        </w:tc>
        <w:tc>
          <w:tcPr>
            <w:tcW w:w="7290" w:type="dxa"/>
            <w:gridSpan w:val="2"/>
            <w:tcBorders>
              <w:top w:val="single" w:sz="7" w:space="0" w:color="auto"/>
              <w:left w:val="single" w:sz="7" w:space="0" w:color="auto"/>
              <w:bottom w:val="nil"/>
              <w:right w:val="single" w:sz="7" w:space="0" w:color="auto"/>
            </w:tcBorders>
            <w:vAlign w:val="bottom"/>
          </w:tcPr>
          <w:p w:rsidR="00721F5E" w:rsidRDefault="00721F5E">
            <w:pPr>
              <w:spacing w:before="100" w:after="56"/>
              <w:rPr>
                <w:rFonts w:ascii="Arial Narrow" w:hAnsi="Arial Narrow" w:cs="Arial"/>
                <w:sz w:val="20"/>
                <w:szCs w:val="24"/>
              </w:rPr>
            </w:pPr>
            <w:r>
              <w:rPr>
                <w:rFonts w:ascii="Arial Narrow" w:hAnsi="Arial Narrow"/>
                <w:sz w:val="20"/>
                <w:szCs w:val="24"/>
              </w:rPr>
              <w:t xml:space="preserve">The customer is responsible for all transportation from the overseas point of origin to the CONUS destination.  The DoD is responsible for return transportation form the CONUS activity to the CONUS POE.  The customer is responsible for return CONUS port handling and all transportation to the overseas destination.  This code is required for return, repair or exchange, and reshipment of classified </w:t>
            </w:r>
            <w:proofErr w:type="spellStart"/>
            <w:r>
              <w:rPr>
                <w:rFonts w:ascii="Arial Narrow" w:hAnsi="Arial Narrow"/>
                <w:sz w:val="20"/>
                <w:szCs w:val="24"/>
              </w:rPr>
              <w:t>materiels</w:t>
            </w:r>
            <w:proofErr w:type="spellEnd"/>
            <w:r>
              <w:rPr>
                <w:rFonts w:ascii="Arial Narrow" w:hAnsi="Arial Narrow"/>
                <w:sz w:val="20"/>
                <w:szCs w:val="24"/>
              </w:rPr>
              <w:t>.</w:t>
            </w:r>
          </w:p>
        </w:tc>
      </w:tr>
      <w:tr w:rsidR="00721F5E">
        <w:tblPrEx>
          <w:tblCellMar>
            <w:left w:w="124" w:type="dxa"/>
            <w:right w:w="124" w:type="dxa"/>
          </w:tblCellMar>
        </w:tblPrEx>
        <w:trPr>
          <w:cantSplit/>
        </w:trPr>
        <w:tc>
          <w:tcPr>
            <w:tcW w:w="2430" w:type="dxa"/>
            <w:tcBorders>
              <w:top w:val="single" w:sz="7" w:space="0" w:color="auto"/>
              <w:left w:val="single" w:sz="7" w:space="0" w:color="auto"/>
              <w:bottom w:val="single" w:sz="7" w:space="0" w:color="auto"/>
              <w:right w:val="nil"/>
            </w:tcBorders>
          </w:tcPr>
          <w:p w:rsidR="00721F5E" w:rsidRDefault="00721F5E">
            <w:pPr>
              <w:spacing w:before="100" w:after="56"/>
              <w:jc w:val="center"/>
              <w:rPr>
                <w:rFonts w:ascii="Arial Narrow" w:hAnsi="Arial Narrow" w:cs="Arial"/>
                <w:sz w:val="20"/>
                <w:szCs w:val="24"/>
              </w:rPr>
            </w:pPr>
            <w:r>
              <w:rPr>
                <w:rFonts w:ascii="Arial Narrow" w:hAnsi="Arial Narrow"/>
                <w:sz w:val="20"/>
                <w:szCs w:val="24"/>
              </w:rPr>
              <w:t>J</w:t>
            </w:r>
          </w:p>
        </w:tc>
        <w:tc>
          <w:tcPr>
            <w:tcW w:w="7290" w:type="dxa"/>
            <w:gridSpan w:val="2"/>
            <w:tcBorders>
              <w:top w:val="single" w:sz="7" w:space="0" w:color="auto"/>
              <w:left w:val="single" w:sz="7" w:space="0" w:color="auto"/>
              <w:bottom w:val="single" w:sz="7" w:space="0" w:color="auto"/>
              <w:right w:val="single" w:sz="7" w:space="0" w:color="auto"/>
            </w:tcBorders>
            <w:vAlign w:val="bottom"/>
          </w:tcPr>
          <w:p w:rsidR="00721F5E" w:rsidRDefault="00721F5E">
            <w:pPr>
              <w:spacing w:before="100" w:after="56"/>
              <w:rPr>
                <w:rFonts w:ascii="Arial Narrow" w:hAnsi="Arial Narrow" w:cs="Arial"/>
                <w:sz w:val="20"/>
                <w:szCs w:val="24"/>
              </w:rPr>
            </w:pPr>
            <w:r>
              <w:rPr>
                <w:rFonts w:ascii="Arial Narrow" w:hAnsi="Arial Narrow"/>
                <w:sz w:val="20"/>
                <w:szCs w:val="24"/>
              </w:rPr>
              <w:t xml:space="preserve">The customer is responsible for all transportation from the overseas point of origin to the CONUS destination.  The DoD is responsible for all transportation from the CONUS activity to the overseas destination.  This code is required for return, repair or exchange, and reshipment of classified cryptographic </w:t>
            </w:r>
            <w:proofErr w:type="spellStart"/>
            <w:r>
              <w:rPr>
                <w:rFonts w:ascii="Arial Narrow" w:hAnsi="Arial Narrow"/>
                <w:sz w:val="20"/>
                <w:szCs w:val="24"/>
              </w:rPr>
              <w:t>materiels</w:t>
            </w:r>
            <w:proofErr w:type="spellEnd"/>
            <w:r>
              <w:rPr>
                <w:rFonts w:ascii="Arial Narrow" w:hAnsi="Arial Narrow"/>
                <w:sz w:val="20"/>
                <w:szCs w:val="24"/>
              </w:rPr>
              <w:t>.</w:t>
            </w:r>
          </w:p>
        </w:tc>
      </w:tr>
    </w:tbl>
    <w:p w:rsidR="00721F5E" w:rsidRDefault="00721F5E">
      <w:pPr>
        <w:pStyle w:val="Heading2"/>
        <w:numPr>
          <w:ilvl w:val="0"/>
          <w:numId w:val="0"/>
        </w:numPr>
        <w:jc w:val="center"/>
      </w:pPr>
    </w:p>
    <w:sectPr w:rsidR="00721F5E" w:rsidSect="00331BAA">
      <w:headerReference w:type="even" r:id="rId10"/>
      <w:headerReference w:type="default" r:id="rId11"/>
      <w:footerReference w:type="even" r:id="rId12"/>
      <w:footerReference w:type="default" r:id="rId13"/>
      <w:type w:val="continuous"/>
      <w:pgSz w:w="12240" w:h="15840" w:code="1"/>
      <w:pgMar w:top="1728" w:right="1440" w:bottom="1728"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44A" w:rsidRDefault="00FE244A">
      <w:r>
        <w:separator/>
      </w:r>
    </w:p>
  </w:endnote>
  <w:endnote w:type="continuationSeparator" w:id="0">
    <w:p w:rsidR="00FE244A" w:rsidRDefault="00FE24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AA" w:rsidRDefault="001C0364" w:rsidP="00721F5E">
    <w:pPr>
      <w:pStyle w:val="Footer"/>
      <w:framePr w:wrap="around" w:vAnchor="text" w:hAnchor="margin" w:xAlign="center" w:y="1"/>
      <w:rPr>
        <w:rStyle w:val="PageNumber"/>
      </w:rPr>
    </w:pPr>
    <w:r>
      <w:rPr>
        <w:rStyle w:val="PageNumber"/>
      </w:rPr>
      <w:fldChar w:fldCharType="begin"/>
    </w:r>
    <w:r w:rsidR="00331BAA">
      <w:rPr>
        <w:rStyle w:val="PageNumber"/>
      </w:rPr>
      <w:instrText xml:space="preserve">PAGE  </w:instrText>
    </w:r>
    <w:r>
      <w:rPr>
        <w:rStyle w:val="PageNumber"/>
      </w:rPr>
      <w:fldChar w:fldCharType="separate"/>
    </w:r>
    <w:r w:rsidR="00331BAA">
      <w:rPr>
        <w:rStyle w:val="PageNumber"/>
        <w:noProof/>
      </w:rPr>
      <w:t>2</w:t>
    </w:r>
    <w:r>
      <w:rPr>
        <w:rStyle w:val="PageNumber"/>
      </w:rPr>
      <w:fldChar w:fldCharType="end"/>
    </w:r>
  </w:p>
  <w:p w:rsidR="00721F5E" w:rsidRDefault="00721F5E">
    <w:pPr>
      <w:pStyle w:val="Footer"/>
      <w:jc w:val="center"/>
      <w:rPr>
        <w:b/>
      </w:rPr>
    </w:pPr>
    <w:r>
      <w:rPr>
        <w:b/>
      </w:rPr>
      <w:t>AP1.</w:t>
    </w:r>
  </w:p>
  <w:p w:rsidR="00721F5E" w:rsidRDefault="00721F5E">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AA" w:rsidRPr="00331BAA" w:rsidRDefault="00BB6914" w:rsidP="00721F5E">
    <w:pPr>
      <w:pStyle w:val="Footer"/>
      <w:framePr w:wrap="around" w:vAnchor="text" w:hAnchor="margin" w:xAlign="center" w:y="1"/>
      <w:rPr>
        <w:rStyle w:val="PageNumber"/>
        <w:b w:val="0"/>
      </w:rPr>
    </w:pPr>
    <w:r>
      <w:rPr>
        <w:rStyle w:val="PageNumber"/>
        <w:b w:val="0"/>
      </w:rPr>
      <w:t>AP2</w:t>
    </w:r>
    <w:r w:rsidR="00331BAA">
      <w:rPr>
        <w:rStyle w:val="PageNumber"/>
        <w:b w:val="0"/>
      </w:rPr>
      <w:t>.5-</w:t>
    </w:r>
    <w:r w:rsidR="001C0364" w:rsidRPr="00331BAA">
      <w:rPr>
        <w:rStyle w:val="PageNumber"/>
        <w:b w:val="0"/>
      </w:rPr>
      <w:fldChar w:fldCharType="begin"/>
    </w:r>
    <w:r w:rsidR="00331BAA" w:rsidRPr="00331BAA">
      <w:rPr>
        <w:rStyle w:val="PageNumber"/>
        <w:b w:val="0"/>
      </w:rPr>
      <w:instrText xml:space="preserve">PAGE  </w:instrText>
    </w:r>
    <w:r w:rsidR="001C0364" w:rsidRPr="00331BAA">
      <w:rPr>
        <w:rStyle w:val="PageNumber"/>
        <w:b w:val="0"/>
      </w:rPr>
      <w:fldChar w:fldCharType="separate"/>
    </w:r>
    <w:r>
      <w:rPr>
        <w:rStyle w:val="PageNumber"/>
        <w:b w:val="0"/>
        <w:noProof/>
      </w:rPr>
      <w:t>1</w:t>
    </w:r>
    <w:r w:rsidR="001C0364" w:rsidRPr="00331BAA">
      <w:rPr>
        <w:rStyle w:val="PageNumber"/>
        <w:b w:val="0"/>
      </w:rPr>
      <w:fldChar w:fldCharType="end"/>
    </w:r>
  </w:p>
  <w:p w:rsidR="00721F5E" w:rsidRPr="00331BAA" w:rsidRDefault="00331BAA" w:rsidP="00331BAA">
    <w:pPr>
      <w:pStyle w:val="Foote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 xml:space="preserve">APPENDIX </w:t>
    </w:r>
    <w:r w:rsidR="00BB6914">
      <w:t>2.</w:t>
    </w:r>
    <w: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44A" w:rsidRDefault="00FE244A">
      <w:r>
        <w:separator/>
      </w:r>
    </w:p>
  </w:footnote>
  <w:footnote w:type="continuationSeparator" w:id="0">
    <w:p w:rsidR="00FE244A" w:rsidRDefault="00FE2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5E" w:rsidRDefault="00721F5E">
    <w:pPr>
      <w:pStyle w:val="Header"/>
      <w:jc w:val="left"/>
      <w:rPr>
        <w:u w:val="none"/>
      </w:rPr>
    </w:pPr>
    <w:r>
      <w:rPr>
        <w:b/>
        <w:bCs/>
        <w:iCs/>
        <w:u w:val="none"/>
      </w:rPr>
      <w:t>DoD 4000.25-8-M</w:t>
    </w:r>
  </w:p>
  <w:p w:rsidR="00721F5E" w:rsidRDefault="00721F5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11 MARCH 1997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89" w:rsidRPr="008F00ED" w:rsidRDefault="00511A89" w:rsidP="00511A89">
    <w:pPr>
      <w:pStyle w:val="Header"/>
      <w:jc w:val="right"/>
      <w:rPr>
        <w:rFonts w:cs="Arial"/>
        <w:u w:val="none"/>
      </w:rPr>
    </w:pPr>
    <w:r w:rsidRPr="008F00ED">
      <w:rPr>
        <w:rFonts w:cs="Arial"/>
        <w:u w:val="none"/>
      </w:rPr>
      <w:t>DLM 4000.25, Volume 6, June 5, 2012</w:t>
    </w:r>
  </w:p>
  <w:p w:rsidR="00721F5E" w:rsidRPr="00511A89" w:rsidRDefault="00721F5E" w:rsidP="00511A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AD88BC12"/>
    <w:lvl w:ilvl="0">
      <w:start w:val="1"/>
      <w:numFmt w:val="decimal"/>
      <w:lvlText w:val="%1."/>
      <w:lvlJc w:val="left"/>
      <w:pPr>
        <w:tabs>
          <w:tab w:val="num" w:pos="1080"/>
        </w:tabs>
        <w:ind w:left="1080" w:hanging="360"/>
      </w:pPr>
    </w:lvl>
  </w:abstractNum>
  <w:abstractNum w:abstractNumId="1">
    <w:nsid w:val="FFFFFF7F"/>
    <w:multiLevelType w:val="singleLevel"/>
    <w:tmpl w:val="EB7C8DCC"/>
    <w:lvl w:ilvl="0">
      <w:start w:val="1"/>
      <w:numFmt w:val="decimal"/>
      <w:lvlText w:val="%1."/>
      <w:lvlJc w:val="left"/>
      <w:pPr>
        <w:tabs>
          <w:tab w:val="num" w:pos="720"/>
        </w:tabs>
        <w:ind w:left="720" w:hanging="360"/>
      </w:pPr>
    </w:lvl>
  </w:abstractNum>
  <w:abstractNum w:abstractNumId="2">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8FC4BDC2"/>
    <w:lvl w:ilvl="0">
      <w:start w:val="1"/>
      <w:numFmt w:val="decimal"/>
      <w:lvlText w:val="%1."/>
      <w:lvlJc w:val="left"/>
      <w:pPr>
        <w:tabs>
          <w:tab w:val="num" w:pos="360"/>
        </w:tabs>
        <w:ind w:left="360" w:hanging="360"/>
      </w:pPr>
    </w:lvl>
  </w:abstractNum>
  <w:abstractNum w:abstractNumId="5">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nsid w:val="FFFFFFFB"/>
    <w:multiLevelType w:val="multilevel"/>
    <w:tmpl w:val="880253A6"/>
    <w:lvl w:ilvl="0">
      <w:start w:val="5"/>
      <w:numFmt w:val="decimal"/>
      <w:pStyle w:val="Heading1"/>
      <w:suff w:val="nothing"/>
      <w:lvlText w:val="AP1.%1 APPENDIX 1.5  "/>
      <w:lvlJc w:val="left"/>
      <w:pPr>
        <w:ind w:left="0" w:firstLine="0"/>
      </w:pPr>
      <w:rPr>
        <w:rFonts w:ascii="Arial" w:hAnsi="Arial" w:hint="default"/>
        <w:b/>
        <w:i w:val="0"/>
        <w:sz w:val="48"/>
        <w:u w:val="single"/>
      </w:rPr>
    </w:lvl>
    <w:lvl w:ilvl="1">
      <w:start w:val="1"/>
      <w:numFmt w:val="decimal"/>
      <w:pStyle w:val="Heading2"/>
      <w:suff w:val="nothing"/>
      <w:lvlText w:val="AP%1.%2  "/>
      <w:lvlJc w:val="left"/>
      <w:pPr>
        <w:ind w:left="0" w:firstLine="0"/>
      </w:pPr>
      <w:rPr>
        <w:rFonts w:hint="default"/>
        <w:b/>
        <w:i w:val="0"/>
      </w:rPr>
    </w:lvl>
    <w:lvl w:ilvl="2">
      <w:start w:val="1"/>
      <w:numFmt w:val="decimal"/>
      <w:pStyle w:val="Heading3"/>
      <w:suff w:val="nothing"/>
      <w:lvlText w:val="AP%1.%2.%3  "/>
      <w:lvlJc w:val="left"/>
      <w:pPr>
        <w:ind w:left="0" w:firstLine="0"/>
      </w:pPr>
      <w:rPr>
        <w:rFonts w:hint="default"/>
        <w:b/>
        <w:i w:val="0"/>
      </w:rPr>
    </w:lvl>
    <w:lvl w:ilvl="3">
      <w:start w:val="1"/>
      <w:numFmt w:val="decimal"/>
      <w:pStyle w:val="Heading4"/>
      <w:suff w:val="nothing"/>
      <w:lvlText w:val="AP%1.%2.%3.%4  "/>
      <w:lvlJc w:val="left"/>
      <w:pPr>
        <w:ind w:left="0" w:firstLine="0"/>
      </w:pPr>
      <w:rPr>
        <w:rFonts w:ascii="Arial" w:hAnsi="Arial" w:hint="default"/>
        <w:b/>
        <w:i w:val="0"/>
        <w:sz w:val="24"/>
      </w:rPr>
    </w:lvl>
    <w:lvl w:ilvl="4">
      <w:start w:val="1"/>
      <w:numFmt w:val="decimal"/>
      <w:pStyle w:val="Heading5"/>
      <w:suff w:val="nothing"/>
      <w:lvlText w:val="AP%1.%2.%3.%4.%5  "/>
      <w:lvlJc w:val="left"/>
      <w:pPr>
        <w:ind w:left="0" w:firstLine="0"/>
      </w:pPr>
      <w:rPr>
        <w:rFonts w:hint="default"/>
        <w:b/>
        <w:i w:val="0"/>
      </w:rPr>
    </w:lvl>
    <w:lvl w:ilvl="5">
      <w:start w:val="1"/>
      <w:numFmt w:val="decimal"/>
      <w:pStyle w:val="Heading6"/>
      <w:suff w:val="nothing"/>
      <w:lvlText w:val="AP%1.%2.%3.%4.%5.%6  "/>
      <w:lvlJc w:val="left"/>
      <w:pPr>
        <w:ind w:left="0" w:firstLine="0"/>
      </w:pPr>
      <w:rPr>
        <w:rFonts w:ascii="Arial" w:hAnsi="Arial" w:hint="default"/>
        <w:b/>
        <w:i w:val="0"/>
        <w:sz w:val="24"/>
      </w:rPr>
    </w:lvl>
    <w:lvl w:ilvl="6">
      <w:start w:val="1"/>
      <w:numFmt w:val="decimal"/>
      <w:pStyle w:val="Heading7"/>
      <w:suff w:val="nothing"/>
      <w:lvlText w:val="AP%1.%2.%3.%4.%5.%6.%7  "/>
      <w:lvlJc w:val="left"/>
      <w:pPr>
        <w:ind w:left="0" w:firstLine="0"/>
      </w:pPr>
      <w:rPr>
        <w:rFonts w:hint="default"/>
        <w:b/>
        <w:i w:val="0"/>
      </w:rPr>
    </w:lvl>
    <w:lvl w:ilvl="7">
      <w:start w:val="1"/>
      <w:numFmt w:val="decimal"/>
      <w:pStyle w:val="Heading8"/>
      <w:suff w:val="nothing"/>
      <w:lvlText w:val="AP%1.%2.%3.%4.%5.%6.%7.%8  "/>
      <w:lvlJc w:val="left"/>
      <w:pPr>
        <w:ind w:left="0" w:firstLine="0"/>
      </w:pPr>
      <w:rPr>
        <w:rFonts w:hint="default"/>
        <w:b/>
        <w:i w:val="0"/>
      </w:rPr>
    </w:lvl>
    <w:lvl w:ilvl="8">
      <w:start w:val="1"/>
      <w:numFmt w:val="decimal"/>
      <w:pStyle w:val="Codes"/>
      <w:suff w:val="nothing"/>
      <w:lvlText w:val="AP%1.%2.%3.%4.%5.%6.%7.%8.%9  "/>
      <w:lvlJc w:val="left"/>
      <w:pPr>
        <w:ind w:left="0" w:firstLine="0"/>
      </w:pPr>
      <w:rPr>
        <w:rFonts w:hint="default"/>
        <w:b/>
        <w:i w:val="0"/>
      </w:rPr>
    </w:lvl>
  </w:abstractNum>
  <w:abstractNum w:abstractNumId="7">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attachedTemplate r:id="rId1"/>
  <w:linkStyles/>
  <w:stylePaneFormatFilter w:val="3F01"/>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rsids>
    <w:rsidRoot w:val="00331BAA"/>
    <w:rsid w:val="001C0364"/>
    <w:rsid w:val="002615B9"/>
    <w:rsid w:val="00320F9D"/>
    <w:rsid w:val="00331BAA"/>
    <w:rsid w:val="003A22C4"/>
    <w:rsid w:val="003A6B05"/>
    <w:rsid w:val="00511A89"/>
    <w:rsid w:val="00721F5E"/>
    <w:rsid w:val="008144B9"/>
    <w:rsid w:val="00B33AAB"/>
    <w:rsid w:val="00BB6914"/>
    <w:rsid w:val="00C9597B"/>
    <w:rsid w:val="00D70670"/>
    <w:rsid w:val="00F23D18"/>
    <w:rsid w:val="00FE24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B05"/>
    <w:rPr>
      <w:rFonts w:ascii="Arial" w:hAnsi="Arial"/>
      <w:sz w:val="24"/>
    </w:rPr>
  </w:style>
  <w:style w:type="paragraph" w:styleId="Heading1">
    <w:name w:val="heading 1"/>
    <w:basedOn w:val="Normal"/>
    <w:next w:val="Heading2"/>
    <w:qFormat/>
    <w:rsid w:val="003A6B05"/>
    <w:pPr>
      <w:numPr>
        <w:numId w:val="1"/>
      </w:numPr>
      <w:spacing w:before="60" w:after="120"/>
      <w:outlineLvl w:val="0"/>
    </w:pPr>
    <w:rPr>
      <w:b/>
      <w:caps/>
      <w:sz w:val="28"/>
    </w:rPr>
  </w:style>
  <w:style w:type="paragraph" w:styleId="Heading2">
    <w:name w:val="heading 2"/>
    <w:basedOn w:val="Normal"/>
    <w:qFormat/>
    <w:rsid w:val="003A6B05"/>
    <w:pPr>
      <w:numPr>
        <w:ilvl w:val="1"/>
        <w:numId w:val="1"/>
      </w:numPr>
      <w:spacing w:before="60" w:after="120"/>
      <w:outlineLvl w:val="1"/>
    </w:pPr>
  </w:style>
  <w:style w:type="paragraph" w:styleId="Heading3">
    <w:name w:val="heading 3"/>
    <w:basedOn w:val="Normal"/>
    <w:qFormat/>
    <w:rsid w:val="003A6B05"/>
    <w:pPr>
      <w:numPr>
        <w:ilvl w:val="2"/>
        <w:numId w:val="1"/>
      </w:numPr>
      <w:tabs>
        <w:tab w:val="left" w:pos="1530"/>
      </w:tabs>
      <w:spacing w:before="60" w:after="120"/>
      <w:outlineLvl w:val="2"/>
    </w:pPr>
  </w:style>
  <w:style w:type="paragraph" w:styleId="Heading4">
    <w:name w:val="heading 4"/>
    <w:basedOn w:val="Normal"/>
    <w:qFormat/>
    <w:rsid w:val="003A6B05"/>
    <w:pPr>
      <w:numPr>
        <w:ilvl w:val="3"/>
        <w:numId w:val="1"/>
      </w:numPr>
      <w:spacing w:before="60" w:after="120"/>
      <w:outlineLvl w:val="3"/>
    </w:pPr>
  </w:style>
  <w:style w:type="paragraph" w:styleId="Heading5">
    <w:name w:val="heading 5"/>
    <w:basedOn w:val="Normal"/>
    <w:qFormat/>
    <w:rsid w:val="003A6B05"/>
    <w:pPr>
      <w:numPr>
        <w:ilvl w:val="4"/>
        <w:numId w:val="1"/>
      </w:numPr>
      <w:spacing w:before="60" w:after="120"/>
      <w:outlineLvl w:val="4"/>
    </w:pPr>
  </w:style>
  <w:style w:type="paragraph" w:styleId="Heading6">
    <w:name w:val="heading 6"/>
    <w:basedOn w:val="Normal"/>
    <w:qFormat/>
    <w:rsid w:val="003A6B05"/>
    <w:pPr>
      <w:numPr>
        <w:ilvl w:val="5"/>
        <w:numId w:val="1"/>
      </w:numPr>
      <w:tabs>
        <w:tab w:val="left" w:pos="3150"/>
      </w:tabs>
      <w:spacing w:before="60" w:after="120"/>
      <w:outlineLvl w:val="5"/>
    </w:pPr>
  </w:style>
  <w:style w:type="paragraph" w:styleId="Heading7">
    <w:name w:val="heading 7"/>
    <w:basedOn w:val="Normal"/>
    <w:qFormat/>
    <w:rsid w:val="003A6B05"/>
    <w:pPr>
      <w:numPr>
        <w:ilvl w:val="6"/>
        <w:numId w:val="1"/>
      </w:numPr>
      <w:spacing w:before="60" w:after="120"/>
      <w:outlineLvl w:val="6"/>
    </w:pPr>
  </w:style>
  <w:style w:type="paragraph" w:styleId="Heading8">
    <w:name w:val="heading 8"/>
    <w:basedOn w:val="Normal"/>
    <w:next w:val="Heading9"/>
    <w:qFormat/>
    <w:rsid w:val="003A6B05"/>
    <w:pPr>
      <w:numPr>
        <w:ilvl w:val="7"/>
        <w:numId w:val="1"/>
      </w:numPr>
      <w:spacing w:before="60" w:after="120"/>
      <w:outlineLvl w:val="7"/>
    </w:pPr>
  </w:style>
  <w:style w:type="paragraph" w:styleId="Heading9">
    <w:name w:val="heading 9"/>
    <w:basedOn w:val="Normal"/>
    <w:qFormat/>
    <w:rsid w:val="003A6B05"/>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3A6B05"/>
    <w:rPr>
      <w:vertAlign w:val="superscript"/>
    </w:rPr>
  </w:style>
  <w:style w:type="character" w:styleId="FootnoteReference">
    <w:name w:val="footnote reference"/>
    <w:basedOn w:val="DefaultParagraphFont"/>
    <w:semiHidden/>
    <w:rsid w:val="003A6B05"/>
    <w:rPr>
      <w:vertAlign w:val="superscript"/>
    </w:rPr>
  </w:style>
  <w:style w:type="character" w:styleId="PageNumber">
    <w:name w:val="page number"/>
    <w:basedOn w:val="DefaultParagraphFont"/>
    <w:rsid w:val="003A6B05"/>
    <w:rPr>
      <w:rFonts w:ascii="Arial" w:hAnsi="Arial"/>
      <w:b/>
      <w:sz w:val="24"/>
    </w:rPr>
  </w:style>
  <w:style w:type="paragraph" w:styleId="Footer">
    <w:name w:val="footer"/>
    <w:basedOn w:val="Normal"/>
    <w:rsid w:val="003A6B05"/>
    <w:pPr>
      <w:tabs>
        <w:tab w:val="center" w:pos="4320"/>
        <w:tab w:val="right" w:pos="8640"/>
      </w:tabs>
    </w:pPr>
  </w:style>
  <w:style w:type="paragraph" w:styleId="Header">
    <w:name w:val="header"/>
    <w:basedOn w:val="Normal"/>
    <w:link w:val="HeaderChar"/>
    <w:rsid w:val="003A6B05"/>
    <w:pPr>
      <w:tabs>
        <w:tab w:val="center" w:pos="4320"/>
        <w:tab w:val="right" w:pos="8640"/>
      </w:tabs>
      <w:jc w:val="center"/>
    </w:pPr>
    <w:rPr>
      <w:u w:val="single"/>
    </w:rPr>
  </w:style>
  <w:style w:type="paragraph" w:styleId="FootnoteText">
    <w:name w:val="footnote text"/>
    <w:basedOn w:val="Normal"/>
    <w:semiHidden/>
    <w:rsid w:val="003A6B05"/>
    <w:rPr>
      <w:sz w:val="20"/>
    </w:rPr>
  </w:style>
  <w:style w:type="paragraph" w:customStyle="1" w:styleId="SubTitle">
    <w:name w:val="Sub Title"/>
    <w:basedOn w:val="Title"/>
    <w:rsid w:val="003A6B05"/>
    <w:rPr>
      <w:u w:val="single"/>
    </w:rPr>
  </w:style>
  <w:style w:type="paragraph" w:styleId="Title">
    <w:name w:val="Title"/>
    <w:basedOn w:val="Normal"/>
    <w:next w:val="Header"/>
    <w:qFormat/>
    <w:rsid w:val="003A6B05"/>
    <w:pPr>
      <w:spacing w:after="240"/>
      <w:jc w:val="center"/>
    </w:pPr>
    <w:rPr>
      <w:b/>
      <w:caps/>
      <w:kern w:val="28"/>
      <w:sz w:val="28"/>
    </w:rPr>
  </w:style>
  <w:style w:type="paragraph" w:styleId="Subtitle0">
    <w:name w:val="Subtitle"/>
    <w:basedOn w:val="Normal"/>
    <w:qFormat/>
    <w:rsid w:val="003A6B05"/>
    <w:pPr>
      <w:spacing w:after="240"/>
      <w:jc w:val="center"/>
    </w:pPr>
    <w:rPr>
      <w:b/>
      <w:caps/>
      <w:sz w:val="28"/>
      <w:u w:val="single"/>
    </w:rPr>
  </w:style>
  <w:style w:type="paragraph" w:customStyle="1" w:styleId="BodyTextHanging">
    <w:name w:val="Body Text Hanging"/>
    <w:basedOn w:val="Normal"/>
    <w:rsid w:val="003A6B05"/>
    <w:pPr>
      <w:spacing w:after="160"/>
      <w:ind w:left="1440"/>
    </w:pPr>
  </w:style>
  <w:style w:type="paragraph" w:styleId="BodyText">
    <w:name w:val="Body Text"/>
    <w:basedOn w:val="Normal"/>
    <w:rsid w:val="003A6B05"/>
    <w:pPr>
      <w:spacing w:after="120"/>
    </w:pPr>
  </w:style>
  <w:style w:type="paragraph" w:styleId="ListBullet">
    <w:name w:val="List Bullet"/>
    <w:basedOn w:val="Normal"/>
    <w:rsid w:val="003A6B05"/>
    <w:pPr>
      <w:spacing w:after="120"/>
      <w:ind w:left="360" w:hanging="360"/>
    </w:pPr>
  </w:style>
  <w:style w:type="paragraph" w:styleId="ListBullet2">
    <w:name w:val="List Bullet 2"/>
    <w:basedOn w:val="Normal"/>
    <w:rsid w:val="003A6B05"/>
    <w:pPr>
      <w:ind w:left="720" w:hanging="360"/>
    </w:pPr>
  </w:style>
  <w:style w:type="paragraph" w:styleId="ListBullet3">
    <w:name w:val="List Bullet 3"/>
    <w:basedOn w:val="Normal"/>
    <w:rsid w:val="003A6B05"/>
    <w:pPr>
      <w:ind w:left="1080" w:hanging="360"/>
    </w:pPr>
  </w:style>
  <w:style w:type="paragraph" w:styleId="ListNumber">
    <w:name w:val="List Number"/>
    <w:basedOn w:val="Normal"/>
    <w:rsid w:val="003A6B05"/>
    <w:pPr>
      <w:ind w:left="360" w:hanging="360"/>
    </w:pPr>
  </w:style>
  <w:style w:type="paragraph" w:styleId="ListNumber2">
    <w:name w:val="List Number 2"/>
    <w:basedOn w:val="Normal"/>
    <w:rsid w:val="003A6B05"/>
    <w:pPr>
      <w:ind w:left="720" w:hanging="360"/>
    </w:pPr>
  </w:style>
  <w:style w:type="paragraph" w:styleId="ListNumber3">
    <w:name w:val="List Number 3"/>
    <w:basedOn w:val="Normal"/>
    <w:rsid w:val="003A6B05"/>
    <w:pPr>
      <w:ind w:left="1080" w:hanging="360"/>
    </w:pPr>
  </w:style>
  <w:style w:type="paragraph" w:styleId="DocumentMap">
    <w:name w:val="Document Map"/>
    <w:basedOn w:val="Normal"/>
    <w:semiHidden/>
    <w:rsid w:val="003A6B05"/>
    <w:pPr>
      <w:shd w:val="clear" w:color="auto" w:fill="000080"/>
    </w:pPr>
    <w:rPr>
      <w:rFonts w:ascii="Tahoma" w:hAnsi="Tahoma"/>
    </w:rPr>
  </w:style>
  <w:style w:type="character" w:customStyle="1" w:styleId="HeaderChar">
    <w:name w:val="Header Char"/>
    <w:link w:val="Header"/>
    <w:rsid w:val="00511A89"/>
    <w:rPr>
      <w:rFonts w:ascii="Arial" w:hAnsi="Arial"/>
      <w:sz w:val="24"/>
      <w:u w:val="single"/>
    </w:rPr>
  </w:style>
  <w:style w:type="paragraph" w:customStyle="1" w:styleId="Codes">
    <w:name w:val="Codes"/>
    <w:rsid w:val="003A6B05"/>
    <w:pPr>
      <w:numPr>
        <w:ilvl w:val="8"/>
        <w:numId w:val="1"/>
      </w:numPr>
    </w:pPr>
    <w:rPr>
      <w:rFonts w:ascii="Arial" w:hAnsi="Arial"/>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ppendi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Props1.xml><?xml version="1.0" encoding="utf-8"?>
<ds:datastoreItem xmlns:ds="http://schemas.openxmlformats.org/officeDocument/2006/customXml" ds:itemID="{FDE0482F-8A94-4038-8DE8-7EC48815DB68}"/>
</file>

<file path=customXml/itemProps2.xml><?xml version="1.0" encoding="utf-8"?>
<ds:datastoreItem xmlns:ds="http://schemas.openxmlformats.org/officeDocument/2006/customXml" ds:itemID="{167159A9-2356-4BEA-882D-D011D49C0610}"/>
</file>

<file path=customXml/itemProps3.xml><?xml version="1.0" encoding="utf-8"?>
<ds:datastoreItem xmlns:ds="http://schemas.openxmlformats.org/officeDocument/2006/customXml" ds:itemID="{08FE01B7-ACE3-4667-9885-E95E43F1DFDE}"/>
</file>

<file path=docProps/app.xml><?xml version="1.0" encoding="utf-8"?>
<Properties xmlns="http://schemas.openxmlformats.org/officeDocument/2006/extended-properties" xmlns:vt="http://schemas.openxmlformats.org/officeDocument/2006/docPropsVTypes">
  <Template>Appendix</Template>
  <TotalTime>4</TotalTime>
  <Pages>3</Pages>
  <Words>1297</Words>
  <Characters>7242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Delivery Term Codes (DTCs)</vt:lpstr>
    </vt:vector>
  </TitlesOfParts>
  <Company>Defense Information Systems Agency</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2.5 - Delivery Term Codes (DTCs)</dc:title>
  <dc:subject>AP5. APPENDIX 5</dc:subject>
  <dc:creator>Tanner, Larry</dc:creator>
  <cp:keywords/>
  <cp:lastModifiedBy>Larry Tanner</cp:lastModifiedBy>
  <cp:revision>7</cp:revision>
  <cp:lastPrinted>2001-02-06T17:34:00Z</cp:lastPrinted>
  <dcterms:created xsi:type="dcterms:W3CDTF">2012-06-11T16:26:00Z</dcterms:created>
  <dcterms:modified xsi:type="dcterms:W3CDTF">2013-12-30T16:24:00Z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Order">
    <vt:r8>2356100</vt:r8>
  </property>
</Properties>
</file>