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2" w14:textId="77777777" w:rsidR="00EA1F41" w:rsidRDefault="00EA1F41" w:rsidP="00EA1F41">
      <w:pPr>
        <w:rPr>
          <w:sz w:val="16"/>
        </w:rPr>
      </w:pPr>
      <w:r>
        <w:rPr>
          <w:sz w:val="16"/>
        </w:rPr>
        <w:t xml:space="preserve"> </w:t>
      </w:r>
    </w:p>
    <w:p w14:paraId="74C79AD5" w14:textId="4CB0A326"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sidR="004268AD">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791C09F9" w14:textId="30414F7C" w:rsidR="00C67291" w:rsidRDefault="00C67291" w:rsidP="00C67291">
      <w:pPr>
        <w:pStyle w:val="Footer"/>
        <w:tabs>
          <w:tab w:val="left" w:pos="1620"/>
        </w:tabs>
        <w:ind w:left="1620" w:hanging="1620"/>
        <w:jc w:val="right"/>
        <w:rPr>
          <w:sz w:val="26"/>
          <w:szCs w:val="26"/>
        </w:rPr>
      </w:pPr>
      <w:r>
        <w:rPr>
          <w:sz w:val="26"/>
          <w:szCs w:val="26"/>
        </w:rPr>
        <w:t xml:space="preserve">DLM 4000.25, Volume </w:t>
      </w:r>
      <w:r w:rsidR="00250B95">
        <w:rPr>
          <w:sz w:val="26"/>
          <w:szCs w:val="26"/>
        </w:rPr>
        <w:t>7</w:t>
      </w:r>
      <w:r>
        <w:rPr>
          <w:sz w:val="26"/>
          <w:szCs w:val="26"/>
        </w:rPr>
        <w:t xml:space="preserve">, </w:t>
      </w:r>
      <w:r w:rsidR="00B7369C" w:rsidRPr="00B7369C">
        <w:rPr>
          <w:sz w:val="26"/>
          <w:szCs w:val="26"/>
        </w:rPr>
        <w:t>December 14</w:t>
      </w:r>
      <w:r w:rsidR="003930DE">
        <w:rPr>
          <w:sz w:val="26"/>
          <w:szCs w:val="26"/>
        </w:rPr>
        <w:t>,</w:t>
      </w:r>
      <w:r w:rsidR="00C72C1E" w:rsidRPr="00C72C1E">
        <w:rPr>
          <w:sz w:val="26"/>
          <w:szCs w:val="26"/>
        </w:rPr>
        <w:t xml:space="preserve"> 201</w:t>
      </w:r>
      <w:r w:rsidR="00CC1199">
        <w:rPr>
          <w:sz w:val="26"/>
          <w:szCs w:val="26"/>
        </w:rPr>
        <w:t>6</w:t>
      </w:r>
    </w:p>
    <w:p w14:paraId="43B78733" w14:textId="592FE2F7" w:rsidR="00C67291" w:rsidRDefault="00C67291" w:rsidP="00C67291">
      <w:pPr>
        <w:pStyle w:val="Footer"/>
        <w:tabs>
          <w:tab w:val="left" w:pos="1620"/>
        </w:tabs>
        <w:spacing w:after="240"/>
        <w:ind w:left="1627" w:hanging="1627"/>
        <w:jc w:val="right"/>
        <w:rPr>
          <w:sz w:val="26"/>
          <w:szCs w:val="26"/>
        </w:rPr>
      </w:pPr>
      <w:r>
        <w:rPr>
          <w:sz w:val="26"/>
          <w:szCs w:val="26"/>
        </w:rPr>
        <w:t xml:space="preserve">Change </w:t>
      </w:r>
      <w:r w:rsidR="009B397A">
        <w:rPr>
          <w:sz w:val="26"/>
          <w:szCs w:val="26"/>
        </w:rPr>
        <w:t>3</w:t>
      </w:r>
    </w:p>
    <w:p w14:paraId="72CA7F06" w14:textId="4848D3B0" w:rsidR="00C67291" w:rsidRDefault="00C67291" w:rsidP="00C67291">
      <w:pPr>
        <w:pStyle w:val="Footer"/>
        <w:tabs>
          <w:tab w:val="left" w:pos="1260"/>
        </w:tabs>
        <w:spacing w:after="240"/>
        <w:ind w:left="1267" w:hanging="1267"/>
        <w:contextualSpacing/>
        <w:jc w:val="center"/>
        <w:rPr>
          <w:bCs/>
        </w:rPr>
      </w:pPr>
      <w:r w:rsidRPr="007A4606">
        <w:rPr>
          <w:bCs/>
        </w:rPr>
        <w:t xml:space="preserve">DEFENSE LOGISTICS MANAGEMENT </w:t>
      </w:r>
      <w:r w:rsidR="00D25E1D">
        <w:rPr>
          <w:bCs/>
        </w:rPr>
        <w:t>STANDARDS</w:t>
      </w:r>
    </w:p>
    <w:p w14:paraId="5D77FEAA" w14:textId="7361AD1A" w:rsidR="00C67291" w:rsidRDefault="00C67291" w:rsidP="00C67291">
      <w:pPr>
        <w:pStyle w:val="Footer"/>
        <w:tabs>
          <w:tab w:val="left" w:pos="1260"/>
        </w:tabs>
        <w:spacing w:after="240"/>
        <w:ind w:left="1267" w:hanging="1267"/>
        <w:contextualSpacing/>
        <w:jc w:val="center"/>
        <w:rPr>
          <w:bCs/>
        </w:rPr>
      </w:pPr>
      <w:r w:rsidRPr="007A4606">
        <w:rPr>
          <w:bCs/>
        </w:rPr>
        <w:t xml:space="preserve">VOLUME </w:t>
      </w:r>
      <w:r w:rsidR="00250B95">
        <w:rPr>
          <w:bCs/>
        </w:rPr>
        <w:t>7</w:t>
      </w:r>
      <w:r w:rsidRPr="007A4606">
        <w:rPr>
          <w:bCs/>
        </w:rPr>
        <w:t xml:space="preserve">, </w:t>
      </w:r>
      <w:r w:rsidR="00250B95" w:rsidRPr="00250B95">
        <w:rPr>
          <w:bCs/>
        </w:rPr>
        <w:t>CONTRACT ADMINISTRATION</w:t>
      </w:r>
    </w:p>
    <w:p w14:paraId="5F71B8C4" w14:textId="0166349C" w:rsidR="00C67291" w:rsidRPr="007A4606" w:rsidRDefault="00C67291" w:rsidP="00C67291">
      <w:pPr>
        <w:pStyle w:val="Footer"/>
        <w:tabs>
          <w:tab w:val="left" w:pos="1260"/>
        </w:tabs>
        <w:spacing w:after="240"/>
        <w:ind w:left="1267" w:hanging="1267"/>
        <w:contextualSpacing/>
        <w:jc w:val="center"/>
        <w:rPr>
          <w:bCs/>
        </w:rPr>
      </w:pPr>
      <w:r w:rsidRPr="007A4606">
        <w:rPr>
          <w:bCs/>
        </w:rPr>
        <w:t>C</w:t>
      </w:r>
      <w:r>
        <w:rPr>
          <w:bCs/>
        </w:rPr>
        <w:t xml:space="preserve">HANGE </w:t>
      </w:r>
      <w:r w:rsidR="008822F3">
        <w:rPr>
          <w:bCs/>
        </w:rPr>
        <w:t>2</w:t>
      </w:r>
    </w:p>
    <w:p w14:paraId="74C79ADC" w14:textId="77777777" w:rsidR="007A4606" w:rsidRDefault="007A4606" w:rsidP="007A4606">
      <w:pPr>
        <w:pStyle w:val="Footer"/>
        <w:tabs>
          <w:tab w:val="left" w:pos="1620"/>
        </w:tabs>
        <w:ind w:left="1620" w:hanging="1620"/>
      </w:pPr>
    </w:p>
    <w:p w14:paraId="74C79ADD" w14:textId="551320CC" w:rsidR="007A4606" w:rsidRDefault="00A833FC" w:rsidP="00775B76">
      <w:pPr>
        <w:spacing w:after="240"/>
        <w:ind w:right="360"/>
      </w:pPr>
      <w:r w:rsidRPr="00A833FC">
        <w:t xml:space="preserve">I. </w:t>
      </w:r>
      <w:r w:rsidR="00C67291" w:rsidRPr="00C67291">
        <w:t xml:space="preserve">This change to DLM 4000.25, Defense Logistics Management </w:t>
      </w:r>
      <w:r w:rsidR="00C36F77">
        <w:t>Standards</w:t>
      </w:r>
      <w:r w:rsidR="00C67291" w:rsidRPr="00C67291">
        <w:t xml:space="preserve"> (DLMS), Volume </w:t>
      </w:r>
      <w:r w:rsidR="00250B95">
        <w:t>7</w:t>
      </w:r>
      <w:r w:rsidR="00C67291" w:rsidRPr="00C67291">
        <w:t xml:space="preserve">, </w:t>
      </w:r>
      <w:r w:rsidR="008822F3">
        <w:t>April 2012</w:t>
      </w:r>
      <w:r w:rsidR="00C67291" w:rsidRPr="00C67291">
        <w:t xml:space="preserve">, </w:t>
      </w:r>
      <w:r w:rsidR="009B397A" w:rsidRPr="005D0989">
        <w:t>is p</w:t>
      </w:r>
      <w:r w:rsidR="009B397A" w:rsidRPr="005D0989">
        <w:rPr>
          <w:spacing w:val="-1"/>
        </w:rPr>
        <w:t>u</w:t>
      </w:r>
      <w:r w:rsidR="009B397A" w:rsidRPr="005D0989">
        <w:t xml:space="preserve">blished </w:t>
      </w:r>
      <w:r w:rsidR="009B397A" w:rsidRPr="005D0989">
        <w:rPr>
          <w:spacing w:val="-1"/>
        </w:rPr>
        <w:t>b</w:t>
      </w:r>
      <w:r w:rsidR="009B397A" w:rsidRPr="005D0989">
        <w:t>y</w:t>
      </w:r>
      <w:r w:rsidR="009B397A" w:rsidRPr="005D0989">
        <w:rPr>
          <w:spacing w:val="1"/>
        </w:rPr>
        <w:t xml:space="preserve"> </w:t>
      </w:r>
      <w:r w:rsidR="009B397A" w:rsidRPr="005D0989">
        <w:t>dir</w:t>
      </w:r>
      <w:r w:rsidR="009B397A" w:rsidRPr="005D0989">
        <w:rPr>
          <w:spacing w:val="-2"/>
        </w:rPr>
        <w:t>e</w:t>
      </w:r>
      <w:r w:rsidR="009B397A" w:rsidRPr="005D0989">
        <w:t>ction of the Depu</w:t>
      </w:r>
      <w:r w:rsidR="009B397A" w:rsidRPr="005D0989">
        <w:rPr>
          <w:spacing w:val="-2"/>
        </w:rPr>
        <w:t>t</w:t>
      </w:r>
      <w:r w:rsidR="009B397A" w:rsidRPr="005D0989">
        <w:t>y</w:t>
      </w:r>
      <w:r w:rsidR="009B397A" w:rsidRPr="005D0989">
        <w:rPr>
          <w:spacing w:val="1"/>
        </w:rPr>
        <w:t xml:space="preserve"> Assistant Secretary of Defense for Supply Chain Integration </w:t>
      </w:r>
      <w:r w:rsidR="009B397A" w:rsidRPr="005D0989">
        <w:t>u</w:t>
      </w:r>
      <w:r w:rsidR="009B397A" w:rsidRPr="005D0989">
        <w:rPr>
          <w:spacing w:val="-1"/>
        </w:rPr>
        <w:t>n</w:t>
      </w:r>
      <w:r w:rsidR="009B397A" w:rsidRPr="005D0989">
        <w:t>d</w:t>
      </w:r>
      <w:r w:rsidR="009B397A" w:rsidRPr="005D0989">
        <w:rPr>
          <w:spacing w:val="-1"/>
        </w:rPr>
        <w:t>e</w:t>
      </w:r>
      <w:r w:rsidR="009B397A" w:rsidRPr="005D0989">
        <w:t>r the authority</w:t>
      </w:r>
      <w:r w:rsidR="009B397A" w:rsidRPr="005D0989">
        <w:rPr>
          <w:spacing w:val="1"/>
        </w:rPr>
        <w:t xml:space="preserve"> </w:t>
      </w:r>
      <w:r w:rsidR="009B397A" w:rsidRPr="005D0989">
        <w:rPr>
          <w:spacing w:val="-1"/>
        </w:rPr>
        <w:t>o</w:t>
      </w:r>
      <w:r w:rsidR="009B397A" w:rsidRPr="005D0989">
        <w:t>f D</w:t>
      </w:r>
      <w:r w:rsidR="009B397A" w:rsidRPr="005D0989">
        <w:rPr>
          <w:spacing w:val="-1"/>
        </w:rPr>
        <w:t>o</w:t>
      </w:r>
      <w:r w:rsidR="009B397A" w:rsidRPr="005D0989">
        <w:t>D Instruction (DoDI) 4140.01, “DoD Supply Chain Materiel Management Policy</w:t>
      </w:r>
      <w:r w:rsidR="009B397A" w:rsidRPr="005D0989">
        <w:rPr>
          <w:spacing w:val="1"/>
        </w:rPr>
        <w:t>,” December 14, 2011</w:t>
      </w:r>
      <w:r w:rsidR="009B397A" w:rsidRPr="005D0989">
        <w:t>.  Unless</w:t>
      </w:r>
      <w:r w:rsidR="009B397A" w:rsidRPr="005D0989">
        <w:rPr>
          <w:spacing w:val="-1"/>
        </w:rPr>
        <w:t xml:space="preserve"> </w:t>
      </w:r>
      <w:r w:rsidR="009B397A" w:rsidRPr="005D0989">
        <w:t>otherwise noted, revised text in the manual is identified by</w:t>
      </w:r>
      <w:r w:rsidR="009B397A" w:rsidRPr="005D0989">
        <w:rPr>
          <w:b/>
          <w:bCs/>
          <w:i/>
        </w:rPr>
        <w:t xml:space="preserve"> bold, italicized</w:t>
      </w:r>
      <w:r w:rsidR="009B397A" w:rsidRPr="005D0989">
        <w:rPr>
          <w:b/>
          <w:bCs/>
          <w:i/>
          <w:spacing w:val="-1"/>
        </w:rPr>
        <w:t xml:space="preserve"> </w:t>
      </w:r>
      <w:r w:rsidR="009B397A" w:rsidRPr="005D0989">
        <w:t>print.  Exceptions are when an entire chapter or appendix is replaced, a new one added, or an administrative update is made.  Administrative updates in Change 8 include the following: "DLA Logistics Management Standards" is changed to "Defense Logistics Management Standards Office" to reflect the most recent name change for the DLMSO office, abbreviations such as etc., e.g., and i.e. are incorporated inside the parentheses., occurrences of “shall” are changed to “will” per a style change for DoD issuances, “Defense Logistics Management System” is updated to “Defense Logistics Management Standards”, “DoDM 4140.1-R” is updated to “DoDM 4140.01”, in accordance with General Order No. 07-15 (09/14/2015), references to “DLA Transaction Services” are changed to “Transaction Services” and “DLA Logistics Information Services” to “Logistics Information Services”, page number formats in the “front matter” (Table of Contents, Process Change History page, etc.) of the volume have been revised, and minor typographical and similar editing errors in previous version</w:t>
      </w:r>
      <w:r w:rsidR="00F125AE">
        <w:t>s</w:t>
      </w:r>
      <w:r w:rsidR="009B397A" w:rsidRPr="005D0989">
        <w:t xml:space="preserve"> have been corrected.</w:t>
      </w:r>
    </w:p>
    <w:p w14:paraId="74C79ADE" w14:textId="74AA3FF8" w:rsidR="007A4606" w:rsidRPr="0033025A" w:rsidRDefault="007A4606" w:rsidP="004355D6">
      <w:pPr>
        <w:spacing w:after="240"/>
        <w:ind w:right="-2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rsidR="00665E2A">
        <w:t>Standards</w:t>
      </w:r>
      <w:r w:rsidRPr="0033025A">
        <w:t xml:space="preserve"> (DLMS) Changes (ADC) published by </w:t>
      </w:r>
      <w:r w:rsidR="00627063">
        <w:t>Defense Logistics</w:t>
      </w:r>
      <w:r w:rsidRPr="0033025A">
        <w:t xml:space="preserve"> Management Standards Office memorandum:</w:t>
      </w:r>
    </w:p>
    <w:p w14:paraId="6EC0A189" w14:textId="77777777" w:rsidR="009B397A" w:rsidRDefault="00A833FC" w:rsidP="009B397A">
      <w:pPr>
        <w:pStyle w:val="ListParagraph"/>
        <w:widowControl w:val="0"/>
        <w:numPr>
          <w:ilvl w:val="0"/>
          <w:numId w:val="3"/>
        </w:numPr>
        <w:spacing w:after="240" w:line="240" w:lineRule="auto"/>
        <w:ind w:left="0" w:right="706" w:firstLine="907"/>
        <w:contextualSpacing w:val="0"/>
        <w:rPr>
          <w:rFonts w:ascii="Times New Roman" w:eastAsia="Times New Roman" w:hAnsi="Times New Roman"/>
          <w:sz w:val="24"/>
          <w:szCs w:val="24"/>
        </w:rPr>
      </w:pPr>
      <w:r w:rsidRPr="001F4B7D">
        <w:rPr>
          <w:rFonts w:ascii="Times New Roman" w:eastAsia="Times New Roman" w:hAnsi="Times New Roman"/>
          <w:sz w:val="24"/>
          <w:szCs w:val="24"/>
        </w:rPr>
        <w:t xml:space="preserve">  </w:t>
      </w:r>
      <w:r w:rsidR="009B397A" w:rsidRPr="005D0989">
        <w:rPr>
          <w:rFonts w:ascii="Times New Roman" w:eastAsia="Times New Roman" w:hAnsi="Times New Roman"/>
          <w:sz w:val="24"/>
          <w:szCs w:val="24"/>
        </w:rPr>
        <w:t xml:space="preserve">ADC 1161 dated August 1, 2016. Updates Uniform Procurement Instrument Identifier (PIID) Numbering System in the Federal/DLMS Implementation Conventions and DLMS Manuals.  Updates DLMS procedures to accommodate the procurement instrument identifier (PIID) numbering system as required by recent changes to the </w:t>
      </w:r>
      <w:r w:rsidR="009B397A" w:rsidRPr="00EA1598">
        <w:rPr>
          <w:rFonts w:ascii="Times New Roman" w:eastAsia="Times New Roman" w:hAnsi="Times New Roman"/>
          <w:color w:val="000000" w:themeColor="text1"/>
          <w:sz w:val="24"/>
          <w:szCs w:val="24"/>
        </w:rPr>
        <w:t xml:space="preserve">Federal Acquisition Regulation (FAR) </w:t>
      </w:r>
      <w:r w:rsidR="009B397A" w:rsidRPr="005D0989">
        <w:rPr>
          <w:rFonts w:ascii="Times New Roman" w:eastAsia="Times New Roman" w:hAnsi="Times New Roman"/>
          <w:color w:val="000000" w:themeColor="text1"/>
          <w:sz w:val="24"/>
          <w:szCs w:val="24"/>
        </w:rPr>
        <w:t>and Defense Federal Acquisition Regulation Supplement (DFARS)</w:t>
      </w:r>
      <w:r w:rsidR="009B397A" w:rsidRPr="005D0989">
        <w:rPr>
          <w:rFonts w:ascii="Times New Roman" w:eastAsia="Times New Roman" w:hAnsi="Times New Roman"/>
          <w:sz w:val="24"/>
          <w:szCs w:val="24"/>
        </w:rPr>
        <w:t>.  All Components must comply with the PIID numbering requirements of DFARS subpart 204.16 for all new solicitations, contracts, delivery calls/orders, and agreements issued, and any amendments and modifications to those new actions.  Additionally, this change provides guidance for legacy procurement instrument identification number (PIIN)/legacy call/order number during the initial transition.  Revises</w:t>
      </w:r>
      <w:r w:rsidR="009B397A" w:rsidRPr="00EA1598">
        <w:rPr>
          <w:rFonts w:ascii="Times New Roman" w:eastAsia="Times New Roman" w:hAnsi="Times New Roman"/>
          <w:sz w:val="24"/>
          <w:szCs w:val="24"/>
        </w:rPr>
        <w:t xml:space="preserve"> </w:t>
      </w:r>
      <w:r w:rsidR="009B397A" w:rsidRPr="005D0989">
        <w:rPr>
          <w:rFonts w:ascii="Times New Roman" w:eastAsia="Times New Roman" w:hAnsi="Times New Roman"/>
          <w:sz w:val="24"/>
          <w:szCs w:val="24"/>
        </w:rPr>
        <w:t>Chapter</w:t>
      </w:r>
      <w:r w:rsidR="009B397A" w:rsidRPr="00EA1598">
        <w:rPr>
          <w:rFonts w:ascii="Times New Roman" w:eastAsia="Times New Roman" w:hAnsi="Times New Roman"/>
          <w:sz w:val="24"/>
          <w:szCs w:val="24"/>
        </w:rPr>
        <w:t xml:space="preserve"> </w:t>
      </w:r>
      <w:r w:rsidR="009B397A" w:rsidRPr="005D0989">
        <w:rPr>
          <w:rFonts w:ascii="Times New Roman" w:eastAsia="Times New Roman" w:hAnsi="Times New Roman"/>
          <w:sz w:val="24"/>
          <w:szCs w:val="24"/>
        </w:rPr>
        <w:t>4</w:t>
      </w:r>
    </w:p>
    <w:p w14:paraId="18CB67E5" w14:textId="5BE034C3" w:rsidR="001F4B7D" w:rsidRPr="009B397A" w:rsidRDefault="009B397A" w:rsidP="00382299">
      <w:pPr>
        <w:pStyle w:val="ListParagraph"/>
        <w:numPr>
          <w:ilvl w:val="0"/>
          <w:numId w:val="3"/>
        </w:numPr>
        <w:spacing w:after="240" w:line="240" w:lineRule="auto"/>
        <w:ind w:left="0" w:right="706" w:firstLine="900"/>
        <w:contextualSpacing w:val="0"/>
        <w:rPr>
          <w:rFonts w:ascii="Times New Roman" w:eastAsia="Times New Roman" w:hAnsi="Times New Roman"/>
          <w:sz w:val="24"/>
          <w:szCs w:val="24"/>
        </w:rPr>
      </w:pPr>
      <w:r w:rsidRPr="009B397A">
        <w:rPr>
          <w:rFonts w:ascii="Times New Roman" w:eastAsia="Times New Roman" w:hAnsi="Times New Roman"/>
          <w:sz w:val="24"/>
          <w:szCs w:val="24"/>
        </w:rPr>
        <w:lastRenderedPageBreak/>
        <w:t xml:space="preserve">  </w:t>
      </w:r>
      <w:r w:rsidRPr="009B397A">
        <w:rPr>
          <w:rFonts w:ascii="Times New Roman" w:hAnsi="Times New Roman"/>
          <w:sz w:val="24"/>
          <w:szCs w:val="24"/>
        </w:rPr>
        <w:t>ADC 1233 dated August 4, 2016.  Revises the page numbering of the “front matter” (Foreword, Process Change History, Table of Contents, Acronyms and Abbreviations, Definitions and Terms, References) in the DLM 4000.25 series of manuals to prepend an alphabetic indicator to the page numbers in each section of the front matter.  Each page number will begin with an abbreviation of that section's name.  Revises the front matter of the manual.</w:t>
      </w:r>
    </w:p>
    <w:p w14:paraId="7551A6FB" w14:textId="240297A2" w:rsidR="00774233" w:rsidRPr="004268AD" w:rsidRDefault="007A4606" w:rsidP="004268AD">
      <w:pPr>
        <w:widowControl w:val="0"/>
        <w:spacing w:after="240"/>
        <w:ind w:right="706"/>
      </w:pPr>
      <w:r>
        <w:t>III. The list below identifies the chapters, appendices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tblGrid>
      <w:tr w:rsidR="00A675AA" w:rsidRPr="003D312C" w14:paraId="74C79AE9" w14:textId="77777777" w:rsidTr="008A61A9">
        <w:trPr>
          <w:cantSplit/>
          <w:trHeight w:hRule="exact" w:val="460"/>
          <w:tblHeader/>
          <w:jc w:val="center"/>
        </w:trPr>
        <w:tc>
          <w:tcPr>
            <w:tcW w:w="3150" w:type="dxa"/>
          </w:tcPr>
          <w:p w14:paraId="1A27A0C2" w14:textId="3E1740F0" w:rsidR="00A675AA" w:rsidRDefault="00A675AA" w:rsidP="000E4DEC">
            <w:pPr>
              <w:spacing w:after="80"/>
              <w:ind w:right="-14"/>
              <w:rPr>
                <w:b/>
                <w:bCs/>
                <w:u w:val="single"/>
              </w:rPr>
            </w:pPr>
            <w:r>
              <w:rPr>
                <w:b/>
                <w:bCs/>
                <w:u w:val="single"/>
              </w:rPr>
              <w:t xml:space="preserve">Added or </w:t>
            </w:r>
            <w:r w:rsidRPr="003D312C">
              <w:rPr>
                <w:b/>
                <w:bCs/>
                <w:u w:val="single"/>
              </w:rPr>
              <w:t>Replaced Files</w:t>
            </w:r>
          </w:p>
        </w:tc>
      </w:tr>
      <w:tr w:rsidR="00A675AA" w:rsidRPr="000B3DAB" w14:paraId="74C79AEB" w14:textId="77777777" w:rsidTr="008A61A9">
        <w:trPr>
          <w:cantSplit/>
          <w:trHeight w:hRule="exact" w:val="301"/>
          <w:tblHeader/>
          <w:jc w:val="center"/>
        </w:trPr>
        <w:tc>
          <w:tcPr>
            <w:tcW w:w="3150" w:type="dxa"/>
          </w:tcPr>
          <w:p w14:paraId="5A454BDE" w14:textId="1D2302F1" w:rsidR="00A675AA" w:rsidRPr="000B3DAB" w:rsidRDefault="00A675AA" w:rsidP="0064224A">
            <w:pPr>
              <w:spacing w:before="40" w:after="40"/>
              <w:ind w:right="-14"/>
            </w:pPr>
            <w:r w:rsidRPr="000B3DAB">
              <w:t>Change History Page</w:t>
            </w:r>
          </w:p>
        </w:tc>
      </w:tr>
      <w:tr w:rsidR="00627063" w:rsidRPr="000B3DAB" w14:paraId="3817FF0C" w14:textId="77777777" w:rsidTr="008A61A9">
        <w:trPr>
          <w:cantSplit/>
          <w:trHeight w:hRule="exact" w:val="301"/>
          <w:tblHeader/>
          <w:jc w:val="center"/>
        </w:trPr>
        <w:tc>
          <w:tcPr>
            <w:tcW w:w="3150" w:type="dxa"/>
          </w:tcPr>
          <w:p w14:paraId="545410DE" w14:textId="0BA04681" w:rsidR="00627063" w:rsidRDefault="00627063" w:rsidP="0064224A">
            <w:pPr>
              <w:spacing w:before="40" w:after="40"/>
              <w:ind w:right="-14"/>
            </w:pPr>
            <w:r>
              <w:t>Table of Contents</w:t>
            </w:r>
          </w:p>
        </w:tc>
      </w:tr>
      <w:tr w:rsidR="00012AF9" w:rsidRPr="000B3DAB" w14:paraId="368C21F8" w14:textId="77777777" w:rsidTr="008A61A9">
        <w:trPr>
          <w:cantSplit/>
          <w:trHeight w:hRule="exact" w:val="301"/>
          <w:tblHeader/>
          <w:jc w:val="center"/>
        </w:trPr>
        <w:tc>
          <w:tcPr>
            <w:tcW w:w="3150" w:type="dxa"/>
          </w:tcPr>
          <w:p w14:paraId="75D63A6B" w14:textId="38FFEDC0" w:rsidR="00012AF9" w:rsidRPr="000B3DAB" w:rsidRDefault="00012AF9" w:rsidP="0064224A">
            <w:pPr>
              <w:spacing w:before="40" w:after="40"/>
              <w:ind w:right="-14"/>
            </w:pPr>
            <w:r>
              <w:t>Chapter 4</w:t>
            </w:r>
          </w:p>
        </w:tc>
      </w:tr>
    </w:tbl>
    <w:p w14:paraId="686BCFA0" w14:textId="77777777" w:rsidR="00780EFD" w:rsidRDefault="00780EFD" w:rsidP="00780EFD">
      <w:pPr>
        <w:keepNext/>
        <w:keepLines/>
        <w:spacing w:before="240" w:after="240"/>
        <w:ind w:right="-14"/>
      </w:pPr>
      <w:bookmarkStart w:id="0" w:name="OLE_LINK1"/>
      <w:bookmarkStart w:id="1" w:name="OLE_LINK2"/>
      <w:r w:rsidRPr="000F503D">
        <w:rPr>
          <w:color w:val="000000" w:themeColor="text1"/>
        </w:rPr>
        <w:t xml:space="preserve">IV. This change is incorporated into the on-line DLMS manual at the Defense Logistics Managements Standards Website </w:t>
      </w:r>
      <w:r>
        <w:t>Publications Page</w:t>
      </w:r>
      <w:r>
        <w:rPr>
          <w:color w:val="000000" w:themeColor="text1"/>
        </w:rPr>
        <w:t xml:space="preserve"> </w:t>
      </w:r>
      <w:r w:rsidRPr="000F503D">
        <w:rPr>
          <w:color w:val="000000" w:themeColor="text1"/>
        </w:rPr>
        <w:t xml:space="preserve">and the PDF file containing the entire set of change files is available </w:t>
      </w:r>
      <w:r>
        <w:rPr>
          <w:color w:val="000000" w:themeColor="text1"/>
        </w:rPr>
        <w:t>on the Formal Changes Page.</w:t>
      </w:r>
    </w:p>
    <w:p w14:paraId="1043DE0D" w14:textId="77777777" w:rsidR="00526D48" w:rsidRDefault="00526D48" w:rsidP="00526D48">
      <w:pPr>
        <w:keepNext/>
        <w:keepLines/>
        <w:rPr>
          <w:color w:val="000000" w:themeColor="text1"/>
        </w:rPr>
      </w:pPr>
      <w:bookmarkStart w:id="2" w:name="_GoBack"/>
      <w:bookmarkEnd w:id="0"/>
      <w:bookmarkEnd w:id="1"/>
      <w:bookmarkEnd w:id="2"/>
    </w:p>
    <w:p w14:paraId="7ECF76A6" w14:textId="577C47F2" w:rsidR="009B397A" w:rsidRPr="00526D48" w:rsidRDefault="00526D48" w:rsidP="00526D48">
      <w:pPr>
        <w:spacing w:before="240" w:after="240"/>
        <w:ind w:left="115" w:right="-14"/>
        <w:rPr>
          <w:sz w:val="23"/>
          <w:szCs w:val="23"/>
        </w:rPr>
      </w:pPr>
      <w:r>
        <w:rPr>
          <w:rStyle w:val="Hyperlink"/>
        </w:rPr>
        <w:t xml:space="preserve"> </w:t>
      </w:r>
      <w:r>
        <w:rPr>
          <w:rStyle w:val="Hyperlink"/>
        </w:rPr>
        <w:tab/>
        <w:t xml:space="preserve">  </w:t>
      </w:r>
      <w:r>
        <w:rPr>
          <w:rStyle w:val="Hyperlink"/>
        </w:rPr>
        <w:tab/>
      </w:r>
      <w:r>
        <w:rPr>
          <w:rStyle w:val="Hyperlink"/>
        </w:rPr>
        <w:tab/>
        <w:t xml:space="preserve">   </w:t>
      </w:r>
      <w:r w:rsidRPr="00526D48">
        <w:rPr>
          <w:rStyle w:val="Hyperlink"/>
          <w:u w:val="none"/>
        </w:rPr>
        <w:tab/>
        <w:t xml:space="preserve">          </w:t>
      </w:r>
      <w:r w:rsidRPr="00526D48">
        <w:rPr>
          <w:noProof/>
          <w:color w:val="0000FF"/>
        </w:rPr>
        <w:drawing>
          <wp:inline distT="0" distB="0" distL="0" distR="0" wp14:anchorId="14A4C5C5" wp14:editId="559FDD35">
            <wp:extent cx="3362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371600"/>
                    </a:xfrm>
                    <a:prstGeom prst="rect">
                      <a:avLst/>
                    </a:prstGeom>
                    <a:noFill/>
                    <a:ln>
                      <a:noFill/>
                    </a:ln>
                  </pic:spPr>
                </pic:pic>
              </a:graphicData>
            </a:graphic>
          </wp:inline>
        </w:drawing>
      </w:r>
      <w:r w:rsidRPr="00526D48">
        <w:rPr>
          <w:rStyle w:val="Hyperlink"/>
          <w:u w:val="none"/>
        </w:rPr>
        <w:tab/>
      </w:r>
      <w:r w:rsidRPr="00526D48">
        <w:rPr>
          <w:rStyle w:val="Hyperlink"/>
          <w:u w:val="none"/>
        </w:rPr>
        <w:tab/>
      </w:r>
      <w:r w:rsidRPr="00526D48">
        <w:rPr>
          <w:rStyle w:val="Hyperlink"/>
          <w:u w:val="none"/>
        </w:rPr>
        <w:tab/>
      </w:r>
    </w:p>
    <w:sectPr w:rsidR="009B397A" w:rsidRPr="00526D48" w:rsidSect="004268AD">
      <w:pgSz w:w="12240" w:h="15840"/>
      <w:pgMar w:top="982"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878D" w14:textId="77777777" w:rsidR="00A44439" w:rsidRDefault="00A44439">
      <w:r>
        <w:separator/>
      </w:r>
    </w:p>
  </w:endnote>
  <w:endnote w:type="continuationSeparator" w:id="0">
    <w:p w14:paraId="03ACD794" w14:textId="77777777" w:rsidR="00A44439" w:rsidRDefault="00A4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55B5C" w14:textId="77777777" w:rsidR="00A44439" w:rsidRDefault="00A44439">
      <w:r>
        <w:separator/>
      </w:r>
    </w:p>
  </w:footnote>
  <w:footnote w:type="continuationSeparator" w:id="0">
    <w:p w14:paraId="2118C952" w14:textId="77777777" w:rsidR="00A44439" w:rsidRDefault="00A44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50B75569"/>
    <w:multiLevelType w:val="hybridMultilevel"/>
    <w:tmpl w:val="EC2CD694"/>
    <w:lvl w:ilvl="0" w:tplc="E6F2918A">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07A72"/>
    <w:rsid w:val="00012AF9"/>
    <w:rsid w:val="0003425D"/>
    <w:rsid w:val="00055220"/>
    <w:rsid w:val="00075C36"/>
    <w:rsid w:val="0008687E"/>
    <w:rsid w:val="000D54E6"/>
    <w:rsid w:val="000E4A8A"/>
    <w:rsid w:val="000E4DEC"/>
    <w:rsid w:val="000F7226"/>
    <w:rsid w:val="00101017"/>
    <w:rsid w:val="00114FDC"/>
    <w:rsid w:val="001822BB"/>
    <w:rsid w:val="00186203"/>
    <w:rsid w:val="00195DCE"/>
    <w:rsid w:val="001D1B5B"/>
    <w:rsid w:val="001D1F76"/>
    <w:rsid w:val="001E7833"/>
    <w:rsid w:val="001F2E01"/>
    <w:rsid w:val="001F4B7D"/>
    <w:rsid w:val="00250389"/>
    <w:rsid w:val="00250B95"/>
    <w:rsid w:val="0028222D"/>
    <w:rsid w:val="0028500E"/>
    <w:rsid w:val="00286745"/>
    <w:rsid w:val="002974D3"/>
    <w:rsid w:val="002F112B"/>
    <w:rsid w:val="002F2311"/>
    <w:rsid w:val="002F6167"/>
    <w:rsid w:val="00312A29"/>
    <w:rsid w:val="00326BFB"/>
    <w:rsid w:val="00327A0E"/>
    <w:rsid w:val="00333B11"/>
    <w:rsid w:val="00374DFB"/>
    <w:rsid w:val="00382299"/>
    <w:rsid w:val="003873F2"/>
    <w:rsid w:val="003930DE"/>
    <w:rsid w:val="003A51FF"/>
    <w:rsid w:val="003A5FFA"/>
    <w:rsid w:val="003A7968"/>
    <w:rsid w:val="003B18E9"/>
    <w:rsid w:val="003B6219"/>
    <w:rsid w:val="003D4CEB"/>
    <w:rsid w:val="003E5E5A"/>
    <w:rsid w:val="003F6A18"/>
    <w:rsid w:val="0041268E"/>
    <w:rsid w:val="004268AD"/>
    <w:rsid w:val="00433697"/>
    <w:rsid w:val="004355D6"/>
    <w:rsid w:val="0045038D"/>
    <w:rsid w:val="00463CC5"/>
    <w:rsid w:val="00475EED"/>
    <w:rsid w:val="004B127B"/>
    <w:rsid w:val="004D1BA3"/>
    <w:rsid w:val="004E1FFF"/>
    <w:rsid w:val="004E722F"/>
    <w:rsid w:val="004F771B"/>
    <w:rsid w:val="005001FC"/>
    <w:rsid w:val="005014F0"/>
    <w:rsid w:val="00526D48"/>
    <w:rsid w:val="005416E8"/>
    <w:rsid w:val="00573575"/>
    <w:rsid w:val="00577ADD"/>
    <w:rsid w:val="00591666"/>
    <w:rsid w:val="005B055D"/>
    <w:rsid w:val="005B6C0F"/>
    <w:rsid w:val="005F402A"/>
    <w:rsid w:val="00607DF4"/>
    <w:rsid w:val="006141D7"/>
    <w:rsid w:val="006153D6"/>
    <w:rsid w:val="00616A4E"/>
    <w:rsid w:val="00627063"/>
    <w:rsid w:val="0062781F"/>
    <w:rsid w:val="0062786A"/>
    <w:rsid w:val="0064224A"/>
    <w:rsid w:val="00647078"/>
    <w:rsid w:val="0065298B"/>
    <w:rsid w:val="00665E2A"/>
    <w:rsid w:val="00694BFF"/>
    <w:rsid w:val="006B57E1"/>
    <w:rsid w:val="006D6E9F"/>
    <w:rsid w:val="006F6A11"/>
    <w:rsid w:val="006F7EB4"/>
    <w:rsid w:val="00710D9C"/>
    <w:rsid w:val="00711BF3"/>
    <w:rsid w:val="007138DE"/>
    <w:rsid w:val="00726F50"/>
    <w:rsid w:val="0073569F"/>
    <w:rsid w:val="00774233"/>
    <w:rsid w:val="00775B76"/>
    <w:rsid w:val="00780EFD"/>
    <w:rsid w:val="007939FE"/>
    <w:rsid w:val="007A415E"/>
    <w:rsid w:val="007A4606"/>
    <w:rsid w:val="007A5B2D"/>
    <w:rsid w:val="007B013C"/>
    <w:rsid w:val="007C3AD4"/>
    <w:rsid w:val="007C757B"/>
    <w:rsid w:val="007D0EF2"/>
    <w:rsid w:val="00814A2F"/>
    <w:rsid w:val="00843479"/>
    <w:rsid w:val="00847419"/>
    <w:rsid w:val="00853ABE"/>
    <w:rsid w:val="008822F3"/>
    <w:rsid w:val="00886B65"/>
    <w:rsid w:val="00895627"/>
    <w:rsid w:val="008A063C"/>
    <w:rsid w:val="008A61A9"/>
    <w:rsid w:val="008A7395"/>
    <w:rsid w:val="008C4D6E"/>
    <w:rsid w:val="008C5BD6"/>
    <w:rsid w:val="008C7032"/>
    <w:rsid w:val="008F02E4"/>
    <w:rsid w:val="008F6370"/>
    <w:rsid w:val="008F76AB"/>
    <w:rsid w:val="0090013B"/>
    <w:rsid w:val="0090384D"/>
    <w:rsid w:val="009217DD"/>
    <w:rsid w:val="0093326E"/>
    <w:rsid w:val="009424D1"/>
    <w:rsid w:val="00980E9A"/>
    <w:rsid w:val="009B2F79"/>
    <w:rsid w:val="009B397A"/>
    <w:rsid w:val="009B72CC"/>
    <w:rsid w:val="009D6800"/>
    <w:rsid w:val="009E3A69"/>
    <w:rsid w:val="009E65AE"/>
    <w:rsid w:val="009F0E6A"/>
    <w:rsid w:val="009F33CE"/>
    <w:rsid w:val="00A16682"/>
    <w:rsid w:val="00A27E33"/>
    <w:rsid w:val="00A30AA8"/>
    <w:rsid w:val="00A43CDA"/>
    <w:rsid w:val="00A44439"/>
    <w:rsid w:val="00A461E1"/>
    <w:rsid w:val="00A675AA"/>
    <w:rsid w:val="00A833FC"/>
    <w:rsid w:val="00AB05D4"/>
    <w:rsid w:val="00AB4CA6"/>
    <w:rsid w:val="00AC5DD9"/>
    <w:rsid w:val="00AE33F6"/>
    <w:rsid w:val="00B04F88"/>
    <w:rsid w:val="00B14755"/>
    <w:rsid w:val="00B23455"/>
    <w:rsid w:val="00B34269"/>
    <w:rsid w:val="00B50BF8"/>
    <w:rsid w:val="00B70D19"/>
    <w:rsid w:val="00B7369C"/>
    <w:rsid w:val="00B750CE"/>
    <w:rsid w:val="00BF1997"/>
    <w:rsid w:val="00C31A62"/>
    <w:rsid w:val="00C36F77"/>
    <w:rsid w:val="00C67291"/>
    <w:rsid w:val="00C72C1E"/>
    <w:rsid w:val="00C83CE6"/>
    <w:rsid w:val="00CB2D13"/>
    <w:rsid w:val="00CC1199"/>
    <w:rsid w:val="00CC1F60"/>
    <w:rsid w:val="00D12E60"/>
    <w:rsid w:val="00D141E2"/>
    <w:rsid w:val="00D16B41"/>
    <w:rsid w:val="00D250E4"/>
    <w:rsid w:val="00D25E1D"/>
    <w:rsid w:val="00D3484C"/>
    <w:rsid w:val="00D4001F"/>
    <w:rsid w:val="00D4403F"/>
    <w:rsid w:val="00D529F1"/>
    <w:rsid w:val="00D76590"/>
    <w:rsid w:val="00D868E7"/>
    <w:rsid w:val="00D97980"/>
    <w:rsid w:val="00D97A77"/>
    <w:rsid w:val="00DA0CBC"/>
    <w:rsid w:val="00DD08F5"/>
    <w:rsid w:val="00DE24C8"/>
    <w:rsid w:val="00DE6111"/>
    <w:rsid w:val="00E01E8F"/>
    <w:rsid w:val="00E10876"/>
    <w:rsid w:val="00E44253"/>
    <w:rsid w:val="00E45A3D"/>
    <w:rsid w:val="00E6655F"/>
    <w:rsid w:val="00E839DC"/>
    <w:rsid w:val="00E8490B"/>
    <w:rsid w:val="00EA1F41"/>
    <w:rsid w:val="00EB2518"/>
    <w:rsid w:val="00EE2CC3"/>
    <w:rsid w:val="00EF692E"/>
    <w:rsid w:val="00F125AE"/>
    <w:rsid w:val="00F138E4"/>
    <w:rsid w:val="00F31163"/>
    <w:rsid w:val="00F36A81"/>
    <w:rsid w:val="00F3781D"/>
    <w:rsid w:val="00F67F39"/>
    <w:rsid w:val="00F7046F"/>
    <w:rsid w:val="00F719AB"/>
    <w:rsid w:val="00F742FA"/>
    <w:rsid w:val="00FA13D5"/>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4C79ACE"/>
  <w15:docId w15:val="{9CD54D36-D25A-4040-AAF5-97D32CA7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character" w:styleId="FollowedHyperlink">
    <w:name w:val="FollowedHyperlink"/>
    <w:basedOn w:val="DefaultParagraphFont"/>
    <w:semiHidden/>
    <w:unhideWhenUsed/>
    <w:rsid w:val="007A41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Props1.xml><?xml version="1.0" encoding="utf-8"?>
<ds:datastoreItem xmlns:ds="http://schemas.openxmlformats.org/officeDocument/2006/customXml" ds:itemID="{C46A73EC-006E-48CD-9F58-68DF5BF2E07B}"/>
</file>

<file path=customXml/itemProps2.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3.xml><?xml version="1.0" encoding="utf-8"?>
<ds:datastoreItem xmlns:ds="http://schemas.openxmlformats.org/officeDocument/2006/customXml" ds:itemID="{9437E2D2-3377-49CF-ACBB-8CE6926F3E39}">
  <ds:schemaRefs>
    <ds:schemaRef ds:uri="http://schemas.microsoft.com/office/2006/metadata/properties"/>
    <ds:schemaRef ds:uri="1019005c-580f-42ae-adec-ba9490377f66"/>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8447ED9C.dotm</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DLMS V7 Change 3 Letter</vt:lpstr>
    </vt:vector>
  </TitlesOfParts>
  <Company>DoD</Company>
  <LinksUpToDate>false</LinksUpToDate>
  <CharactersWithSpaces>3663</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V7 Change 3 Letter</dc:title>
  <dc:creator>prezzysm</dc:creator>
  <cp:lastModifiedBy>Nguyen, Bao X CTR DLA INFO OPERATIONS (US)</cp:lastModifiedBy>
  <cp:revision>7</cp:revision>
  <cp:lastPrinted>2015-02-19T21:15:00Z</cp:lastPrinted>
  <dcterms:created xsi:type="dcterms:W3CDTF">2016-10-11T15:18:00Z</dcterms:created>
  <dcterms:modified xsi:type="dcterms:W3CDTF">2017-10-31T15:27:00Z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Order">
    <vt:r8>31700</vt:r8>
  </property>
  <property fmtid="{D5CDD505-2E9C-101B-9397-08002B2CF9AE}" pid="4" name="xd_ProgID">
    <vt:lpwstr/>
  </property>
  <property fmtid="{D5CDD505-2E9C-101B-9397-08002B2CF9AE}" pid="5" name="TemplateUrl">
    <vt:lpwstr/>
  </property>
</Properties>
</file>