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378E5" w14:textId="77777777" w:rsidR="001541B4" w:rsidRPr="00AE2EB2" w:rsidRDefault="002A1B79" w:rsidP="002A1B79">
      <w:pPr>
        <w:spacing w:after="240"/>
        <w:jc w:val="center"/>
        <w:rPr>
          <w:b/>
          <w:sz w:val="44"/>
          <w:szCs w:val="44"/>
          <w:u w:val="single"/>
        </w:rPr>
      </w:pPr>
      <w:r w:rsidRPr="00AE2EB2">
        <w:rPr>
          <w:b/>
          <w:sz w:val="44"/>
          <w:szCs w:val="44"/>
          <w:u w:val="single"/>
        </w:rPr>
        <w:t>C</w:t>
      </w:r>
      <w:r w:rsidR="00707742">
        <w:rPr>
          <w:b/>
          <w:sz w:val="44"/>
          <w:szCs w:val="44"/>
          <w:u w:val="single"/>
        </w:rPr>
        <w:t>4</w:t>
      </w:r>
      <w:r w:rsidRPr="00AE2EB2">
        <w:rPr>
          <w:b/>
          <w:sz w:val="44"/>
          <w:szCs w:val="44"/>
          <w:u w:val="single"/>
        </w:rPr>
        <w:t xml:space="preserve">. CHAPTER </w:t>
      </w:r>
      <w:r w:rsidR="00707742">
        <w:rPr>
          <w:b/>
          <w:sz w:val="44"/>
          <w:szCs w:val="44"/>
          <w:u w:val="single"/>
        </w:rPr>
        <w:t>4</w:t>
      </w:r>
    </w:p>
    <w:p w14:paraId="69B378E6" w14:textId="77777777" w:rsidR="001541B4" w:rsidRPr="00AE2EB2" w:rsidRDefault="002A1B79" w:rsidP="00834BC9">
      <w:pPr>
        <w:spacing w:after="360"/>
        <w:jc w:val="center"/>
        <w:rPr>
          <w:b/>
          <w:sz w:val="36"/>
          <w:szCs w:val="36"/>
        </w:rPr>
      </w:pPr>
      <w:r w:rsidRPr="00AE2EB2">
        <w:rPr>
          <w:b/>
          <w:sz w:val="36"/>
          <w:szCs w:val="36"/>
          <w:u w:val="single"/>
        </w:rPr>
        <w:t>CONTRACT COMPLETION STATUS REPORTING</w:t>
      </w:r>
    </w:p>
    <w:p w14:paraId="69B378E7" w14:textId="77777777" w:rsidR="001541B4" w:rsidRDefault="00DE1B17" w:rsidP="00DE1B17">
      <w:pPr>
        <w:tabs>
          <w:tab w:val="left" w:pos="540"/>
          <w:tab w:val="left" w:pos="1080"/>
          <w:tab w:val="left" w:pos="1620"/>
          <w:tab w:val="left" w:pos="2160"/>
        </w:tabs>
        <w:spacing w:after="240"/>
      </w:pPr>
      <w:r>
        <w:t>C</w:t>
      </w:r>
      <w:r w:rsidR="00707742">
        <w:t>4</w:t>
      </w:r>
      <w:r>
        <w:t xml:space="preserve">.1  </w:t>
      </w:r>
      <w:r w:rsidR="001541B4" w:rsidRPr="00DE1B17">
        <w:rPr>
          <w:u w:val="single"/>
        </w:rPr>
        <w:t>GENERAL</w:t>
      </w:r>
    </w:p>
    <w:p w14:paraId="69B378E8" w14:textId="77777777" w:rsidR="001541B4" w:rsidRDefault="00DE1B17" w:rsidP="00DE1B17">
      <w:pPr>
        <w:tabs>
          <w:tab w:val="left" w:pos="540"/>
          <w:tab w:val="left" w:pos="1080"/>
          <w:tab w:val="left" w:pos="1620"/>
          <w:tab w:val="left" w:pos="2160"/>
        </w:tabs>
        <w:spacing w:after="240"/>
      </w:pPr>
      <w:r>
        <w:tab/>
      </w:r>
      <w:r w:rsidR="002A1B79">
        <w:t>C</w:t>
      </w:r>
      <w:r w:rsidR="00707742">
        <w:t>4</w:t>
      </w:r>
      <w:r w:rsidR="002A1B79">
        <w:t xml:space="preserve">.1.1.  </w:t>
      </w:r>
      <w:r w:rsidR="001541B4" w:rsidRPr="00DE1B17">
        <w:rPr>
          <w:u w:val="single"/>
        </w:rPr>
        <w:t>Purpose</w:t>
      </w:r>
      <w:r w:rsidR="001541B4">
        <w:t>.  This chapter prescribes standard procedures for reporting:</w:t>
      </w:r>
    </w:p>
    <w:p w14:paraId="69B378E9" w14:textId="77777777" w:rsidR="001541B4" w:rsidRDefault="00DE1B17" w:rsidP="00DE1B17">
      <w:pPr>
        <w:tabs>
          <w:tab w:val="left" w:pos="540"/>
          <w:tab w:val="left" w:pos="1080"/>
          <w:tab w:val="left" w:pos="1620"/>
          <w:tab w:val="left" w:pos="2160"/>
        </w:tabs>
        <w:spacing w:after="240"/>
      </w:pPr>
      <w:r>
        <w:tab/>
      </w:r>
      <w:r>
        <w:tab/>
      </w:r>
      <w:r w:rsidR="002A1B79">
        <w:t>C</w:t>
      </w:r>
      <w:r w:rsidR="00707742">
        <w:t>4</w:t>
      </w:r>
      <w:r w:rsidR="002A1B79">
        <w:t xml:space="preserve">.1.1.1.  </w:t>
      </w:r>
      <w:r w:rsidR="001541B4">
        <w:t>The status of unclosed contracts subsequent to physical completion,</w:t>
      </w:r>
      <w:bookmarkStart w:id="0" w:name="_GoBack"/>
      <w:bookmarkEnd w:id="0"/>
    </w:p>
    <w:p w14:paraId="69B378EA" w14:textId="3FC4C7BF" w:rsidR="001541B4" w:rsidRPr="001929B2" w:rsidRDefault="00DE1B17" w:rsidP="00DE1B17">
      <w:pPr>
        <w:tabs>
          <w:tab w:val="left" w:pos="540"/>
          <w:tab w:val="left" w:pos="1080"/>
          <w:tab w:val="left" w:pos="1620"/>
          <w:tab w:val="left" w:pos="2160"/>
        </w:tabs>
        <w:spacing w:after="240"/>
      </w:pPr>
      <w:r w:rsidRPr="001929B2">
        <w:tab/>
      </w:r>
      <w:r w:rsidRPr="001929B2">
        <w:tab/>
      </w:r>
      <w:r w:rsidR="002A1B79" w:rsidRPr="001929B2">
        <w:t>C</w:t>
      </w:r>
      <w:r w:rsidR="00707742" w:rsidRPr="001929B2">
        <w:t>4</w:t>
      </w:r>
      <w:r w:rsidR="002A1B79" w:rsidRPr="001929B2">
        <w:t xml:space="preserve">.1.1.2.  </w:t>
      </w:r>
      <w:r w:rsidR="001541B4" w:rsidRPr="001929B2">
        <w:t xml:space="preserve">Major events leading to the closing of the contract files by the </w:t>
      </w:r>
      <w:r w:rsidR="00E42256" w:rsidRPr="001929B2">
        <w:t xml:space="preserve">Contract Administration Office </w:t>
      </w:r>
      <w:r w:rsidR="00006986" w:rsidRPr="001929B2">
        <w:t>(</w:t>
      </w:r>
      <w:r w:rsidR="001541B4" w:rsidRPr="001929B2">
        <w:t>CAO</w:t>
      </w:r>
      <w:r w:rsidR="00006986" w:rsidRPr="001929B2">
        <w:t>)</w:t>
      </w:r>
      <w:r w:rsidR="001541B4" w:rsidRPr="001929B2">
        <w:t>,</w:t>
      </w:r>
      <w:r w:rsidR="006A4DF2" w:rsidRPr="001929B2">
        <w:t xml:space="preserve"> </w:t>
      </w:r>
      <w:r w:rsidR="001670EB" w:rsidRPr="001929B2">
        <w:t>the office administering the contract for closeout including where administration is retained by the Purchasing Office (PO),</w:t>
      </w:r>
    </w:p>
    <w:p w14:paraId="69B378EB" w14:textId="5263643D" w:rsidR="001541B4" w:rsidRPr="001929B2" w:rsidRDefault="00DE1B17" w:rsidP="00DE1B17">
      <w:pPr>
        <w:tabs>
          <w:tab w:val="left" w:pos="540"/>
          <w:tab w:val="left" w:pos="1080"/>
          <w:tab w:val="left" w:pos="1620"/>
          <w:tab w:val="left" w:pos="2160"/>
        </w:tabs>
        <w:spacing w:after="240"/>
      </w:pPr>
      <w:r w:rsidRPr="001929B2">
        <w:tab/>
      </w:r>
      <w:r w:rsidRPr="001929B2">
        <w:tab/>
      </w:r>
      <w:r w:rsidR="002A1B79" w:rsidRPr="001929B2">
        <w:t>C</w:t>
      </w:r>
      <w:r w:rsidR="00707742" w:rsidRPr="001929B2">
        <w:t>4</w:t>
      </w:r>
      <w:r w:rsidR="002A1B79" w:rsidRPr="001929B2">
        <w:t xml:space="preserve">.1.1.3.  </w:t>
      </w:r>
      <w:r w:rsidR="001541B4" w:rsidRPr="001929B2">
        <w:t xml:space="preserve">The extension of the contract closeout period by the CAO, </w:t>
      </w:r>
    </w:p>
    <w:p w14:paraId="69B378EC" w14:textId="34B24D91" w:rsidR="001541B4" w:rsidRPr="001929B2" w:rsidRDefault="00DE1B17" w:rsidP="00DE1B17">
      <w:pPr>
        <w:tabs>
          <w:tab w:val="left" w:pos="540"/>
          <w:tab w:val="left" w:pos="1080"/>
          <w:tab w:val="left" w:pos="1620"/>
          <w:tab w:val="left" w:pos="2160"/>
        </w:tabs>
        <w:spacing w:after="240"/>
      </w:pPr>
      <w:r w:rsidRPr="001929B2">
        <w:tab/>
      </w:r>
      <w:r w:rsidRPr="001929B2">
        <w:tab/>
      </w:r>
      <w:r w:rsidR="00707742" w:rsidRPr="001929B2">
        <w:t>C4</w:t>
      </w:r>
      <w:r w:rsidR="002A1B79" w:rsidRPr="001929B2">
        <w:t xml:space="preserve">.1.1.4.  </w:t>
      </w:r>
      <w:r w:rsidR="001541B4" w:rsidRPr="001929B2">
        <w:t xml:space="preserve">The extension of </w:t>
      </w:r>
      <w:r w:rsidR="00706086" w:rsidRPr="001929B2">
        <w:t xml:space="preserve">the </w:t>
      </w:r>
      <w:r w:rsidR="001541B4" w:rsidRPr="001929B2">
        <w:t xml:space="preserve">contract closeout period by the </w:t>
      </w:r>
      <w:r w:rsidR="006A4DF2" w:rsidRPr="001929B2">
        <w:t>P</w:t>
      </w:r>
      <w:r w:rsidR="001541B4" w:rsidRPr="001929B2">
        <w:t>O</w:t>
      </w:r>
      <w:r w:rsidR="001670EB" w:rsidRPr="001929B2">
        <w:t>,</w:t>
      </w:r>
    </w:p>
    <w:p w14:paraId="2B28EAEE" w14:textId="4305D905" w:rsidR="001670EB" w:rsidRPr="001929B2" w:rsidRDefault="001670EB" w:rsidP="001670EB">
      <w:pPr>
        <w:tabs>
          <w:tab w:val="left" w:pos="540"/>
          <w:tab w:val="left" w:pos="1080"/>
          <w:tab w:val="left" w:pos="1620"/>
          <w:tab w:val="left" w:pos="2160"/>
        </w:tabs>
        <w:spacing w:after="240"/>
      </w:pPr>
      <w:r w:rsidRPr="001929B2">
        <w:tab/>
      </w:r>
      <w:r w:rsidRPr="001929B2">
        <w:tab/>
        <w:t>C4.1.1.5.  The execution of an automated contract closeout,</w:t>
      </w:r>
    </w:p>
    <w:p w14:paraId="5BC964E1" w14:textId="77777777" w:rsidR="001670EB" w:rsidRPr="001929B2" w:rsidRDefault="001670EB" w:rsidP="001670EB">
      <w:pPr>
        <w:tabs>
          <w:tab w:val="left" w:pos="540"/>
          <w:tab w:val="left" w:pos="1080"/>
          <w:tab w:val="left" w:pos="1620"/>
          <w:tab w:val="left" w:pos="2160"/>
        </w:tabs>
        <w:spacing w:after="240"/>
      </w:pPr>
      <w:r w:rsidRPr="001929B2">
        <w:tab/>
      </w:r>
      <w:r w:rsidRPr="001929B2">
        <w:tab/>
        <w:t>C4.1.1.6.  The update of a previously submitted contract closeout, and</w:t>
      </w:r>
    </w:p>
    <w:p w14:paraId="6BB0BD7A" w14:textId="2C232D5D" w:rsidR="001670EB" w:rsidRPr="001929B2" w:rsidRDefault="001670EB" w:rsidP="001670EB">
      <w:pPr>
        <w:tabs>
          <w:tab w:val="left" w:pos="540"/>
          <w:tab w:val="left" w:pos="1080"/>
          <w:tab w:val="left" w:pos="1620"/>
          <w:tab w:val="left" w:pos="2160"/>
        </w:tabs>
        <w:spacing w:after="240"/>
      </w:pPr>
      <w:r w:rsidRPr="001929B2">
        <w:tab/>
      </w:r>
      <w:r w:rsidRPr="001929B2">
        <w:tab/>
        <w:t xml:space="preserve">C4.1.1.7.  The final closeout of a cancelled contract in </w:t>
      </w:r>
      <w:r w:rsidR="00950D7D" w:rsidRPr="001929B2">
        <w:t xml:space="preserve">Electronic Document Access </w:t>
      </w:r>
      <w:r w:rsidR="007B16F0" w:rsidRPr="001929B2">
        <w:t>(</w:t>
      </w:r>
      <w:r w:rsidRPr="001929B2">
        <w:t>EDA</w:t>
      </w:r>
      <w:r w:rsidR="007B16F0" w:rsidRPr="001929B2">
        <w:t>)</w:t>
      </w:r>
      <w:r w:rsidRPr="001929B2">
        <w:t>.</w:t>
      </w:r>
    </w:p>
    <w:p w14:paraId="69B378ED" w14:textId="73E5690C" w:rsidR="00411EA7" w:rsidRDefault="00DE1B17" w:rsidP="00DE1B17">
      <w:pPr>
        <w:tabs>
          <w:tab w:val="left" w:pos="540"/>
          <w:tab w:val="left" w:pos="1080"/>
          <w:tab w:val="left" w:pos="1620"/>
          <w:tab w:val="left" w:pos="2160"/>
        </w:tabs>
        <w:spacing w:after="240"/>
      </w:pPr>
      <w:r>
        <w:tab/>
      </w:r>
      <w:r w:rsidR="002A1B79">
        <w:t>C</w:t>
      </w:r>
      <w:r w:rsidR="00707742">
        <w:t>4</w:t>
      </w:r>
      <w:r w:rsidR="002A1B79">
        <w:t xml:space="preserve">.1.2.  </w:t>
      </w:r>
      <w:r w:rsidR="001541B4" w:rsidRPr="00DE1B17">
        <w:rPr>
          <w:u w:val="single"/>
        </w:rPr>
        <w:t>Scope</w:t>
      </w:r>
      <w:r w:rsidR="001541B4">
        <w:t>.  These reports are identified as</w:t>
      </w:r>
      <w:r w:rsidR="00BA44B4">
        <w:t xml:space="preserve"> </w:t>
      </w:r>
      <w:r w:rsidR="00DC3FB3">
        <w:t>D</w:t>
      </w:r>
      <w:r w:rsidR="004924CA">
        <w:t xml:space="preserve">efense </w:t>
      </w:r>
      <w:r w:rsidR="00DC3FB3">
        <w:t>L</w:t>
      </w:r>
      <w:r w:rsidR="004924CA">
        <w:t xml:space="preserve">ogistics </w:t>
      </w:r>
      <w:r w:rsidR="00DC3FB3">
        <w:t>M</w:t>
      </w:r>
      <w:r w:rsidR="004924CA">
        <w:t xml:space="preserve">anagement </w:t>
      </w:r>
      <w:r w:rsidR="005B6A44">
        <w:t xml:space="preserve">Standards </w:t>
      </w:r>
      <w:r w:rsidR="00E33936">
        <w:t>(</w:t>
      </w:r>
      <w:r w:rsidR="00411EA7">
        <w:t>DLMS</w:t>
      </w:r>
      <w:r w:rsidR="00E33936">
        <w:t>)</w:t>
      </w:r>
      <w:r w:rsidR="00411EA7">
        <w:t xml:space="preserve"> </w:t>
      </w:r>
      <w:r w:rsidR="00DC3FB3">
        <w:t>Supplement</w:t>
      </w:r>
      <w:r w:rsidR="00411EA7">
        <w:t xml:space="preserve"> </w:t>
      </w:r>
      <w:r w:rsidR="001541B4">
        <w:t>567C</w:t>
      </w:r>
      <w:r w:rsidR="00411EA7">
        <w:t xml:space="preserve">, </w:t>
      </w:r>
      <w:r w:rsidR="001541B4">
        <w:t xml:space="preserve">Contract </w:t>
      </w:r>
      <w:r w:rsidR="001541B4" w:rsidRPr="008F54A2">
        <w:t>Completion Status</w:t>
      </w:r>
      <w:r w:rsidR="00411EA7">
        <w:t xml:space="preserve">, and </w:t>
      </w:r>
      <w:r w:rsidR="00411EA7" w:rsidRPr="00411EA7">
        <w:t>primarily</w:t>
      </w:r>
      <w:r w:rsidR="00411EA7">
        <w:t xml:space="preserve"> provide information to the PO for closing and retiring its contract files. The DLMS transactions are available on the DLA Logistics Management Standards Website </w:t>
      </w:r>
      <w:r w:rsidR="00E33936">
        <w:br/>
      </w:r>
      <w:hyperlink r:id="rId11" w:history="1">
        <w:r w:rsidR="00411EA7">
          <w:rPr>
            <w:rStyle w:val="Hyperlink"/>
          </w:rPr>
          <w:t>www.</w:t>
        </w:r>
        <w:r w:rsidR="00CC551F">
          <w:rPr>
            <w:rStyle w:val="Hyperlink"/>
          </w:rPr>
          <w:t>dlmso.dla.mil</w:t>
        </w:r>
        <w:r w:rsidR="00411EA7">
          <w:rPr>
            <w:rStyle w:val="Hyperlink"/>
          </w:rPr>
          <w:t>/elibrary/TransFormats/140_997.asp</w:t>
        </w:r>
      </w:hyperlink>
      <w:r w:rsidR="00E42256">
        <w:t>.</w:t>
      </w:r>
    </w:p>
    <w:p w14:paraId="69B378EE" w14:textId="598526A0" w:rsidR="001541B4" w:rsidRDefault="00DE1B17" w:rsidP="00DE1B17">
      <w:pPr>
        <w:tabs>
          <w:tab w:val="left" w:pos="540"/>
          <w:tab w:val="left" w:pos="1080"/>
          <w:tab w:val="left" w:pos="1620"/>
          <w:tab w:val="left" w:pos="2160"/>
        </w:tabs>
        <w:spacing w:after="240"/>
      </w:pPr>
      <w:r>
        <w:tab/>
      </w:r>
      <w:r w:rsidR="002A1B79">
        <w:t>C</w:t>
      </w:r>
      <w:r w:rsidR="00707742">
        <w:t>4</w:t>
      </w:r>
      <w:r w:rsidR="002A1B79">
        <w:t xml:space="preserve">.1.3.  </w:t>
      </w:r>
      <w:r w:rsidR="001541B4" w:rsidRPr="00DE1B17">
        <w:rPr>
          <w:u w:val="single"/>
        </w:rPr>
        <w:t>Computer Formats</w:t>
      </w:r>
      <w:r w:rsidR="001541B4">
        <w:t xml:space="preserve">.  These procedures </w:t>
      </w:r>
      <w:r w:rsidR="00E33936">
        <w:t xml:space="preserve">provide computer processable formats in lieu of hard copy documents and </w:t>
      </w:r>
      <w:r w:rsidR="001541B4">
        <w:t xml:space="preserve">complement those in </w:t>
      </w:r>
      <w:r w:rsidR="00006986">
        <w:t>Federal Acquisition Regulation (</w:t>
      </w:r>
      <w:hyperlink r:id="rId12" w:history="1">
        <w:r w:rsidR="001541B4" w:rsidRPr="009F7D60">
          <w:rPr>
            <w:rStyle w:val="Hyperlink"/>
          </w:rPr>
          <w:t>FAR</w:t>
        </w:r>
      </w:hyperlink>
      <w:r w:rsidR="00006986">
        <w:rPr>
          <w:rStyle w:val="Hyperlink"/>
        </w:rPr>
        <w:t>)</w:t>
      </w:r>
      <w:r w:rsidR="00BA44B4">
        <w:t xml:space="preserve">, </w:t>
      </w:r>
      <w:r w:rsidR="001541B4">
        <w:t xml:space="preserve">4.804-1 and </w:t>
      </w:r>
      <w:r w:rsidR="00006986">
        <w:t>the Defense Federal Acq</w:t>
      </w:r>
      <w:r w:rsidR="00A87C17">
        <w:t>u</w:t>
      </w:r>
      <w:r w:rsidR="00006986">
        <w:t>isi</w:t>
      </w:r>
      <w:r w:rsidR="00A87C17">
        <w:t>t</w:t>
      </w:r>
      <w:r w:rsidR="00006986">
        <w:t>ion Regulation Supplement (</w:t>
      </w:r>
      <w:hyperlink r:id="rId13" w:history="1">
        <w:r w:rsidR="001541B4" w:rsidRPr="009F7D60">
          <w:rPr>
            <w:rStyle w:val="Hyperlink"/>
          </w:rPr>
          <w:t>DFARS</w:t>
        </w:r>
      </w:hyperlink>
      <w:r w:rsidR="00006986">
        <w:rPr>
          <w:rStyle w:val="Hyperlink"/>
        </w:rPr>
        <w:t>)</w:t>
      </w:r>
      <w:r w:rsidR="001541B4">
        <w:t xml:space="preserve"> </w:t>
      </w:r>
      <w:r w:rsidR="008E28F7">
        <w:t xml:space="preserve">Procedures, Guidance and Information (PGI) </w:t>
      </w:r>
      <w:r w:rsidR="001541B4">
        <w:t>204.804</w:t>
      </w:r>
      <w:r w:rsidR="00767E35">
        <w:t>.</w:t>
      </w:r>
      <w:r w:rsidR="00E33936">
        <w:t xml:space="preserve"> </w:t>
      </w:r>
    </w:p>
    <w:p w14:paraId="69B378EF" w14:textId="09F52EF8" w:rsidR="001541B4" w:rsidRPr="001929B2" w:rsidRDefault="00DE1B17" w:rsidP="00DE1B17">
      <w:pPr>
        <w:tabs>
          <w:tab w:val="left" w:pos="540"/>
          <w:tab w:val="left" w:pos="1080"/>
          <w:tab w:val="left" w:pos="1620"/>
          <w:tab w:val="left" w:pos="2160"/>
        </w:tabs>
        <w:spacing w:after="240"/>
      </w:pPr>
      <w:r w:rsidRPr="001929B2">
        <w:tab/>
      </w:r>
      <w:r w:rsidR="002A1B79" w:rsidRPr="001929B2">
        <w:t>C</w:t>
      </w:r>
      <w:r w:rsidR="00707742" w:rsidRPr="001929B2">
        <w:t>4</w:t>
      </w:r>
      <w:r w:rsidR="002A1B79" w:rsidRPr="001929B2">
        <w:t xml:space="preserve">.1.4.  </w:t>
      </w:r>
      <w:r w:rsidR="001541B4" w:rsidRPr="001929B2">
        <w:rPr>
          <w:u w:val="single"/>
        </w:rPr>
        <w:t>Contract Completion Statements</w:t>
      </w:r>
      <w:r w:rsidR="001541B4" w:rsidRPr="001929B2">
        <w:t xml:space="preserve">.  </w:t>
      </w:r>
      <w:r w:rsidR="00F05CE2" w:rsidRPr="001929B2">
        <w:t>Each</w:t>
      </w:r>
      <w:r w:rsidR="001541B4" w:rsidRPr="001929B2">
        <w:t xml:space="preserve"> CAO</w:t>
      </w:r>
      <w:r w:rsidR="00BA44B4" w:rsidRPr="001929B2">
        <w:t>-</w:t>
      </w:r>
      <w:r w:rsidR="001541B4" w:rsidRPr="001929B2">
        <w:t xml:space="preserve">issued </w:t>
      </w:r>
      <w:r w:rsidR="00DC3FB3" w:rsidRPr="001929B2">
        <w:t xml:space="preserve">DLMS </w:t>
      </w:r>
      <w:r w:rsidR="001541B4" w:rsidRPr="001929B2">
        <w:t xml:space="preserve">567C </w:t>
      </w:r>
      <w:r w:rsidR="00A35D7C" w:rsidRPr="001929B2">
        <w:t xml:space="preserve">may </w:t>
      </w:r>
      <w:r w:rsidR="001541B4" w:rsidRPr="001929B2">
        <w:t xml:space="preserve">include </w:t>
      </w:r>
      <w:r w:rsidR="00A35D7C" w:rsidRPr="001929B2">
        <w:t xml:space="preserve">only </w:t>
      </w:r>
      <w:r w:rsidR="001541B4" w:rsidRPr="001929B2">
        <w:t>one contract completion statement</w:t>
      </w:r>
      <w:r w:rsidR="00A87C17" w:rsidRPr="001929B2">
        <w:t xml:space="preserve">, </w:t>
      </w:r>
      <w:r w:rsidR="001670EB" w:rsidRPr="001929B2">
        <w:t>automated contract closeout, update to an initial automated contract closeout, cancellation of a closeout action, or final closeout of a cancelled contract in EDA</w:t>
      </w:r>
      <w:r w:rsidR="001541B4" w:rsidRPr="001929B2">
        <w:t>.  The PO</w:t>
      </w:r>
      <w:r w:rsidR="00BA44B4" w:rsidRPr="001929B2">
        <w:t>-</w:t>
      </w:r>
      <w:r w:rsidR="001541B4" w:rsidRPr="001929B2">
        <w:t xml:space="preserve">issued </w:t>
      </w:r>
      <w:r w:rsidR="00DC3FB3" w:rsidRPr="001929B2">
        <w:t>DLMS</w:t>
      </w:r>
      <w:r w:rsidR="005920DC" w:rsidRPr="001929B2">
        <w:t xml:space="preserve"> </w:t>
      </w:r>
      <w:r w:rsidR="001541B4" w:rsidRPr="001929B2">
        <w:t xml:space="preserve">567C </w:t>
      </w:r>
      <w:r w:rsidR="00A35D7C" w:rsidRPr="001929B2">
        <w:t>may</w:t>
      </w:r>
      <w:r w:rsidR="001541B4" w:rsidRPr="001929B2">
        <w:t xml:space="preserve"> include </w:t>
      </w:r>
      <w:r w:rsidR="00A35D7C" w:rsidRPr="001929B2">
        <w:t xml:space="preserve">only </w:t>
      </w:r>
      <w:r w:rsidR="001541B4" w:rsidRPr="001929B2">
        <w:t>one contract closeout extension</w:t>
      </w:r>
      <w:r w:rsidR="00BA44B4" w:rsidRPr="001929B2">
        <w:t>.</w:t>
      </w:r>
      <w:r w:rsidR="00CB47C7" w:rsidRPr="001929B2">
        <w:t xml:space="preserve">  Multiple </w:t>
      </w:r>
      <w:r w:rsidR="00E33936" w:rsidRPr="001929B2">
        <w:t>c</w:t>
      </w:r>
      <w:r w:rsidR="00CB47C7" w:rsidRPr="001929B2">
        <w:t xml:space="preserve">ontract </w:t>
      </w:r>
      <w:r w:rsidR="00E33936" w:rsidRPr="001929B2">
        <w:t>c</w:t>
      </w:r>
      <w:r w:rsidR="00CB47C7" w:rsidRPr="001929B2">
        <w:t xml:space="preserve">ompletion </w:t>
      </w:r>
      <w:r w:rsidR="00E33936" w:rsidRPr="001929B2">
        <w:t>s</w:t>
      </w:r>
      <w:r w:rsidR="00CB47C7" w:rsidRPr="001929B2">
        <w:t xml:space="preserve">tatements within a single </w:t>
      </w:r>
      <w:r w:rsidR="00DC3FB3" w:rsidRPr="001929B2">
        <w:t>DLMS</w:t>
      </w:r>
      <w:r w:rsidR="00CB47C7" w:rsidRPr="001929B2">
        <w:t xml:space="preserve"> 567</w:t>
      </w:r>
      <w:r w:rsidR="00B6488B" w:rsidRPr="001929B2">
        <w:t>C</w:t>
      </w:r>
      <w:r w:rsidR="00CB47C7" w:rsidRPr="001929B2">
        <w:t xml:space="preserve"> transmission are not permitted at this time.</w:t>
      </w:r>
    </w:p>
    <w:p w14:paraId="69B378F0" w14:textId="77777777" w:rsidR="001541B4" w:rsidRDefault="002A1B79" w:rsidP="00950D7D">
      <w:pPr>
        <w:keepNext/>
        <w:keepLines/>
        <w:tabs>
          <w:tab w:val="left" w:pos="540"/>
          <w:tab w:val="left" w:pos="1080"/>
          <w:tab w:val="left" w:pos="1620"/>
          <w:tab w:val="left" w:pos="2160"/>
        </w:tabs>
        <w:spacing w:after="240"/>
      </w:pPr>
      <w:r>
        <w:lastRenderedPageBreak/>
        <w:t>C</w:t>
      </w:r>
      <w:r w:rsidR="00707742">
        <w:t>4</w:t>
      </w:r>
      <w:r>
        <w:t xml:space="preserve">.2.  </w:t>
      </w:r>
      <w:r w:rsidR="001541B4" w:rsidRPr="00DE1B17">
        <w:rPr>
          <w:u w:val="single"/>
        </w:rPr>
        <w:t>BASIS FOR CONTRACT CLOSING</w:t>
      </w:r>
    </w:p>
    <w:p w14:paraId="69B378F1" w14:textId="77777777" w:rsidR="001541B4" w:rsidRDefault="00DE1B17" w:rsidP="00950D7D">
      <w:pPr>
        <w:keepNext/>
        <w:keepLines/>
        <w:tabs>
          <w:tab w:val="left" w:pos="540"/>
          <w:tab w:val="left" w:pos="1080"/>
          <w:tab w:val="left" w:pos="1620"/>
          <w:tab w:val="left" w:pos="2160"/>
        </w:tabs>
        <w:spacing w:after="240"/>
      </w:pPr>
      <w:r>
        <w:tab/>
      </w:r>
      <w:r w:rsidR="002A1B79">
        <w:t>C</w:t>
      </w:r>
      <w:r w:rsidR="00707742">
        <w:t>4</w:t>
      </w:r>
      <w:r w:rsidR="002A1B79">
        <w:t xml:space="preserve">.2.1.  </w:t>
      </w:r>
      <w:r w:rsidR="00481721" w:rsidRPr="00DE1B17">
        <w:rPr>
          <w:u w:val="single"/>
        </w:rPr>
        <w:t>Contract Face Value</w:t>
      </w:r>
      <w:r w:rsidR="00481721">
        <w:t xml:space="preserve">.  </w:t>
      </w:r>
      <w:r w:rsidR="001541B4">
        <w:t>The basis for closing contract files depends upon the face value of the contract and the extent of administration accorded to it.</w:t>
      </w:r>
    </w:p>
    <w:p w14:paraId="69B378F2" w14:textId="77777777" w:rsidR="001541B4" w:rsidRDefault="00DE1B17" w:rsidP="00DE1B17">
      <w:pPr>
        <w:tabs>
          <w:tab w:val="left" w:pos="540"/>
          <w:tab w:val="left" w:pos="1080"/>
          <w:tab w:val="left" w:pos="1620"/>
          <w:tab w:val="left" w:pos="2160"/>
        </w:tabs>
        <w:spacing w:after="240"/>
      </w:pPr>
      <w:r>
        <w:tab/>
      </w:r>
      <w:r w:rsidR="002A1B79">
        <w:t>C</w:t>
      </w:r>
      <w:r w:rsidR="00707742">
        <w:t>4</w:t>
      </w:r>
      <w:r w:rsidR="002A1B79">
        <w:t xml:space="preserve">.2.2.  </w:t>
      </w:r>
      <w:r w:rsidR="00481721" w:rsidRPr="00DE1B17">
        <w:rPr>
          <w:u w:val="single"/>
        </w:rPr>
        <w:t>Closeout Code</w:t>
      </w:r>
      <w:r w:rsidR="00481721">
        <w:t xml:space="preserve">.  </w:t>
      </w:r>
      <w:r w:rsidR="001541B4">
        <w:t xml:space="preserve">The CAO uses the conditions set forth in the </w:t>
      </w:r>
      <w:r w:rsidR="00B6488B">
        <w:t>c</w:t>
      </w:r>
      <w:r w:rsidR="001541B4">
        <w:t xml:space="preserve">ontract </w:t>
      </w:r>
      <w:r w:rsidR="00B6488B">
        <w:t>c</w:t>
      </w:r>
      <w:r w:rsidR="001541B4">
        <w:t xml:space="preserve">loseout </w:t>
      </w:r>
      <w:r w:rsidR="00B6488B">
        <w:t>g</w:t>
      </w:r>
      <w:r w:rsidR="001541B4">
        <w:t>roup codes to group the contracts for follow-on closing actions.</w:t>
      </w:r>
    </w:p>
    <w:p w14:paraId="69B378F3" w14:textId="3181124E" w:rsidR="001541B4" w:rsidRDefault="002A1B79" w:rsidP="00DE1B17">
      <w:pPr>
        <w:tabs>
          <w:tab w:val="left" w:pos="540"/>
          <w:tab w:val="left" w:pos="1080"/>
          <w:tab w:val="left" w:pos="1620"/>
          <w:tab w:val="left" w:pos="2160"/>
        </w:tabs>
        <w:spacing w:after="240"/>
      </w:pPr>
      <w:r>
        <w:t>C</w:t>
      </w:r>
      <w:r w:rsidR="00707742">
        <w:t>4</w:t>
      </w:r>
      <w:r>
        <w:t xml:space="preserve">.3.  </w:t>
      </w:r>
      <w:r w:rsidR="001541B4" w:rsidRPr="00DE1B17">
        <w:rPr>
          <w:u w:val="single"/>
        </w:rPr>
        <w:t>STANDARD TIMES FOR CONTRACT CLOSING</w:t>
      </w:r>
      <w:r w:rsidR="001541B4">
        <w:t xml:space="preserve">.  FAR 4.804-1 prescribes the time standards for closing contracts.  These standards are based on the date that the contract is physically completed and on the </w:t>
      </w:r>
      <w:r w:rsidR="00E97793">
        <w:t>contract type</w:t>
      </w:r>
      <w:r w:rsidR="001541B4">
        <w:t>.  When the CAO closes the contract within the time standards</w:t>
      </w:r>
      <w:r w:rsidR="00A87C17">
        <w:t>,</w:t>
      </w:r>
      <w:r w:rsidR="001541B4">
        <w:t xml:space="preserve"> it reports the closure under the procedures in </w:t>
      </w:r>
      <w:r w:rsidR="00B6488B">
        <w:t xml:space="preserve">section </w:t>
      </w:r>
      <w:r w:rsidR="009A66EE">
        <w:t>C</w:t>
      </w:r>
      <w:r w:rsidR="00707742">
        <w:t>4</w:t>
      </w:r>
      <w:r w:rsidR="009A66EE">
        <w:t>.4</w:t>
      </w:r>
      <w:r w:rsidR="001541B4">
        <w:t>.  When the CAO does not close the contract within the time standards</w:t>
      </w:r>
      <w:r w:rsidR="00A87C17">
        <w:t>,</w:t>
      </w:r>
      <w:r w:rsidR="001541B4">
        <w:t xml:space="preserve"> it reports the status under the procedures in </w:t>
      </w:r>
      <w:r w:rsidR="00B6488B">
        <w:t xml:space="preserve">section </w:t>
      </w:r>
      <w:r w:rsidR="009A66EE">
        <w:t>C</w:t>
      </w:r>
      <w:r w:rsidR="00707742">
        <w:t>4</w:t>
      </w:r>
      <w:r w:rsidR="009A66EE">
        <w:t>.5</w:t>
      </w:r>
      <w:r w:rsidR="001541B4">
        <w:t xml:space="preserve">, until it closes the contract and finally reports it under </w:t>
      </w:r>
      <w:r w:rsidR="00B6488B">
        <w:t xml:space="preserve">section </w:t>
      </w:r>
      <w:r w:rsidR="009A66EE">
        <w:t>C</w:t>
      </w:r>
      <w:r w:rsidR="00707742">
        <w:t>4</w:t>
      </w:r>
      <w:r w:rsidR="009A66EE">
        <w:t>.4</w:t>
      </w:r>
      <w:r w:rsidR="001541B4">
        <w:t>.</w:t>
      </w:r>
    </w:p>
    <w:p w14:paraId="69B378F4" w14:textId="4082652B" w:rsidR="001541B4" w:rsidRDefault="002A1B79" w:rsidP="00DE1B17">
      <w:pPr>
        <w:tabs>
          <w:tab w:val="left" w:pos="540"/>
          <w:tab w:val="left" w:pos="1080"/>
          <w:tab w:val="left" w:pos="1620"/>
          <w:tab w:val="left" w:pos="2160"/>
        </w:tabs>
        <w:spacing w:after="240"/>
      </w:pPr>
      <w:r>
        <w:t>C</w:t>
      </w:r>
      <w:r w:rsidR="00707742">
        <w:t>4</w:t>
      </w:r>
      <w:r>
        <w:t xml:space="preserve">.4.  </w:t>
      </w:r>
      <w:r w:rsidR="001541B4" w:rsidRPr="00DE1B17">
        <w:rPr>
          <w:u w:val="single"/>
        </w:rPr>
        <w:t>CONTRACT PAYMENT</w:t>
      </w:r>
      <w:r w:rsidR="001541B4">
        <w:t xml:space="preserve">.  When an office other than the office with primary contract administration responsibility performs the payment function on a contract, the disbursing office </w:t>
      </w:r>
      <w:r w:rsidR="00950D7D">
        <w:t>will</w:t>
      </w:r>
      <w:r w:rsidR="001541B4">
        <w:t xml:space="preserve"> notify the primary CAO when final payment has been made and the disbursing office file closed.  The CAO </w:t>
      </w:r>
      <w:r w:rsidR="00950D7D">
        <w:t>will</w:t>
      </w:r>
      <w:r w:rsidR="001541B4">
        <w:t xml:space="preserve"> forward the status within </w:t>
      </w:r>
      <w:r w:rsidR="00A87C17">
        <w:t xml:space="preserve">five </w:t>
      </w:r>
      <w:r w:rsidR="001541B4">
        <w:t>workdays after expiration of the standard closing period.</w:t>
      </w:r>
    </w:p>
    <w:p w14:paraId="69B378F5" w14:textId="77777777" w:rsidR="001541B4" w:rsidRDefault="006A27F6" w:rsidP="00DE1B17">
      <w:pPr>
        <w:tabs>
          <w:tab w:val="left" w:pos="540"/>
          <w:tab w:val="left" w:pos="1080"/>
          <w:tab w:val="left" w:pos="1620"/>
          <w:tab w:val="left" w:pos="2160"/>
        </w:tabs>
        <w:spacing w:after="240"/>
      </w:pPr>
      <w:r>
        <w:t>C</w:t>
      </w:r>
      <w:r w:rsidR="00707742">
        <w:t>4</w:t>
      </w:r>
      <w:r>
        <w:t xml:space="preserve">.5.  </w:t>
      </w:r>
      <w:r w:rsidR="001541B4" w:rsidRPr="00DE1B17">
        <w:rPr>
          <w:u w:val="single"/>
        </w:rPr>
        <w:t>CONTRACT COMPLETION STATEMENT</w:t>
      </w:r>
    </w:p>
    <w:p w14:paraId="69B378F6" w14:textId="61B0B90D" w:rsidR="001541B4" w:rsidRPr="001929B2" w:rsidRDefault="00DE1B17" w:rsidP="00DE1B17">
      <w:pPr>
        <w:tabs>
          <w:tab w:val="left" w:pos="540"/>
          <w:tab w:val="left" w:pos="1080"/>
          <w:tab w:val="left" w:pos="1620"/>
          <w:tab w:val="left" w:pos="2160"/>
        </w:tabs>
        <w:spacing w:after="240"/>
      </w:pPr>
      <w:r>
        <w:tab/>
      </w:r>
      <w:r w:rsidR="006A27F6">
        <w:t>C</w:t>
      </w:r>
      <w:r w:rsidR="00707742">
        <w:t>4</w:t>
      </w:r>
      <w:r w:rsidR="006A27F6">
        <w:t xml:space="preserve">.5.1.  </w:t>
      </w:r>
      <w:r w:rsidR="001541B4" w:rsidRPr="00DE1B17">
        <w:rPr>
          <w:u w:val="single"/>
        </w:rPr>
        <w:t>Purpose</w:t>
      </w:r>
      <w:r w:rsidR="001541B4">
        <w:t>.  The contract co</w:t>
      </w:r>
      <w:r w:rsidR="00BA44B4">
        <w:t>mpletion statement is the DFARS-</w:t>
      </w:r>
      <w:r w:rsidR="001541B4">
        <w:t xml:space="preserve">authorized electronic version of the </w:t>
      </w:r>
      <w:hyperlink r:id="rId14" w:tgtFrame="_blank" w:history="1">
        <w:r w:rsidR="001541B4" w:rsidRPr="00484BDE">
          <w:rPr>
            <w:rStyle w:val="Hyperlink"/>
          </w:rPr>
          <w:t>DD Form 1594</w:t>
        </w:r>
      </w:hyperlink>
      <w:r w:rsidR="001541B4">
        <w:t xml:space="preserve">, Contract Completion Statement.  It is the means </w:t>
      </w:r>
      <w:r w:rsidR="001541B4" w:rsidRPr="00834BC9">
        <w:t>by which the CAO inf</w:t>
      </w:r>
      <w:r w:rsidR="00BA44B4" w:rsidRPr="00834BC9">
        <w:t xml:space="preserve">orms the PO (or designated </w:t>
      </w:r>
      <w:r w:rsidR="0005175C">
        <w:t xml:space="preserve">Automatic Data Processing </w:t>
      </w:r>
      <w:r w:rsidR="00A87C17">
        <w:t>(</w:t>
      </w:r>
      <w:r w:rsidR="00BA44B4" w:rsidRPr="00834BC9">
        <w:t>ADP</w:t>
      </w:r>
      <w:r w:rsidR="00A87C17">
        <w:t>)</w:t>
      </w:r>
      <w:r w:rsidR="001541B4" w:rsidRPr="00834BC9">
        <w:t xml:space="preserve"> </w:t>
      </w:r>
      <w:r w:rsidR="00A35D7C" w:rsidRPr="00834BC9">
        <w:t>point</w:t>
      </w:r>
      <w:r w:rsidR="00B6488B" w:rsidRPr="00834BC9">
        <w:t>)</w:t>
      </w:r>
      <w:r w:rsidR="00A35D7C" w:rsidRPr="00834BC9">
        <w:t xml:space="preserve"> </w:t>
      </w:r>
      <w:r w:rsidR="001541B4" w:rsidRPr="00834BC9">
        <w:t>of the major events of</w:t>
      </w:r>
      <w:r w:rsidR="001541B4">
        <w:t xml:space="preserve"> physical completion, final payment, and/or </w:t>
      </w:r>
      <w:r w:rsidR="00A87C17">
        <w:t xml:space="preserve">closure of </w:t>
      </w:r>
      <w:r w:rsidR="001541B4">
        <w:t xml:space="preserve">the CAO contract file.  For all contracts, a final contract completion statement is the </w:t>
      </w:r>
      <w:r w:rsidR="001541B4" w:rsidRPr="001929B2">
        <w:t>basis for the PO to closeout its contract file.</w:t>
      </w:r>
      <w:r w:rsidR="001670EB" w:rsidRPr="001929B2">
        <w:t xml:space="preserve">  For contracts with a total value of under $500,000, the closeout process is automated per FAR 4.804-5(a) and DFARS 204.804-3, see section C4.11. Automated Contract Closeout for additional information.</w:t>
      </w:r>
    </w:p>
    <w:p w14:paraId="69B378F8" w14:textId="177586F6" w:rsidR="001541B4" w:rsidRPr="008F54A2" w:rsidRDefault="00B6768E" w:rsidP="00DE1B17">
      <w:pPr>
        <w:tabs>
          <w:tab w:val="left" w:pos="540"/>
          <w:tab w:val="left" w:pos="1080"/>
          <w:tab w:val="left" w:pos="1620"/>
          <w:tab w:val="left" w:pos="2160"/>
        </w:tabs>
        <w:spacing w:after="240"/>
      </w:pPr>
      <w:r w:rsidRPr="008F54A2">
        <w:tab/>
      </w:r>
      <w:r w:rsidR="006A27F6" w:rsidRPr="008F54A2">
        <w:t>C</w:t>
      </w:r>
      <w:r w:rsidR="00707742">
        <w:t>4</w:t>
      </w:r>
      <w:r w:rsidR="006A27F6" w:rsidRPr="008F54A2">
        <w:t>.5.</w:t>
      </w:r>
      <w:r w:rsidR="004B3530">
        <w:t>2</w:t>
      </w:r>
      <w:r w:rsidR="006A27F6" w:rsidRPr="008F54A2">
        <w:t xml:space="preserve">.  </w:t>
      </w:r>
      <w:r w:rsidR="001541B4" w:rsidRPr="00A35D7C">
        <w:rPr>
          <w:u w:val="single"/>
        </w:rPr>
        <w:t>Contract Completion Definition</w:t>
      </w:r>
      <w:r w:rsidR="001541B4" w:rsidRPr="008F54A2">
        <w:t>.  A contract is physically completed when,</w:t>
      </w:r>
    </w:p>
    <w:p w14:paraId="69B378F9" w14:textId="572F2F21" w:rsidR="001541B4" w:rsidRPr="008F54A2" w:rsidRDefault="00B6768E" w:rsidP="00DE1B17">
      <w:pPr>
        <w:tabs>
          <w:tab w:val="left" w:pos="540"/>
          <w:tab w:val="left" w:pos="1080"/>
          <w:tab w:val="left" w:pos="1620"/>
          <w:tab w:val="left" w:pos="2160"/>
        </w:tabs>
        <w:spacing w:after="240"/>
      </w:pPr>
      <w:r w:rsidRPr="008F54A2">
        <w:tab/>
      </w:r>
      <w:r w:rsidRPr="008F54A2">
        <w:tab/>
      </w:r>
      <w:r w:rsidR="006A27F6" w:rsidRPr="008F54A2">
        <w:t>C</w:t>
      </w:r>
      <w:r w:rsidR="00707742">
        <w:t>4</w:t>
      </w:r>
      <w:r w:rsidR="006A27F6" w:rsidRPr="008F54A2">
        <w:t>.5.</w:t>
      </w:r>
      <w:r w:rsidR="004B3530">
        <w:t>2</w:t>
      </w:r>
      <w:r w:rsidR="006A27F6" w:rsidRPr="008F54A2">
        <w:t xml:space="preserve">.1.  </w:t>
      </w:r>
      <w:r w:rsidR="001541B4" w:rsidRPr="008F54A2">
        <w:t>For supplies and services contracts:</w:t>
      </w:r>
    </w:p>
    <w:p w14:paraId="69B378FA" w14:textId="0C7582B4" w:rsidR="001541B4" w:rsidRPr="008F54A2" w:rsidRDefault="00B6768E" w:rsidP="00DE1B17">
      <w:pPr>
        <w:tabs>
          <w:tab w:val="left" w:pos="540"/>
          <w:tab w:val="left" w:pos="1080"/>
          <w:tab w:val="left" w:pos="1620"/>
          <w:tab w:val="left" w:pos="2160"/>
        </w:tabs>
        <w:spacing w:after="240"/>
      </w:pPr>
      <w:r w:rsidRPr="008F54A2">
        <w:tab/>
      </w:r>
      <w:r w:rsidRPr="008F54A2">
        <w:tab/>
      </w:r>
      <w:r w:rsidRPr="008F54A2">
        <w:tab/>
      </w:r>
      <w:r w:rsidR="006A27F6" w:rsidRPr="008F54A2">
        <w:t>C</w:t>
      </w:r>
      <w:r w:rsidR="00707742">
        <w:t>4</w:t>
      </w:r>
      <w:r w:rsidR="006A27F6" w:rsidRPr="008F54A2">
        <w:t>.5.</w:t>
      </w:r>
      <w:r w:rsidR="004B3530">
        <w:t>2</w:t>
      </w:r>
      <w:r w:rsidR="006A27F6" w:rsidRPr="008F54A2">
        <w:t xml:space="preserve">.1.1.  </w:t>
      </w:r>
      <w:r w:rsidR="001541B4" w:rsidRPr="008F54A2">
        <w:t>The contractor has completed the required deliveries of supplies and the Government has inspected and accepted such supplies, and</w:t>
      </w:r>
    </w:p>
    <w:p w14:paraId="69B378FB" w14:textId="636B03AC" w:rsidR="001541B4" w:rsidRPr="008F54A2" w:rsidRDefault="00B6768E" w:rsidP="00DE1B17">
      <w:pPr>
        <w:tabs>
          <w:tab w:val="left" w:pos="540"/>
          <w:tab w:val="left" w:pos="1080"/>
          <w:tab w:val="left" w:pos="1620"/>
          <w:tab w:val="left" w:pos="2160"/>
        </w:tabs>
        <w:spacing w:after="240"/>
      </w:pPr>
      <w:r w:rsidRPr="008F54A2">
        <w:tab/>
      </w:r>
      <w:r w:rsidRPr="008F54A2">
        <w:tab/>
      </w:r>
      <w:r w:rsidRPr="008F54A2">
        <w:tab/>
      </w:r>
      <w:r w:rsidR="006A27F6" w:rsidRPr="008F54A2">
        <w:t>C</w:t>
      </w:r>
      <w:r w:rsidR="00707742">
        <w:t>4</w:t>
      </w:r>
      <w:r w:rsidR="006A27F6" w:rsidRPr="008F54A2">
        <w:t>.5.</w:t>
      </w:r>
      <w:r w:rsidR="004B3530">
        <w:t>2</w:t>
      </w:r>
      <w:r w:rsidR="006A27F6" w:rsidRPr="008F54A2">
        <w:t xml:space="preserve">.1.2.  </w:t>
      </w:r>
      <w:r w:rsidR="001541B4" w:rsidRPr="008F54A2">
        <w:t xml:space="preserve">The contractor has performed all services and the Government has accepted such services, </w:t>
      </w:r>
      <w:r w:rsidR="00103F61">
        <w:t>and all option provisions, if any, have expired</w:t>
      </w:r>
      <w:r w:rsidR="002F086A">
        <w:t>, and</w:t>
      </w:r>
      <w:r w:rsidR="00103F61">
        <w:t xml:space="preserve"> </w:t>
      </w:r>
    </w:p>
    <w:p w14:paraId="69B378FC" w14:textId="03B5BEF4" w:rsidR="001541B4" w:rsidRPr="008F54A2" w:rsidRDefault="00B6768E" w:rsidP="00DE1B17">
      <w:pPr>
        <w:tabs>
          <w:tab w:val="left" w:pos="540"/>
          <w:tab w:val="left" w:pos="1080"/>
          <w:tab w:val="left" w:pos="1620"/>
          <w:tab w:val="left" w:pos="2160"/>
        </w:tabs>
        <w:spacing w:after="240"/>
      </w:pPr>
      <w:r w:rsidRPr="008F54A2">
        <w:tab/>
      </w:r>
      <w:r w:rsidRPr="008F54A2">
        <w:tab/>
      </w:r>
      <w:r w:rsidRPr="008F54A2">
        <w:tab/>
      </w:r>
      <w:r w:rsidR="006A27F6" w:rsidRPr="008F54A2">
        <w:t>C</w:t>
      </w:r>
      <w:r w:rsidR="00707742">
        <w:t>4</w:t>
      </w:r>
      <w:r w:rsidR="006A27F6" w:rsidRPr="008F54A2">
        <w:t>.5.</w:t>
      </w:r>
      <w:r w:rsidR="004B3530">
        <w:t>2</w:t>
      </w:r>
      <w:r w:rsidR="006A27F6" w:rsidRPr="008F54A2">
        <w:t xml:space="preserve">.1.3.  </w:t>
      </w:r>
      <w:r w:rsidR="001541B4" w:rsidRPr="008F54A2">
        <w:t>A notice of complete contract termination has been given to the contractor by the Government;</w:t>
      </w:r>
    </w:p>
    <w:p w14:paraId="69B378FD" w14:textId="6F591EA0" w:rsidR="001541B4" w:rsidRPr="008F54A2" w:rsidRDefault="00B6768E" w:rsidP="00DE1B17">
      <w:pPr>
        <w:tabs>
          <w:tab w:val="left" w:pos="540"/>
          <w:tab w:val="left" w:pos="1080"/>
          <w:tab w:val="left" w:pos="1620"/>
          <w:tab w:val="left" w:pos="2160"/>
        </w:tabs>
        <w:spacing w:after="240"/>
      </w:pPr>
      <w:r w:rsidRPr="008F54A2">
        <w:lastRenderedPageBreak/>
        <w:tab/>
      </w:r>
      <w:r w:rsidRPr="008F54A2">
        <w:tab/>
      </w:r>
      <w:r w:rsidR="006A27F6" w:rsidRPr="008F54A2">
        <w:t>C</w:t>
      </w:r>
      <w:r w:rsidR="00707742">
        <w:t>4</w:t>
      </w:r>
      <w:r w:rsidR="006A27F6" w:rsidRPr="008F54A2">
        <w:t>.5.</w:t>
      </w:r>
      <w:r w:rsidR="004B3530">
        <w:t>2</w:t>
      </w:r>
      <w:r w:rsidR="006A27F6" w:rsidRPr="008F54A2">
        <w:t xml:space="preserve">.2.  </w:t>
      </w:r>
      <w:r w:rsidR="001541B4" w:rsidRPr="008F54A2">
        <w:t>For facilities contracts and rental, use, and storage agreements, a notice of complete termination has been issued or the contract period has expired.</w:t>
      </w:r>
    </w:p>
    <w:p w14:paraId="69B378FE" w14:textId="03CB9539" w:rsidR="001541B4" w:rsidRDefault="00B6768E" w:rsidP="00DE1B17">
      <w:pPr>
        <w:tabs>
          <w:tab w:val="left" w:pos="540"/>
          <w:tab w:val="left" w:pos="1080"/>
          <w:tab w:val="left" w:pos="1620"/>
          <w:tab w:val="left" w:pos="2160"/>
        </w:tabs>
        <w:spacing w:after="240"/>
      </w:pPr>
      <w:r>
        <w:tab/>
      </w:r>
      <w:r w:rsidR="006A27F6">
        <w:t>C</w:t>
      </w:r>
      <w:r w:rsidR="00707742">
        <w:t>4</w:t>
      </w:r>
      <w:r w:rsidR="006A27F6">
        <w:t>.5.</w:t>
      </w:r>
      <w:r w:rsidR="004B3530">
        <w:t>3</w:t>
      </w:r>
      <w:r w:rsidR="006A27F6">
        <w:t xml:space="preserve">.  </w:t>
      </w:r>
      <w:r w:rsidR="001541B4" w:rsidRPr="00B6768E">
        <w:rPr>
          <w:u w:val="single"/>
        </w:rPr>
        <w:t xml:space="preserve">Physical Completion </w:t>
      </w:r>
      <w:r w:rsidR="00BA44B4" w:rsidRPr="00B6768E">
        <w:rPr>
          <w:u w:val="single"/>
        </w:rPr>
        <w:t>o</w:t>
      </w:r>
      <w:r w:rsidR="001541B4" w:rsidRPr="00B6768E">
        <w:rPr>
          <w:u w:val="single"/>
        </w:rPr>
        <w:t>f Large</w:t>
      </w:r>
      <w:r w:rsidR="00BA44B4" w:rsidRPr="00B6768E">
        <w:rPr>
          <w:u w:val="single"/>
        </w:rPr>
        <w:t>-</w:t>
      </w:r>
      <w:r w:rsidR="001541B4" w:rsidRPr="00B6768E">
        <w:rPr>
          <w:u w:val="single"/>
        </w:rPr>
        <w:t>Purchase Contract</w:t>
      </w:r>
      <w:r w:rsidR="001541B4">
        <w:t>.  When a large</w:t>
      </w:r>
      <w:r w:rsidR="00BA44B4">
        <w:t>-</w:t>
      </w:r>
      <w:r w:rsidR="001541B4">
        <w:t>purchase contract</w:t>
      </w:r>
      <w:r w:rsidR="002F6F22">
        <w:t xml:space="preserve"> such as </w:t>
      </w:r>
      <w:r w:rsidR="001541B4">
        <w:t xml:space="preserve">Contract Closeout Group </w:t>
      </w:r>
      <w:r w:rsidR="00A87C17">
        <w:t>C</w:t>
      </w:r>
      <w:r w:rsidR="001541B4">
        <w:t xml:space="preserve">ode B, C, or D, is physically completed (i.e., delivered complete and the </w:t>
      </w:r>
      <w:r w:rsidR="00762CF6">
        <w:t>materiel</w:t>
      </w:r>
      <w:r w:rsidR="001541B4">
        <w:t xml:space="preserve"> or service accepted), the CAO with the primary contract administration responsibility </w:t>
      </w:r>
      <w:r w:rsidR="00950D7D">
        <w:t>will</w:t>
      </w:r>
      <w:r w:rsidR="001541B4">
        <w:t xml:space="preserve"> forward an interim contract completion statement to the PO to report physical completion.</w:t>
      </w:r>
    </w:p>
    <w:p w14:paraId="69B378FF" w14:textId="0ACA2BE8" w:rsidR="001541B4" w:rsidRDefault="00B6768E" w:rsidP="00DE1B17">
      <w:pPr>
        <w:tabs>
          <w:tab w:val="left" w:pos="540"/>
          <w:tab w:val="left" w:pos="1080"/>
          <w:tab w:val="left" w:pos="1620"/>
          <w:tab w:val="left" w:pos="2160"/>
        </w:tabs>
        <w:spacing w:after="240"/>
      </w:pPr>
      <w:r>
        <w:tab/>
      </w:r>
      <w:r w:rsidR="006A27F6">
        <w:t>C</w:t>
      </w:r>
      <w:r w:rsidR="00707742">
        <w:t>4</w:t>
      </w:r>
      <w:r w:rsidR="006A27F6">
        <w:t>.5.</w:t>
      </w:r>
      <w:r w:rsidR="004B3530">
        <w:t>4</w:t>
      </w:r>
      <w:r w:rsidR="006A27F6">
        <w:t xml:space="preserve">.  </w:t>
      </w:r>
      <w:r w:rsidR="00BA44B4" w:rsidRPr="00B6768E">
        <w:rPr>
          <w:u w:val="single"/>
        </w:rPr>
        <w:t>Final Payment f</w:t>
      </w:r>
      <w:r w:rsidR="001541B4" w:rsidRPr="00B6768E">
        <w:rPr>
          <w:u w:val="single"/>
        </w:rPr>
        <w:t>or Large</w:t>
      </w:r>
      <w:r w:rsidR="00BA44B4" w:rsidRPr="00B6768E">
        <w:rPr>
          <w:u w:val="single"/>
        </w:rPr>
        <w:t>-</w:t>
      </w:r>
      <w:r w:rsidR="001541B4" w:rsidRPr="00B6768E">
        <w:rPr>
          <w:u w:val="single"/>
        </w:rPr>
        <w:t>Purchase Contract</w:t>
      </w:r>
      <w:r w:rsidR="001541B4">
        <w:t>.  For a large</w:t>
      </w:r>
      <w:r w:rsidR="00BA44B4">
        <w:t>-</w:t>
      </w:r>
      <w:r w:rsidR="001541B4">
        <w:t>purchase con</w:t>
      </w:r>
      <w:r w:rsidR="009A66EE">
        <w:t>tract, Contract Closeout Group C</w:t>
      </w:r>
      <w:r w:rsidR="001541B4">
        <w:t xml:space="preserve">ode B, C, or D, when final payment is made and other actions completed, the CAO with primary contract administration responsibility </w:t>
      </w:r>
      <w:r w:rsidR="00950D7D">
        <w:t>will</w:t>
      </w:r>
      <w:r w:rsidR="001541B4">
        <w:t xml:space="preserve"> </w:t>
      </w:r>
      <w:r w:rsidR="00B6488B">
        <w:t>send</w:t>
      </w:r>
      <w:r w:rsidR="001541B4">
        <w:t xml:space="preserve"> a final contract completion statement to the PO based upon physical completion, final payment, and completion of all administrative actions.</w:t>
      </w:r>
    </w:p>
    <w:p w14:paraId="69B37900" w14:textId="46701D46" w:rsidR="001541B4" w:rsidRDefault="00B6768E" w:rsidP="00DE1B17">
      <w:pPr>
        <w:tabs>
          <w:tab w:val="left" w:pos="540"/>
          <w:tab w:val="left" w:pos="1080"/>
          <w:tab w:val="left" w:pos="1620"/>
          <w:tab w:val="left" w:pos="2160"/>
        </w:tabs>
        <w:spacing w:after="240"/>
      </w:pPr>
      <w:r>
        <w:tab/>
      </w:r>
      <w:r w:rsidR="006A27F6">
        <w:t>C</w:t>
      </w:r>
      <w:r w:rsidR="00707742">
        <w:t>4</w:t>
      </w:r>
      <w:r w:rsidR="006A27F6">
        <w:t>.5.</w:t>
      </w:r>
      <w:r w:rsidR="004B3530">
        <w:t>5</w:t>
      </w:r>
      <w:r w:rsidR="006A27F6">
        <w:t xml:space="preserve">.  </w:t>
      </w:r>
      <w:r w:rsidR="001541B4" w:rsidRPr="00B6768E">
        <w:rPr>
          <w:u w:val="single"/>
        </w:rPr>
        <w:t>Unliquidated Amount</w:t>
      </w:r>
      <w:r w:rsidR="001541B4">
        <w:t xml:space="preserve">.  The unliquidated amount is money that was obligated on the contract but not spent.  In all cases, the final contract completion statement must include any unliquidated amount that remains on the contract or order after final payment has been made.  The unliquidated amount is the remainder of the accumulated amounts paid, as netted by all collections, subtracted from the amount obligated on the contract by any contract modifications, and adjusted by deductions and all variance codes.  The unliquidated amount </w:t>
      </w:r>
      <w:r w:rsidR="00A4696C">
        <w:t>must</w:t>
      </w:r>
      <w:r w:rsidR="001541B4">
        <w:t xml:space="preserve"> be </w:t>
      </w:r>
      <w:r w:rsidR="00093833">
        <w:t xml:space="preserve">conveyed </w:t>
      </w:r>
      <w:r w:rsidR="001541B4">
        <w:t xml:space="preserve">in the AMT data segment of the CS loop </w:t>
      </w:r>
      <w:r w:rsidR="00093833">
        <w:t xml:space="preserve">in the </w:t>
      </w:r>
      <w:r w:rsidR="00DC3FB3">
        <w:t>DLMS</w:t>
      </w:r>
      <w:r w:rsidR="00093833">
        <w:t xml:space="preserve"> 576C </w:t>
      </w:r>
      <w:r w:rsidR="001541B4">
        <w:t xml:space="preserve">and will appear </w:t>
      </w:r>
      <w:r w:rsidR="00093833">
        <w:t xml:space="preserve">only </w:t>
      </w:r>
      <w:r w:rsidR="001541B4">
        <w:t>when an unliquidated a</w:t>
      </w:r>
      <w:r w:rsidR="00ED1EE3">
        <w:t xml:space="preserve">mount remains on the contract. </w:t>
      </w:r>
      <w:r w:rsidR="001541B4">
        <w:t xml:space="preserve"> The accountable activity must reclaim this money before the PO closes the contract.</w:t>
      </w:r>
    </w:p>
    <w:p w14:paraId="69B37901" w14:textId="30BC4ED2" w:rsidR="00EF45DB" w:rsidRPr="00834BC9" w:rsidRDefault="00EF45DB" w:rsidP="00DE1B17">
      <w:pPr>
        <w:tabs>
          <w:tab w:val="left" w:pos="540"/>
          <w:tab w:val="left" w:pos="1080"/>
          <w:tab w:val="left" w:pos="1620"/>
          <w:tab w:val="left" w:pos="2160"/>
        </w:tabs>
        <w:spacing w:after="240"/>
      </w:pPr>
      <w:r w:rsidRPr="00834BC9">
        <w:tab/>
      </w:r>
      <w:r w:rsidR="00707742" w:rsidRPr="00834BC9">
        <w:t>C</w:t>
      </w:r>
      <w:r w:rsidR="00707742">
        <w:t>4</w:t>
      </w:r>
      <w:r w:rsidRPr="00834BC9">
        <w:t>.5.</w:t>
      </w:r>
      <w:r w:rsidR="004B3530">
        <w:t>6</w:t>
      </w:r>
      <w:r w:rsidRPr="00834BC9">
        <w:t xml:space="preserve">.  </w:t>
      </w:r>
      <w:r w:rsidRPr="00834BC9">
        <w:rPr>
          <w:u w:val="single"/>
        </w:rPr>
        <w:t>Contract Over Payment</w:t>
      </w:r>
      <w:r w:rsidR="00F05CE2" w:rsidRPr="00834BC9">
        <w:rPr>
          <w:u w:val="single"/>
        </w:rPr>
        <w:t>s</w:t>
      </w:r>
      <w:r w:rsidRPr="00834BC9">
        <w:t xml:space="preserve">.  Contract over payments can occur when the contract contains the </w:t>
      </w:r>
      <w:r w:rsidR="00B6488B" w:rsidRPr="00834BC9">
        <w:t>q</w:t>
      </w:r>
      <w:r w:rsidRPr="00834BC9">
        <w:t xml:space="preserve">uantity </w:t>
      </w:r>
      <w:r w:rsidR="00B6488B" w:rsidRPr="00834BC9">
        <w:t>v</w:t>
      </w:r>
      <w:r w:rsidRPr="00834BC9">
        <w:t>ariation clause</w:t>
      </w:r>
      <w:r w:rsidR="003B7C20">
        <w:t>, FAR 52.211-16</w:t>
      </w:r>
      <w:r w:rsidR="00D16711">
        <w:t xml:space="preserve"> Variation in Quantity,</w:t>
      </w:r>
      <w:r w:rsidRPr="00834BC9">
        <w:t xml:space="preserve"> and contractors deliver a quantity within the overage quantity permitted.  In this instance, the contract funding is deficient and additional funds must be obligated before the contract can be closed.  The deficient funds may be cited in the</w:t>
      </w:r>
      <w:r w:rsidR="009A66EE">
        <w:t xml:space="preserve"> AMT segment and identified by C</w:t>
      </w:r>
      <w:r w:rsidRPr="00834BC9">
        <w:t>ode C in AMT03.</w:t>
      </w:r>
    </w:p>
    <w:p w14:paraId="69B37902" w14:textId="5808064F" w:rsidR="001541B4" w:rsidRDefault="00B6768E" w:rsidP="00DE1B17">
      <w:pPr>
        <w:tabs>
          <w:tab w:val="left" w:pos="540"/>
          <w:tab w:val="left" w:pos="1080"/>
          <w:tab w:val="left" w:pos="1620"/>
          <w:tab w:val="left" w:pos="2160"/>
        </w:tabs>
        <w:spacing w:after="240"/>
      </w:pPr>
      <w:r w:rsidRPr="00834BC9">
        <w:tab/>
      </w:r>
      <w:r w:rsidR="00707742" w:rsidRPr="00834BC9">
        <w:t>C</w:t>
      </w:r>
      <w:r w:rsidR="00707742">
        <w:t>4</w:t>
      </w:r>
      <w:r w:rsidR="006A27F6" w:rsidRPr="00834BC9">
        <w:t>.5.</w:t>
      </w:r>
      <w:r w:rsidR="004B3530">
        <w:t>7</w:t>
      </w:r>
      <w:r w:rsidR="006A27F6" w:rsidRPr="00834BC9">
        <w:t xml:space="preserve">.  </w:t>
      </w:r>
      <w:r w:rsidR="001541B4" w:rsidRPr="00834BC9">
        <w:rPr>
          <w:u w:val="single"/>
        </w:rPr>
        <w:t xml:space="preserve">Receipt </w:t>
      </w:r>
      <w:r w:rsidR="00BA44B4" w:rsidRPr="00834BC9">
        <w:rPr>
          <w:u w:val="single"/>
        </w:rPr>
        <w:t>o</w:t>
      </w:r>
      <w:r w:rsidR="001541B4" w:rsidRPr="00834BC9">
        <w:rPr>
          <w:u w:val="single"/>
        </w:rPr>
        <w:t>f Contract Extension Report</w:t>
      </w:r>
      <w:r w:rsidR="001541B4" w:rsidRPr="00834BC9">
        <w:t>.  When the CAO has received a</w:t>
      </w:r>
      <w:r w:rsidR="001541B4">
        <w:t xml:space="preserve"> contract completion extension report from the PO, and if the CAO had to perform an additional contract administration function, the CAO </w:t>
      </w:r>
      <w:r w:rsidR="00950D7D">
        <w:t>will</w:t>
      </w:r>
      <w:r w:rsidR="001541B4">
        <w:t xml:space="preserve"> issue a final contract closeout statement report within </w:t>
      </w:r>
      <w:r w:rsidR="00BD314D">
        <w:t xml:space="preserve">five </w:t>
      </w:r>
      <w:r w:rsidR="001541B4">
        <w:t xml:space="preserve">workdays after the extended closeout date.  If the CAO did not have to perform additional contract administration functions after the extension transaction was issued, the contract file </w:t>
      </w:r>
      <w:r w:rsidR="00950D7D">
        <w:t>will</w:t>
      </w:r>
      <w:r w:rsidR="001541B4">
        <w:t xml:space="preserve"> be closed and the last issued final contract completion statement will apply.</w:t>
      </w:r>
    </w:p>
    <w:p w14:paraId="69B37903" w14:textId="255DFE7E" w:rsidR="001541B4" w:rsidRDefault="00707742" w:rsidP="00DE1B17">
      <w:pPr>
        <w:tabs>
          <w:tab w:val="left" w:pos="540"/>
          <w:tab w:val="left" w:pos="1080"/>
          <w:tab w:val="left" w:pos="1620"/>
          <w:tab w:val="left" w:pos="2160"/>
        </w:tabs>
        <w:spacing w:after="240"/>
      </w:pPr>
      <w:r>
        <w:t>C4</w:t>
      </w:r>
      <w:r w:rsidR="00B6768E">
        <w:t xml:space="preserve">.6.  </w:t>
      </w:r>
      <w:r w:rsidR="001541B4" w:rsidRPr="00B6768E">
        <w:rPr>
          <w:u w:val="single"/>
        </w:rPr>
        <w:t>UNCLOSED CONTRACT STATUS</w:t>
      </w:r>
      <w:r w:rsidR="001541B4">
        <w:t xml:space="preserve">.  The CAO </w:t>
      </w:r>
      <w:r w:rsidR="00950D7D">
        <w:t>will</w:t>
      </w:r>
      <w:r w:rsidR="00B6488B">
        <w:t xml:space="preserve"> send</w:t>
      </w:r>
      <w:r w:rsidR="001541B4">
        <w:t xml:space="preserve"> an unclosed contract status report to the PO (or designated ADP point) for each contract that will not be closed within the timeframe established in FAR 4.804-</w:t>
      </w:r>
      <w:r w:rsidR="00776C40">
        <w:t>2</w:t>
      </w:r>
      <w:r w:rsidR="001541B4">
        <w:t>.</w:t>
      </w:r>
    </w:p>
    <w:p w14:paraId="69B37904" w14:textId="64E8A1EF" w:rsidR="001541B4" w:rsidRDefault="00B6768E" w:rsidP="00DE1B17">
      <w:pPr>
        <w:tabs>
          <w:tab w:val="left" w:pos="540"/>
          <w:tab w:val="left" w:pos="1080"/>
          <w:tab w:val="left" w:pos="1620"/>
          <w:tab w:val="left" w:pos="2160"/>
        </w:tabs>
        <w:spacing w:after="240"/>
      </w:pPr>
      <w:r>
        <w:tab/>
      </w:r>
      <w:r w:rsidR="00707742">
        <w:t>C4</w:t>
      </w:r>
      <w:r w:rsidR="006A27F6">
        <w:t xml:space="preserve">.6.1.  </w:t>
      </w:r>
      <w:r w:rsidR="001541B4" w:rsidRPr="00B6768E">
        <w:rPr>
          <w:u w:val="single"/>
        </w:rPr>
        <w:t xml:space="preserve">Reason </w:t>
      </w:r>
      <w:r w:rsidR="00680DBC" w:rsidRPr="00B6768E">
        <w:rPr>
          <w:u w:val="single"/>
        </w:rPr>
        <w:t>f</w:t>
      </w:r>
      <w:r w:rsidR="001541B4" w:rsidRPr="00B6768E">
        <w:rPr>
          <w:u w:val="single"/>
        </w:rPr>
        <w:t>or Delay</w:t>
      </w:r>
      <w:r w:rsidR="001541B4">
        <w:t xml:space="preserve">.  The status report </w:t>
      </w:r>
      <w:r w:rsidR="00950D7D">
        <w:t>will</w:t>
      </w:r>
      <w:r w:rsidR="001541B4">
        <w:t xml:space="preserve"> include the reasons for delay and the target date </w:t>
      </w:r>
      <w:r w:rsidR="00BD314D">
        <w:t xml:space="preserve">that </w:t>
      </w:r>
      <w:r w:rsidR="001541B4">
        <w:t>has been set for closing.</w:t>
      </w:r>
    </w:p>
    <w:p w14:paraId="69B37905" w14:textId="51C0C652" w:rsidR="001541B4" w:rsidRDefault="00B6768E" w:rsidP="00DE1B17">
      <w:pPr>
        <w:tabs>
          <w:tab w:val="left" w:pos="540"/>
          <w:tab w:val="left" w:pos="1080"/>
          <w:tab w:val="left" w:pos="1620"/>
          <w:tab w:val="left" w:pos="2160"/>
        </w:tabs>
        <w:spacing w:after="240"/>
      </w:pPr>
      <w:r>
        <w:lastRenderedPageBreak/>
        <w:tab/>
      </w:r>
      <w:r w:rsidR="00707742">
        <w:t>C4</w:t>
      </w:r>
      <w:r w:rsidR="006A27F6">
        <w:t xml:space="preserve">.6.2.  </w:t>
      </w:r>
      <w:r w:rsidR="001541B4" w:rsidRPr="00B6768E">
        <w:rPr>
          <w:u w:val="single"/>
        </w:rPr>
        <w:t>Revised Unclosed Status Report</w:t>
      </w:r>
      <w:r w:rsidR="001541B4">
        <w:t xml:space="preserve">.  If the contract is not closed by the target date, a revised unclosed contract status report </w:t>
      </w:r>
      <w:r w:rsidR="00950D7D">
        <w:t>will</w:t>
      </w:r>
      <w:r w:rsidR="001541B4">
        <w:t xml:space="preserve"> be </w:t>
      </w:r>
      <w:r w:rsidR="00B6488B">
        <w:t>sent</w:t>
      </w:r>
      <w:r w:rsidR="001541B4">
        <w:t xml:space="preserve"> with the new target date and reason</w:t>
      </w:r>
      <w:r w:rsidR="00BD314D">
        <w:t>(</w:t>
      </w:r>
      <w:r w:rsidR="001541B4">
        <w:t>s</w:t>
      </w:r>
      <w:r w:rsidR="00BD314D">
        <w:t>)</w:t>
      </w:r>
      <w:r w:rsidR="001541B4">
        <w:t xml:space="preserve"> for further delay.</w:t>
      </w:r>
    </w:p>
    <w:p w14:paraId="69B37906" w14:textId="276BBEA9" w:rsidR="001541B4" w:rsidRDefault="00B6768E" w:rsidP="00DE1B17">
      <w:pPr>
        <w:tabs>
          <w:tab w:val="left" w:pos="540"/>
          <w:tab w:val="left" w:pos="1080"/>
          <w:tab w:val="left" w:pos="1620"/>
          <w:tab w:val="left" w:pos="2160"/>
        </w:tabs>
        <w:spacing w:after="240"/>
      </w:pPr>
      <w:r>
        <w:tab/>
      </w:r>
      <w:r w:rsidR="00707742">
        <w:t>C4</w:t>
      </w:r>
      <w:r w:rsidR="006A27F6">
        <w:t xml:space="preserve">.6.3.  </w:t>
      </w:r>
      <w:r w:rsidR="001541B4" w:rsidRPr="00B6768E">
        <w:rPr>
          <w:u w:val="single"/>
        </w:rPr>
        <w:t>Timeframe</w:t>
      </w:r>
      <w:r w:rsidR="001541B4">
        <w:t xml:space="preserve">.  A CAO with primary contract administration responsibility </w:t>
      </w:r>
      <w:r w:rsidR="00950D7D">
        <w:t>will</w:t>
      </w:r>
      <w:r w:rsidR="00D752C0">
        <w:t xml:space="preserve"> send </w:t>
      </w:r>
      <w:r w:rsidR="001541B4">
        <w:t xml:space="preserve">the unclosed contract status report to the PO.  </w:t>
      </w:r>
      <w:r w:rsidR="004E3ADB">
        <w:t xml:space="preserve">The </w:t>
      </w:r>
      <w:r w:rsidR="001541B4">
        <w:t xml:space="preserve">CAO </w:t>
      </w:r>
      <w:r w:rsidR="00950D7D">
        <w:t>will</w:t>
      </w:r>
      <w:r w:rsidR="004E3ADB">
        <w:t xml:space="preserve"> </w:t>
      </w:r>
      <w:r w:rsidR="001541B4">
        <w:t>forward the</w:t>
      </w:r>
      <w:r w:rsidR="004E3ADB">
        <w:t xml:space="preserve"> unclosed</w:t>
      </w:r>
      <w:r w:rsidR="001541B4">
        <w:t xml:space="preserve"> status report within </w:t>
      </w:r>
      <w:r w:rsidR="004E3ADB">
        <w:t xml:space="preserve">45 </w:t>
      </w:r>
      <w:r w:rsidR="001541B4">
        <w:t>days after the expiration of the standard closing period</w:t>
      </w:r>
      <w:r w:rsidR="004E3ADB">
        <w:t xml:space="preserve"> (refer to DFARS </w:t>
      </w:r>
      <w:r w:rsidR="004E3ADB" w:rsidRPr="004E3ADB">
        <w:t>Procedures, Guidance, and Information</w:t>
      </w:r>
      <w:r w:rsidR="004E3ADB">
        <w:t xml:space="preserve"> (PGI) 204.804-2)</w:t>
      </w:r>
      <w:r w:rsidR="001541B4">
        <w:t>.</w:t>
      </w:r>
    </w:p>
    <w:p w14:paraId="69B37907" w14:textId="77777777" w:rsidR="001541B4" w:rsidRDefault="00707742" w:rsidP="00DE1B17">
      <w:pPr>
        <w:tabs>
          <w:tab w:val="left" w:pos="540"/>
          <w:tab w:val="left" w:pos="1080"/>
          <w:tab w:val="left" w:pos="1620"/>
          <w:tab w:val="left" w:pos="2160"/>
        </w:tabs>
        <w:spacing w:after="240"/>
      </w:pPr>
      <w:r>
        <w:t>C4</w:t>
      </w:r>
      <w:r w:rsidR="006A27F6">
        <w:t xml:space="preserve">.7.  </w:t>
      </w:r>
      <w:r w:rsidR="001541B4" w:rsidRPr="00B6768E">
        <w:rPr>
          <w:u w:val="single"/>
        </w:rPr>
        <w:t>CONTRACT CLOSEOUT EXTENSION</w:t>
      </w:r>
    </w:p>
    <w:p w14:paraId="69B37908" w14:textId="774A7AC6" w:rsidR="001541B4" w:rsidRDefault="00B6768E" w:rsidP="00DE1B17">
      <w:pPr>
        <w:tabs>
          <w:tab w:val="left" w:pos="540"/>
          <w:tab w:val="left" w:pos="1080"/>
          <w:tab w:val="left" w:pos="1620"/>
          <w:tab w:val="left" w:pos="2160"/>
        </w:tabs>
        <w:spacing w:after="240"/>
      </w:pPr>
      <w:r>
        <w:tab/>
      </w:r>
      <w:r w:rsidR="00707742">
        <w:t>C4</w:t>
      </w:r>
      <w:r w:rsidR="006A27F6">
        <w:t xml:space="preserve">.7.1.  </w:t>
      </w:r>
      <w:r w:rsidR="001541B4" w:rsidRPr="00B6768E">
        <w:rPr>
          <w:u w:val="single"/>
        </w:rPr>
        <w:t>Purpose</w:t>
      </w:r>
      <w:r w:rsidR="001541B4">
        <w:t xml:space="preserve">.  The PO </w:t>
      </w:r>
      <w:r w:rsidR="00950D7D">
        <w:t>will</w:t>
      </w:r>
      <w:r w:rsidR="001541B4">
        <w:t xml:space="preserve"> use the contract completed date in the contract completion statement as the closeout date for file purposes.  When completion of any pending significant PO action extends beyond this closeout date, the PO </w:t>
      </w:r>
      <w:r w:rsidR="00950D7D">
        <w:t>will</w:t>
      </w:r>
      <w:r w:rsidR="001541B4">
        <w:t xml:space="preserve"> send a contract closeout extension notice to the CAO (or designated ADP point) advising of the extended closeout date.</w:t>
      </w:r>
    </w:p>
    <w:p w14:paraId="69B37909" w14:textId="77777777" w:rsidR="001541B4" w:rsidRDefault="00B6768E" w:rsidP="00DE1B17">
      <w:pPr>
        <w:tabs>
          <w:tab w:val="left" w:pos="540"/>
          <w:tab w:val="left" w:pos="1080"/>
          <w:tab w:val="left" w:pos="1620"/>
          <w:tab w:val="left" w:pos="2160"/>
        </w:tabs>
        <w:spacing w:after="240"/>
      </w:pPr>
      <w:r>
        <w:tab/>
      </w:r>
      <w:r w:rsidR="00707742">
        <w:t>C4</w:t>
      </w:r>
      <w:r w:rsidR="006A27F6">
        <w:t xml:space="preserve">.7.2.  </w:t>
      </w:r>
      <w:r w:rsidR="001541B4" w:rsidRPr="00B6768E">
        <w:rPr>
          <w:u w:val="single"/>
        </w:rPr>
        <w:t>Timeframe</w:t>
      </w:r>
      <w:r w:rsidR="001541B4">
        <w:t>.  The PO must forward the e</w:t>
      </w:r>
      <w:r w:rsidR="00BA44B4">
        <w:t xml:space="preserve">xtension to the CAO within 5 </w:t>
      </w:r>
      <w:r w:rsidR="001541B4">
        <w:t>workdays after receipt of the completion statement.</w:t>
      </w:r>
    </w:p>
    <w:p w14:paraId="69B3790A" w14:textId="78A0C760" w:rsidR="001541B4" w:rsidRDefault="00B6768E" w:rsidP="00DE1B17">
      <w:pPr>
        <w:tabs>
          <w:tab w:val="left" w:pos="540"/>
          <w:tab w:val="left" w:pos="1080"/>
          <w:tab w:val="left" w:pos="1620"/>
          <w:tab w:val="left" w:pos="2160"/>
        </w:tabs>
        <w:spacing w:after="240"/>
      </w:pPr>
      <w:r>
        <w:tab/>
      </w:r>
      <w:r w:rsidR="00707742">
        <w:t>C4</w:t>
      </w:r>
      <w:r w:rsidR="006A27F6">
        <w:t xml:space="preserve">.7.3.  </w:t>
      </w:r>
      <w:r w:rsidR="001541B4" w:rsidRPr="00B6768E">
        <w:rPr>
          <w:u w:val="single"/>
        </w:rPr>
        <w:t>Status</w:t>
      </w:r>
      <w:r w:rsidR="001541B4">
        <w:t xml:space="preserve">.  The CAO </w:t>
      </w:r>
      <w:r w:rsidR="00950D7D">
        <w:t>will</w:t>
      </w:r>
      <w:r w:rsidR="001541B4">
        <w:t xml:space="preserve"> then hold the contract open until the extended closeout date.</w:t>
      </w:r>
    </w:p>
    <w:p w14:paraId="69B3790B" w14:textId="77777777" w:rsidR="001541B4" w:rsidRDefault="00B6768E" w:rsidP="00DE1B17">
      <w:pPr>
        <w:tabs>
          <w:tab w:val="left" w:pos="540"/>
          <w:tab w:val="left" w:pos="1080"/>
          <w:tab w:val="left" w:pos="1620"/>
          <w:tab w:val="left" w:pos="2160"/>
        </w:tabs>
        <w:spacing w:after="240"/>
      </w:pPr>
      <w:r>
        <w:tab/>
      </w:r>
      <w:r w:rsidR="00707742">
        <w:t>C4</w:t>
      </w:r>
      <w:r w:rsidR="006A27F6">
        <w:t xml:space="preserve">.7.4.  </w:t>
      </w:r>
      <w:r w:rsidR="00BA44B4" w:rsidRPr="00B6768E">
        <w:rPr>
          <w:u w:val="single"/>
        </w:rPr>
        <w:t>Revision o</w:t>
      </w:r>
      <w:r w:rsidR="001541B4" w:rsidRPr="00B6768E">
        <w:rPr>
          <w:u w:val="single"/>
        </w:rPr>
        <w:t>f Closeout Extension</w:t>
      </w:r>
      <w:r w:rsidR="001541B4" w:rsidRPr="00BA44B4">
        <w:rPr>
          <w:iCs/>
        </w:rPr>
        <w:t xml:space="preserve">.  </w:t>
      </w:r>
      <w:r w:rsidR="001541B4">
        <w:t>The PO must ensure that when the extended closeout date is to be revised, another extension notice, with a new extended closeout date, is sent to the CAO.</w:t>
      </w:r>
    </w:p>
    <w:p w14:paraId="69B3790C" w14:textId="0C6BC878" w:rsidR="001541B4" w:rsidRDefault="00B6768E" w:rsidP="00DE1B17">
      <w:pPr>
        <w:tabs>
          <w:tab w:val="left" w:pos="540"/>
          <w:tab w:val="left" w:pos="1080"/>
          <w:tab w:val="left" w:pos="1620"/>
          <w:tab w:val="left" w:pos="2160"/>
        </w:tabs>
        <w:spacing w:after="240"/>
      </w:pPr>
      <w:r>
        <w:tab/>
      </w:r>
      <w:r w:rsidR="00707742">
        <w:t>C4</w:t>
      </w:r>
      <w:r w:rsidR="006A27F6">
        <w:t xml:space="preserve">.7.5.  </w:t>
      </w:r>
      <w:r w:rsidR="001541B4" w:rsidRPr="00B6768E">
        <w:rPr>
          <w:u w:val="single"/>
        </w:rPr>
        <w:t>Closure</w:t>
      </w:r>
      <w:r w:rsidR="001541B4">
        <w:t xml:space="preserve">.  The CAO </w:t>
      </w:r>
      <w:r w:rsidR="00950D7D">
        <w:t>will</w:t>
      </w:r>
      <w:r w:rsidR="001541B4">
        <w:t xml:space="preserve"> close the contract file </w:t>
      </w:r>
      <w:r w:rsidR="00BD314D">
        <w:t xml:space="preserve">when </w:t>
      </w:r>
      <w:r w:rsidR="001541B4">
        <w:t xml:space="preserve">the extended closeout date is passed.  If the CAO performed an additional contract administrative function, it </w:t>
      </w:r>
      <w:r w:rsidR="00950D7D">
        <w:t>will</w:t>
      </w:r>
      <w:r w:rsidR="001541B4">
        <w:t xml:space="preserve"> issue another contract completion statement report; otherwise, the previous statement report </w:t>
      </w:r>
      <w:r w:rsidR="00950D7D">
        <w:t>will</w:t>
      </w:r>
      <w:r w:rsidR="001541B4">
        <w:t xml:space="preserve"> remain in effect.</w:t>
      </w:r>
    </w:p>
    <w:p w14:paraId="187EFE8A" w14:textId="5C901908" w:rsidR="007B2C36" w:rsidRDefault="007B2C36" w:rsidP="00DE1B17">
      <w:pPr>
        <w:tabs>
          <w:tab w:val="left" w:pos="540"/>
          <w:tab w:val="left" w:pos="1080"/>
          <w:tab w:val="left" w:pos="1620"/>
          <w:tab w:val="left" w:pos="2160"/>
        </w:tabs>
        <w:spacing w:after="240"/>
      </w:pPr>
      <w:r>
        <w:tab/>
        <w:t xml:space="preserve">C4.7.6.  </w:t>
      </w:r>
      <w:r w:rsidRPr="007B2C36">
        <w:rPr>
          <w:u w:val="single"/>
        </w:rPr>
        <w:t>Exception to Closure</w:t>
      </w:r>
      <w:r>
        <w:t xml:space="preserve">.  </w:t>
      </w:r>
      <w:r w:rsidRPr="007B2C36">
        <w:rPr>
          <w:lang w:val="en"/>
        </w:rPr>
        <w:t xml:space="preserve">A contract file </w:t>
      </w:r>
      <w:r w:rsidR="00A4696C">
        <w:rPr>
          <w:lang w:val="en"/>
        </w:rPr>
        <w:t>must</w:t>
      </w:r>
      <w:r w:rsidRPr="007B2C36">
        <w:rPr>
          <w:lang w:val="en"/>
        </w:rPr>
        <w:t xml:space="preserve"> not be closed if</w:t>
      </w:r>
      <w:r>
        <w:rPr>
          <w:lang w:val="en"/>
        </w:rPr>
        <w:t xml:space="preserve"> </w:t>
      </w:r>
      <w:bookmarkStart w:id="1" w:name="wp1109065"/>
      <w:bookmarkEnd w:id="1"/>
      <w:r>
        <w:rPr>
          <w:lang w:val="en"/>
        </w:rPr>
        <w:t>t</w:t>
      </w:r>
      <w:r w:rsidRPr="007B2C36">
        <w:rPr>
          <w:lang w:val="en"/>
        </w:rPr>
        <w:t xml:space="preserve">he contract is in litigation or under appeal; or </w:t>
      </w:r>
      <w:bookmarkStart w:id="2" w:name="wp1109066"/>
      <w:bookmarkEnd w:id="2"/>
      <w:r>
        <w:rPr>
          <w:lang w:val="en"/>
        </w:rPr>
        <w:t>i</w:t>
      </w:r>
      <w:r w:rsidRPr="007B2C36">
        <w:rPr>
          <w:lang w:val="en"/>
        </w:rPr>
        <w:t>n the case of a termination, all termination actions have not been completed.</w:t>
      </w:r>
      <w:r>
        <w:rPr>
          <w:lang w:val="en"/>
        </w:rPr>
        <w:t xml:space="preserve">  See FAR 4.804-1(c).</w:t>
      </w:r>
    </w:p>
    <w:p w14:paraId="69B3790D" w14:textId="1A2B3392" w:rsidR="001541B4" w:rsidRPr="001929B2" w:rsidRDefault="00707742" w:rsidP="00DE1B17">
      <w:pPr>
        <w:tabs>
          <w:tab w:val="left" w:pos="540"/>
          <w:tab w:val="left" w:pos="1080"/>
          <w:tab w:val="left" w:pos="1620"/>
          <w:tab w:val="left" w:pos="2160"/>
        </w:tabs>
        <w:spacing w:after="240"/>
      </w:pPr>
      <w:r w:rsidRPr="001929B2">
        <w:t>C4</w:t>
      </w:r>
      <w:r w:rsidR="006A27F6" w:rsidRPr="001929B2">
        <w:t xml:space="preserve">.8.  </w:t>
      </w:r>
      <w:r w:rsidR="001541B4" w:rsidRPr="001929B2">
        <w:rPr>
          <w:u w:val="single"/>
        </w:rPr>
        <w:t>CANCELLATIONS</w:t>
      </w:r>
      <w:r w:rsidR="001541B4" w:rsidRPr="001929B2">
        <w:t xml:space="preserve">. </w:t>
      </w:r>
      <w:r w:rsidR="00950D7D" w:rsidRPr="001929B2">
        <w:t xml:space="preserve"> </w:t>
      </w:r>
      <w:r w:rsidR="001929B2" w:rsidRPr="001929B2">
        <w:rPr>
          <w:rFonts w:cs="Arial"/>
        </w:rPr>
        <w:t xml:space="preserve">Conditions may necessitate the cancellation of a contract completion status transaction.  Cancellation is done by sending the </w:t>
      </w:r>
      <w:r w:rsidR="001929B2" w:rsidRPr="001929B2">
        <w:rPr>
          <w:rFonts w:cs="Arial"/>
          <w:b/>
          <w:i/>
        </w:rPr>
        <w:t>procurement instrument identifier (PIID)</w:t>
      </w:r>
      <w:r w:rsidR="001929B2" w:rsidRPr="001929B2">
        <w:rPr>
          <w:rStyle w:val="FootnoteReference"/>
          <w:rFonts w:cs="Arial"/>
          <w:b/>
          <w:i/>
        </w:rPr>
        <w:footnoteReference w:id="1"/>
      </w:r>
      <w:r w:rsidR="001929B2" w:rsidRPr="001929B2">
        <w:rPr>
          <w:rFonts w:cs="Arial"/>
          <w:b/>
          <w:i/>
        </w:rPr>
        <w:t xml:space="preserve"> and</w:t>
      </w:r>
      <w:r w:rsidR="001929B2" w:rsidRPr="001929B2">
        <w:rPr>
          <w:rFonts w:cs="Arial"/>
        </w:rPr>
        <w:t xml:space="preserve"> Supplementary </w:t>
      </w:r>
      <w:r w:rsidR="001929B2">
        <w:rPr>
          <w:rFonts w:cs="Arial"/>
          <w:b/>
          <w:i/>
        </w:rPr>
        <w:t xml:space="preserve">PIID </w:t>
      </w:r>
      <w:r w:rsidR="001929B2" w:rsidRPr="001929B2">
        <w:rPr>
          <w:rFonts w:cs="Arial"/>
        </w:rPr>
        <w:t xml:space="preserve">(when applicable), CAO, and PO of the original transaction and a Transaction Status Indicator Code K.  </w:t>
      </w:r>
      <w:r w:rsidR="001929B2" w:rsidRPr="001929B2">
        <w:rPr>
          <w:rFonts w:cs="Arial"/>
          <w:b/>
          <w:i/>
        </w:rPr>
        <w:t xml:space="preserve">When a PIID call/order number (F in 9th position) is used, provide the value in the PIID field.  </w:t>
      </w:r>
    </w:p>
    <w:p w14:paraId="69B3790E" w14:textId="106E2895" w:rsidR="001541B4" w:rsidRDefault="00707742" w:rsidP="00DE1B17">
      <w:pPr>
        <w:tabs>
          <w:tab w:val="left" w:pos="540"/>
          <w:tab w:val="left" w:pos="1080"/>
          <w:tab w:val="left" w:pos="1620"/>
          <w:tab w:val="left" w:pos="2160"/>
        </w:tabs>
        <w:spacing w:after="240"/>
      </w:pPr>
      <w:r>
        <w:t>C4</w:t>
      </w:r>
      <w:r w:rsidR="006A27F6">
        <w:t xml:space="preserve">.9.  </w:t>
      </w:r>
      <w:r w:rsidR="001541B4" w:rsidRPr="00B6768E">
        <w:rPr>
          <w:u w:val="single"/>
        </w:rPr>
        <w:t>FAST PAY CONTRACTS</w:t>
      </w:r>
      <w:r w:rsidR="001541B4">
        <w:t>.  Normally, a PO receives both a shipment notice transaction and a contract completion statement transaction on each contract.  On fast</w:t>
      </w:r>
      <w:r w:rsidR="00BA44B4">
        <w:t>-</w:t>
      </w:r>
      <w:r w:rsidR="001541B4">
        <w:t xml:space="preserve">pay contracts </w:t>
      </w:r>
      <w:r w:rsidR="00D8164F">
        <w:t xml:space="preserve">that </w:t>
      </w:r>
      <w:r w:rsidR="001541B4">
        <w:t>do not exceed $25,000, however, shipment information is not required by the Army, Navy, or DLA</w:t>
      </w:r>
      <w:r w:rsidR="00BA44B4">
        <w:t>.</w:t>
      </w:r>
      <w:r w:rsidR="001541B4">
        <w:t xml:space="preserve">  The Army </w:t>
      </w:r>
      <w:r w:rsidR="00950D7D">
        <w:t>will</w:t>
      </w:r>
      <w:r w:rsidR="001541B4">
        <w:t xml:space="preserve"> use the contract completion statement both to show performance and to close the contract.  The Air Force requires and receives the shipment information and a contra</w:t>
      </w:r>
      <w:r w:rsidR="00BA44B4">
        <w:t>ct completion statement on fast-</w:t>
      </w:r>
      <w:r w:rsidR="001541B4">
        <w:t>pay contracts.</w:t>
      </w:r>
    </w:p>
    <w:p w14:paraId="69B3790F" w14:textId="4EAC14AC" w:rsidR="00204DCD" w:rsidRPr="001929B2" w:rsidRDefault="00707742" w:rsidP="00DE1B17">
      <w:pPr>
        <w:tabs>
          <w:tab w:val="left" w:pos="540"/>
          <w:tab w:val="left" w:pos="1080"/>
          <w:tab w:val="left" w:pos="1620"/>
          <w:tab w:val="left" w:pos="2160"/>
        </w:tabs>
        <w:spacing w:after="240"/>
      </w:pPr>
      <w:r w:rsidRPr="00834BC9">
        <w:t>C</w:t>
      </w:r>
      <w:r>
        <w:t>4</w:t>
      </w:r>
      <w:r w:rsidR="006A27F6" w:rsidRPr="00834BC9">
        <w:t xml:space="preserve">.10.  </w:t>
      </w:r>
      <w:r w:rsidR="001541B4" w:rsidRPr="00834BC9">
        <w:rPr>
          <w:u w:val="single"/>
        </w:rPr>
        <w:t xml:space="preserve">PREPARATION OF THE </w:t>
      </w:r>
      <w:r w:rsidR="00204DCD">
        <w:rPr>
          <w:u w:val="single"/>
        </w:rPr>
        <w:t xml:space="preserve">DLMS 567C </w:t>
      </w:r>
      <w:r w:rsidR="001541B4" w:rsidRPr="00834BC9">
        <w:rPr>
          <w:u w:val="single"/>
        </w:rPr>
        <w:t>TRANSACTION</w:t>
      </w:r>
      <w:r w:rsidR="001541B4" w:rsidRPr="00834BC9">
        <w:t xml:space="preserve">.  </w:t>
      </w:r>
      <w:r w:rsidR="00204DCD">
        <w:t>The instructions to p</w:t>
      </w:r>
      <w:r w:rsidR="001541B4" w:rsidRPr="00834BC9">
        <w:t xml:space="preserve">repare </w:t>
      </w:r>
      <w:r w:rsidR="00DC3FB3">
        <w:t>the DLMS</w:t>
      </w:r>
      <w:r w:rsidR="00DC3FB3" w:rsidRPr="00834BC9">
        <w:t xml:space="preserve"> </w:t>
      </w:r>
      <w:r w:rsidR="001541B4" w:rsidRPr="00834BC9">
        <w:t>567C</w:t>
      </w:r>
      <w:r w:rsidR="00D752C0" w:rsidRPr="00834BC9">
        <w:t xml:space="preserve"> </w:t>
      </w:r>
      <w:r w:rsidR="00204DCD">
        <w:t xml:space="preserve">are on the </w:t>
      </w:r>
      <w:r w:rsidR="00950D7D">
        <w:t xml:space="preserve">Defense </w:t>
      </w:r>
      <w:r w:rsidR="00204DCD">
        <w:t xml:space="preserve">Logistics Management Standards Website </w:t>
      </w:r>
      <w:r w:rsidR="00BA44B4" w:rsidRPr="00834BC9">
        <w:t xml:space="preserve"> </w:t>
      </w:r>
      <w:r w:rsidR="00526608">
        <w:br/>
      </w:r>
      <w:hyperlink r:id="rId15" w:history="1">
        <w:r w:rsidR="00204DCD" w:rsidRPr="001929B2">
          <w:rPr>
            <w:rStyle w:val="Hyperlink"/>
          </w:rPr>
          <w:t>www.</w:t>
        </w:r>
        <w:r w:rsidR="00CC551F" w:rsidRPr="001929B2">
          <w:rPr>
            <w:rStyle w:val="Hyperlink"/>
          </w:rPr>
          <w:t>dlmso.dla.mil</w:t>
        </w:r>
        <w:r w:rsidR="00204DCD" w:rsidRPr="001929B2">
          <w:rPr>
            <w:rStyle w:val="Hyperlink"/>
          </w:rPr>
          <w:t>/elibrary/TransFormats/140_997.asp</w:t>
        </w:r>
      </w:hyperlink>
      <w:r w:rsidR="00ED1EE3" w:rsidRPr="001929B2">
        <w:rPr>
          <w:rStyle w:val="Hyperlink"/>
        </w:rPr>
        <w:t>.</w:t>
      </w:r>
    </w:p>
    <w:p w14:paraId="69B37910" w14:textId="77777777" w:rsidR="001541B4" w:rsidRPr="001929B2" w:rsidRDefault="00F4688D" w:rsidP="00DE1B17">
      <w:pPr>
        <w:tabs>
          <w:tab w:val="left" w:pos="540"/>
          <w:tab w:val="left" w:pos="1080"/>
          <w:tab w:val="left" w:pos="1620"/>
          <w:tab w:val="left" w:pos="2160"/>
        </w:tabs>
        <w:spacing w:after="240"/>
      </w:pPr>
      <w:r w:rsidRPr="001929B2">
        <w:tab/>
      </w:r>
      <w:r w:rsidR="00707742" w:rsidRPr="001929B2">
        <w:t>C4</w:t>
      </w:r>
      <w:r w:rsidR="00DE1B17" w:rsidRPr="001929B2">
        <w:t>.10.</w:t>
      </w:r>
      <w:r w:rsidR="007C28C8" w:rsidRPr="001929B2">
        <w:t>1</w:t>
      </w:r>
      <w:r w:rsidR="00DE1B17" w:rsidRPr="001929B2">
        <w:t xml:space="preserve">.  </w:t>
      </w:r>
      <w:r w:rsidR="001541B4" w:rsidRPr="001929B2">
        <w:rPr>
          <w:u w:val="single"/>
        </w:rPr>
        <w:t>Structure</w:t>
      </w:r>
      <w:r w:rsidR="001541B4" w:rsidRPr="001929B2">
        <w:t>.  This transactio</w:t>
      </w:r>
      <w:r w:rsidR="007C28C8" w:rsidRPr="001929B2">
        <w:t>n set contains only one table.</w:t>
      </w:r>
    </w:p>
    <w:p w14:paraId="69B37911" w14:textId="382EF152" w:rsidR="001541B4" w:rsidRPr="001929B2" w:rsidRDefault="00F4688D" w:rsidP="00DE1B17">
      <w:pPr>
        <w:tabs>
          <w:tab w:val="left" w:pos="540"/>
          <w:tab w:val="left" w:pos="1080"/>
          <w:tab w:val="left" w:pos="1620"/>
          <w:tab w:val="left" w:pos="2160"/>
        </w:tabs>
        <w:spacing w:after="240"/>
      </w:pPr>
      <w:r w:rsidRPr="001929B2">
        <w:tab/>
      </w:r>
      <w:r w:rsidR="00707742" w:rsidRPr="001929B2">
        <w:t>C4</w:t>
      </w:r>
      <w:r w:rsidR="00DE1B17" w:rsidRPr="001929B2">
        <w:t>.10.</w:t>
      </w:r>
      <w:r w:rsidR="007C28C8" w:rsidRPr="001929B2">
        <w:t>2</w:t>
      </w:r>
      <w:r w:rsidR="00DE1B17" w:rsidRPr="001929B2">
        <w:t xml:space="preserve">.  </w:t>
      </w:r>
      <w:r w:rsidR="001541B4" w:rsidRPr="001929B2">
        <w:rPr>
          <w:u w:val="single"/>
        </w:rPr>
        <w:t>Uses</w:t>
      </w:r>
      <w:r w:rsidR="001541B4" w:rsidRPr="001929B2">
        <w:t xml:space="preserve">.  As discussed in </w:t>
      </w:r>
      <w:r w:rsidR="007C28C8" w:rsidRPr="001929B2">
        <w:t xml:space="preserve">sections </w:t>
      </w:r>
      <w:r w:rsidR="00707742" w:rsidRPr="001929B2">
        <w:t>C4</w:t>
      </w:r>
      <w:r w:rsidR="001541B4" w:rsidRPr="001929B2">
        <w:t>.4</w:t>
      </w:r>
      <w:r w:rsidR="007C28C8" w:rsidRPr="001929B2">
        <w:t>.</w:t>
      </w:r>
      <w:r w:rsidR="001541B4" w:rsidRPr="001929B2">
        <w:t>,</w:t>
      </w:r>
      <w:r w:rsidR="007C28C8" w:rsidRPr="001929B2">
        <w:t xml:space="preserve"> </w:t>
      </w:r>
      <w:r w:rsidR="00707742" w:rsidRPr="001929B2">
        <w:t>C4</w:t>
      </w:r>
      <w:r w:rsidR="001541B4" w:rsidRPr="001929B2">
        <w:t>.5</w:t>
      </w:r>
      <w:r w:rsidR="007C28C8" w:rsidRPr="001929B2">
        <w:t>.</w:t>
      </w:r>
      <w:r w:rsidR="001541B4" w:rsidRPr="001929B2">
        <w:t xml:space="preserve">, </w:t>
      </w:r>
      <w:r w:rsidR="00707742" w:rsidRPr="001929B2">
        <w:t>C4</w:t>
      </w:r>
      <w:r w:rsidR="001541B4" w:rsidRPr="001929B2">
        <w:t>.6</w:t>
      </w:r>
      <w:r w:rsidR="00A4696C" w:rsidRPr="001929B2">
        <w:t xml:space="preserve">., and C4.11., </w:t>
      </w:r>
      <w:r w:rsidR="001541B4" w:rsidRPr="001929B2">
        <w:t xml:space="preserve">there are </w:t>
      </w:r>
      <w:r w:rsidR="00A4696C" w:rsidRPr="001929B2">
        <w:t>eight</w:t>
      </w:r>
      <w:r w:rsidR="007C28C8" w:rsidRPr="001929B2">
        <w:t xml:space="preserve"> uses</w:t>
      </w:r>
      <w:r w:rsidR="00C176FB" w:rsidRPr="001929B2">
        <w:t xml:space="preserve"> </w:t>
      </w:r>
      <w:r w:rsidR="001541B4" w:rsidRPr="001929B2">
        <w:t xml:space="preserve">of the </w:t>
      </w:r>
      <w:r w:rsidR="00D752C0" w:rsidRPr="001929B2">
        <w:t>c</w:t>
      </w:r>
      <w:r w:rsidR="001541B4" w:rsidRPr="001929B2">
        <w:t xml:space="preserve">ontract </w:t>
      </w:r>
      <w:r w:rsidR="00D752C0" w:rsidRPr="001929B2">
        <w:t>c</w:t>
      </w:r>
      <w:r w:rsidR="001541B4" w:rsidRPr="001929B2">
        <w:t xml:space="preserve">ompletion </w:t>
      </w:r>
      <w:r w:rsidR="00D752C0" w:rsidRPr="001929B2">
        <w:t>s</w:t>
      </w:r>
      <w:r w:rsidR="001541B4" w:rsidRPr="001929B2">
        <w:t>tatus transaction.</w:t>
      </w:r>
      <w:r w:rsidR="00A4696C" w:rsidRPr="001929B2">
        <w:rPr>
          <w:vertAlign w:val="superscript"/>
        </w:rPr>
        <w:footnoteReference w:id="2"/>
      </w:r>
      <w:r w:rsidR="001541B4" w:rsidRPr="001929B2">
        <w:t xml:space="preserve">  Each use is identified by a code in </w:t>
      </w:r>
      <w:r w:rsidR="00204DCD" w:rsidRPr="001929B2">
        <w:t xml:space="preserve">the </w:t>
      </w:r>
      <w:r w:rsidR="00E33936" w:rsidRPr="001929B2">
        <w:t>1/</w:t>
      </w:r>
      <w:r w:rsidR="001541B4" w:rsidRPr="001929B2">
        <w:t>CS05</w:t>
      </w:r>
      <w:r w:rsidR="00E33936" w:rsidRPr="001929B2">
        <w:t>/050</w:t>
      </w:r>
      <w:r w:rsidR="00204DCD" w:rsidRPr="001929B2">
        <w:t xml:space="preserve"> data element</w:t>
      </w:r>
      <w:r w:rsidR="001541B4" w:rsidRPr="001929B2">
        <w:t>.</w:t>
      </w:r>
    </w:p>
    <w:p w14:paraId="69B37912" w14:textId="77777777" w:rsidR="00231F75" w:rsidRPr="001929B2" w:rsidRDefault="00F4688D" w:rsidP="00CA505C">
      <w:pPr>
        <w:keepNext/>
        <w:tabs>
          <w:tab w:val="left" w:pos="540"/>
          <w:tab w:val="left" w:pos="1080"/>
          <w:tab w:val="left" w:pos="1620"/>
          <w:tab w:val="left" w:pos="2160"/>
        </w:tabs>
        <w:spacing w:after="240"/>
      </w:pPr>
      <w:r w:rsidRPr="001929B2">
        <w:tab/>
      </w:r>
      <w:r w:rsidRPr="001929B2">
        <w:tab/>
      </w:r>
      <w:r w:rsidR="00707742" w:rsidRPr="001929B2">
        <w:t>C4</w:t>
      </w:r>
      <w:r w:rsidR="00DE1B17" w:rsidRPr="001929B2">
        <w:t>.10.</w:t>
      </w:r>
      <w:r w:rsidR="007C28C8" w:rsidRPr="001929B2">
        <w:t>2</w:t>
      </w:r>
      <w:r w:rsidR="00DE1B17" w:rsidRPr="001929B2">
        <w:t xml:space="preserve">.1.  </w:t>
      </w:r>
      <w:r w:rsidR="00481721" w:rsidRPr="001929B2">
        <w:rPr>
          <w:u w:val="single"/>
        </w:rPr>
        <w:t>CAO Issuance</w:t>
      </w:r>
      <w:r w:rsidR="00481721" w:rsidRPr="001929B2">
        <w:t xml:space="preserve">.  </w:t>
      </w:r>
      <w:r w:rsidR="001541B4" w:rsidRPr="001929B2">
        <w:t>Those issued by the CAO:</w:t>
      </w:r>
    </w:p>
    <w:p w14:paraId="69B37913" w14:textId="7AF58320" w:rsidR="00231F75" w:rsidRPr="001929B2" w:rsidRDefault="00F4688D" w:rsidP="00EC4AB5">
      <w:pPr>
        <w:keepNext/>
        <w:tabs>
          <w:tab w:val="left" w:pos="540"/>
          <w:tab w:val="left" w:pos="1080"/>
          <w:tab w:val="left" w:pos="1620"/>
          <w:tab w:val="left" w:pos="2160"/>
        </w:tabs>
        <w:spacing w:after="240"/>
      </w:pPr>
      <w:r w:rsidRPr="001929B2">
        <w:tab/>
      </w:r>
      <w:r w:rsidRPr="001929B2">
        <w:tab/>
      </w:r>
      <w:r w:rsidRPr="001929B2">
        <w:tab/>
      </w:r>
      <w:r w:rsidR="00707742" w:rsidRPr="001929B2">
        <w:t>C4</w:t>
      </w:r>
      <w:r w:rsidR="00DE1B17" w:rsidRPr="001929B2">
        <w:t>.10.</w:t>
      </w:r>
      <w:r w:rsidR="007C28C8" w:rsidRPr="001929B2">
        <w:t>2</w:t>
      </w:r>
      <w:r w:rsidR="00DE1B17" w:rsidRPr="001929B2">
        <w:t>.</w:t>
      </w:r>
      <w:r w:rsidR="00C176FB" w:rsidRPr="001929B2">
        <w:t>1.</w:t>
      </w:r>
      <w:r w:rsidR="00DE1B17" w:rsidRPr="001929B2">
        <w:t xml:space="preserve">1.  </w:t>
      </w:r>
      <w:r w:rsidR="001541B4" w:rsidRPr="001929B2">
        <w:t>The u</w:t>
      </w:r>
      <w:r w:rsidR="00C176FB" w:rsidRPr="001929B2">
        <w:t xml:space="preserve">nclosed </w:t>
      </w:r>
      <w:r w:rsidR="00671BAF" w:rsidRPr="001929B2">
        <w:t>c</w:t>
      </w:r>
      <w:r w:rsidR="00C176FB" w:rsidRPr="001929B2">
        <w:t xml:space="preserve">ontract </w:t>
      </w:r>
      <w:r w:rsidR="00671BAF" w:rsidRPr="001929B2">
        <w:t>s</w:t>
      </w:r>
      <w:r w:rsidR="00C176FB" w:rsidRPr="001929B2">
        <w:t xml:space="preserve">tatus </w:t>
      </w:r>
      <w:r w:rsidR="00204DCD" w:rsidRPr="001929B2">
        <w:t>(</w:t>
      </w:r>
      <w:r w:rsidR="00C176FB" w:rsidRPr="001929B2">
        <w:t>Code D</w:t>
      </w:r>
      <w:r w:rsidR="00204DCD" w:rsidRPr="001929B2">
        <w:t>)</w:t>
      </w:r>
      <w:r w:rsidR="001541B4" w:rsidRPr="001929B2">
        <w:t>;</w:t>
      </w:r>
    </w:p>
    <w:p w14:paraId="69B37914" w14:textId="77777777" w:rsidR="001541B4" w:rsidRPr="001929B2" w:rsidRDefault="00F4688D" w:rsidP="00DE1B17">
      <w:pPr>
        <w:tabs>
          <w:tab w:val="left" w:pos="540"/>
          <w:tab w:val="left" w:pos="1080"/>
          <w:tab w:val="left" w:pos="1620"/>
          <w:tab w:val="left" w:pos="2160"/>
        </w:tabs>
        <w:spacing w:after="240"/>
      </w:pPr>
      <w:r w:rsidRPr="001929B2">
        <w:tab/>
      </w:r>
      <w:r w:rsidRPr="001929B2">
        <w:tab/>
      </w:r>
      <w:r w:rsidRPr="001929B2">
        <w:tab/>
      </w:r>
      <w:r w:rsidR="00707742" w:rsidRPr="001929B2">
        <w:t>C4</w:t>
      </w:r>
      <w:r w:rsidR="00DE1B17" w:rsidRPr="001929B2">
        <w:t>.10.</w:t>
      </w:r>
      <w:r w:rsidR="007C28C8" w:rsidRPr="001929B2">
        <w:t>2</w:t>
      </w:r>
      <w:r w:rsidR="00DE1B17" w:rsidRPr="001929B2">
        <w:t>.</w:t>
      </w:r>
      <w:r w:rsidR="00C176FB" w:rsidRPr="001929B2">
        <w:t>1.</w:t>
      </w:r>
      <w:r w:rsidR="00DE1B17" w:rsidRPr="001929B2">
        <w:t xml:space="preserve">2.  </w:t>
      </w:r>
      <w:r w:rsidR="001541B4" w:rsidRPr="001929B2">
        <w:t>The final contract completion s</w:t>
      </w:r>
      <w:r w:rsidR="00C176FB" w:rsidRPr="001929B2">
        <w:t>tatement for a small purchase (C</w:t>
      </w:r>
      <w:r w:rsidR="001541B4" w:rsidRPr="001929B2">
        <w:t>ode A);</w:t>
      </w:r>
    </w:p>
    <w:p w14:paraId="69B37915" w14:textId="77777777" w:rsidR="001541B4" w:rsidRPr="001929B2" w:rsidRDefault="00F4688D" w:rsidP="00DE1B17">
      <w:pPr>
        <w:tabs>
          <w:tab w:val="left" w:pos="540"/>
          <w:tab w:val="left" w:pos="1080"/>
          <w:tab w:val="left" w:pos="1620"/>
          <w:tab w:val="left" w:pos="2160"/>
        </w:tabs>
        <w:spacing w:after="240"/>
      </w:pPr>
      <w:r w:rsidRPr="001929B2">
        <w:tab/>
      </w:r>
      <w:r w:rsidRPr="001929B2">
        <w:tab/>
      </w:r>
      <w:r w:rsidRPr="001929B2">
        <w:tab/>
      </w:r>
      <w:r w:rsidR="00707742" w:rsidRPr="001929B2">
        <w:t>C4</w:t>
      </w:r>
      <w:r w:rsidR="00DE1B17" w:rsidRPr="001929B2">
        <w:t>.10.</w:t>
      </w:r>
      <w:r w:rsidR="007C28C8" w:rsidRPr="001929B2">
        <w:t>2</w:t>
      </w:r>
      <w:r w:rsidR="00DE1B17" w:rsidRPr="001929B2">
        <w:t>.</w:t>
      </w:r>
      <w:r w:rsidR="00C176FB" w:rsidRPr="001929B2">
        <w:t>1.</w:t>
      </w:r>
      <w:r w:rsidR="00DE1B17" w:rsidRPr="001929B2">
        <w:t xml:space="preserve">3.  </w:t>
      </w:r>
      <w:r w:rsidR="001541B4" w:rsidRPr="001929B2">
        <w:t>The interim contract completion s</w:t>
      </w:r>
      <w:r w:rsidR="00C176FB" w:rsidRPr="001929B2">
        <w:t>tatement for a large purchase (C</w:t>
      </w:r>
      <w:r w:rsidR="001541B4" w:rsidRPr="001929B2">
        <w:t>ode B); and</w:t>
      </w:r>
    </w:p>
    <w:p w14:paraId="69B37916" w14:textId="77777777" w:rsidR="001541B4" w:rsidRPr="001929B2" w:rsidRDefault="00F4688D" w:rsidP="00DE1B17">
      <w:pPr>
        <w:tabs>
          <w:tab w:val="left" w:pos="540"/>
          <w:tab w:val="left" w:pos="1080"/>
          <w:tab w:val="left" w:pos="1620"/>
          <w:tab w:val="left" w:pos="2160"/>
        </w:tabs>
        <w:spacing w:after="240"/>
      </w:pPr>
      <w:r w:rsidRPr="001929B2">
        <w:tab/>
      </w:r>
      <w:r w:rsidRPr="001929B2">
        <w:tab/>
      </w:r>
      <w:r w:rsidRPr="001929B2">
        <w:tab/>
      </w:r>
      <w:r w:rsidR="00707742" w:rsidRPr="001929B2">
        <w:t>C4</w:t>
      </w:r>
      <w:r w:rsidR="00DE1B17" w:rsidRPr="001929B2">
        <w:t>.10.</w:t>
      </w:r>
      <w:r w:rsidR="007C28C8" w:rsidRPr="001929B2">
        <w:t>2</w:t>
      </w:r>
      <w:r w:rsidR="00DE1B17" w:rsidRPr="001929B2">
        <w:t>.</w:t>
      </w:r>
      <w:r w:rsidR="00C176FB" w:rsidRPr="001929B2">
        <w:t>1.</w:t>
      </w:r>
      <w:r w:rsidR="00DE1B17" w:rsidRPr="001929B2">
        <w:t xml:space="preserve">4.  </w:t>
      </w:r>
      <w:r w:rsidR="001541B4" w:rsidRPr="001929B2">
        <w:t>The final contract completion s</w:t>
      </w:r>
      <w:r w:rsidR="00C176FB" w:rsidRPr="001929B2">
        <w:t>tatement for a large purchase (C</w:t>
      </w:r>
      <w:r w:rsidR="001541B4" w:rsidRPr="001929B2">
        <w:t>ode C).</w:t>
      </w:r>
    </w:p>
    <w:p w14:paraId="69B37917" w14:textId="1A81216F" w:rsidR="001541B4" w:rsidRPr="001929B2" w:rsidRDefault="00F4688D" w:rsidP="00DE1B17">
      <w:pPr>
        <w:tabs>
          <w:tab w:val="left" w:pos="540"/>
          <w:tab w:val="left" w:pos="1080"/>
          <w:tab w:val="left" w:pos="1620"/>
          <w:tab w:val="left" w:pos="2160"/>
        </w:tabs>
        <w:spacing w:after="240"/>
      </w:pPr>
      <w:r w:rsidRPr="001929B2">
        <w:tab/>
      </w:r>
      <w:r w:rsidRPr="001929B2">
        <w:tab/>
      </w:r>
      <w:r w:rsidR="00707742" w:rsidRPr="001929B2">
        <w:t>C4</w:t>
      </w:r>
      <w:r w:rsidR="00DE1B17" w:rsidRPr="001929B2">
        <w:t>.10.</w:t>
      </w:r>
      <w:r w:rsidR="007C28C8" w:rsidRPr="001929B2">
        <w:t>2</w:t>
      </w:r>
      <w:r w:rsidR="00DE1B17" w:rsidRPr="001929B2">
        <w:t xml:space="preserve">.2.  </w:t>
      </w:r>
      <w:r w:rsidR="00481721" w:rsidRPr="001929B2">
        <w:rPr>
          <w:u w:val="single"/>
        </w:rPr>
        <w:t>PO Issuance</w:t>
      </w:r>
      <w:r w:rsidR="00481721" w:rsidRPr="001929B2">
        <w:t xml:space="preserve">.  </w:t>
      </w:r>
      <w:r w:rsidR="001541B4" w:rsidRPr="001929B2">
        <w:t xml:space="preserve">The </w:t>
      </w:r>
      <w:r w:rsidR="007C28C8" w:rsidRPr="001929B2">
        <w:t>transaction</w:t>
      </w:r>
      <w:r w:rsidR="001541B4" w:rsidRPr="001929B2">
        <w:t xml:space="preserve"> issued by the PO is the contract </w:t>
      </w:r>
      <w:r w:rsidR="00C176FB" w:rsidRPr="001929B2">
        <w:t>closeout extension (C</w:t>
      </w:r>
      <w:r w:rsidR="001541B4" w:rsidRPr="001929B2">
        <w:t>ode E)</w:t>
      </w:r>
    </w:p>
    <w:p w14:paraId="69B37918" w14:textId="2524A337" w:rsidR="007C28C8" w:rsidRPr="001929B2" w:rsidRDefault="007C28C8" w:rsidP="00DE1B17">
      <w:pPr>
        <w:tabs>
          <w:tab w:val="left" w:pos="540"/>
          <w:tab w:val="left" w:pos="1080"/>
          <w:tab w:val="left" w:pos="1620"/>
          <w:tab w:val="left" w:pos="2160"/>
        </w:tabs>
        <w:spacing w:after="240"/>
      </w:pPr>
      <w:r w:rsidRPr="001929B2">
        <w:tab/>
      </w:r>
      <w:r w:rsidRPr="001929B2">
        <w:tab/>
      </w:r>
      <w:r w:rsidR="00707742" w:rsidRPr="001929B2">
        <w:t>C4</w:t>
      </w:r>
      <w:r w:rsidRPr="001929B2">
        <w:t xml:space="preserve">.10.2.3.  </w:t>
      </w:r>
      <w:r w:rsidRPr="001929B2">
        <w:rPr>
          <w:u w:val="single"/>
        </w:rPr>
        <w:t>DFAS Issuance</w:t>
      </w:r>
      <w:r w:rsidR="00950D7D" w:rsidRPr="001929B2">
        <w:t xml:space="preserve">.  </w:t>
      </w:r>
      <w:r w:rsidRPr="001929B2">
        <w:t xml:space="preserve">The transaction issued by DFAS is the financial </w:t>
      </w:r>
      <w:r w:rsidR="00C176FB" w:rsidRPr="001929B2">
        <w:t>contract completion statement (C</w:t>
      </w:r>
      <w:r w:rsidRPr="001929B2">
        <w:t>ode F).</w:t>
      </w:r>
    </w:p>
    <w:p w14:paraId="61926489" w14:textId="04A90834" w:rsidR="00462454" w:rsidRPr="001929B2" w:rsidRDefault="00462454" w:rsidP="00462454">
      <w:pPr>
        <w:tabs>
          <w:tab w:val="left" w:pos="540"/>
          <w:tab w:val="left" w:pos="1080"/>
          <w:tab w:val="left" w:pos="1620"/>
          <w:tab w:val="left" w:pos="2160"/>
        </w:tabs>
        <w:spacing w:after="240"/>
      </w:pPr>
      <w:r w:rsidRPr="001929B2">
        <w:tab/>
      </w:r>
      <w:r w:rsidRPr="001929B2">
        <w:tab/>
        <w:t xml:space="preserve">C4.10.2.4.  </w:t>
      </w:r>
      <w:r w:rsidR="00114E83" w:rsidRPr="001929B2">
        <w:t>I</w:t>
      </w:r>
      <w:r w:rsidR="00114E83" w:rsidRPr="001929B2">
        <w:rPr>
          <w:u w:val="single"/>
        </w:rPr>
        <w:t>nvoicing, Receipt, Acceptance and Property Transfer (</w:t>
      </w:r>
      <w:r w:rsidRPr="001929B2">
        <w:rPr>
          <w:u w:val="single"/>
        </w:rPr>
        <w:t>iRAPT</w:t>
      </w:r>
      <w:r w:rsidR="00114E83" w:rsidRPr="001929B2">
        <w:rPr>
          <w:u w:val="single"/>
        </w:rPr>
        <w:t>)</w:t>
      </w:r>
      <w:r w:rsidRPr="001929B2">
        <w:t>.  The final contract completion statement for automated contract closeouts (Code G); and</w:t>
      </w:r>
    </w:p>
    <w:p w14:paraId="68DD058A" w14:textId="0996380C" w:rsidR="00462454" w:rsidRPr="001929B2" w:rsidRDefault="00462454" w:rsidP="00462454">
      <w:pPr>
        <w:tabs>
          <w:tab w:val="left" w:pos="540"/>
          <w:tab w:val="left" w:pos="1080"/>
          <w:tab w:val="left" w:pos="1620"/>
          <w:tab w:val="left" w:pos="2160"/>
        </w:tabs>
        <w:spacing w:after="240"/>
      </w:pPr>
      <w:r w:rsidRPr="001929B2">
        <w:tab/>
      </w:r>
      <w:r w:rsidRPr="001929B2">
        <w:tab/>
        <w:t xml:space="preserve">C4.10.2.5. </w:t>
      </w:r>
      <w:r w:rsidR="00950D7D" w:rsidRPr="001929B2">
        <w:t xml:space="preserve"> </w:t>
      </w:r>
      <w:r w:rsidRPr="001929B2">
        <w:rPr>
          <w:u w:val="single"/>
        </w:rPr>
        <w:t>Multiple Users</w:t>
      </w:r>
      <w:r w:rsidRPr="001929B2">
        <w:t>.  Final closeout for a cancelled contract (Code H).</w:t>
      </w:r>
    </w:p>
    <w:p w14:paraId="69B37919" w14:textId="77777777" w:rsidR="001541B4" w:rsidRPr="001929B2" w:rsidRDefault="00F4688D" w:rsidP="00DE1B17">
      <w:pPr>
        <w:tabs>
          <w:tab w:val="left" w:pos="540"/>
          <w:tab w:val="left" w:pos="1080"/>
          <w:tab w:val="left" w:pos="1620"/>
          <w:tab w:val="left" w:pos="2160"/>
        </w:tabs>
        <w:spacing w:after="240"/>
      </w:pPr>
      <w:r w:rsidRPr="001929B2">
        <w:tab/>
      </w:r>
      <w:r w:rsidR="00707742" w:rsidRPr="001929B2">
        <w:t>C4</w:t>
      </w:r>
      <w:r w:rsidR="00DE1B17" w:rsidRPr="001929B2">
        <w:t>.10.</w:t>
      </w:r>
      <w:r w:rsidR="00CB47C7" w:rsidRPr="001929B2">
        <w:t>3</w:t>
      </w:r>
      <w:r w:rsidR="00DE1B17" w:rsidRPr="001929B2">
        <w:t xml:space="preserve">.  </w:t>
      </w:r>
      <w:r w:rsidR="001541B4" w:rsidRPr="001929B2">
        <w:rPr>
          <w:u w:val="single"/>
        </w:rPr>
        <w:t>Name/Place Data</w:t>
      </w:r>
      <w:r w:rsidR="001541B4" w:rsidRPr="001929B2">
        <w:t>.  There are two N1 data segments for names and places.</w:t>
      </w:r>
    </w:p>
    <w:p w14:paraId="69B3791A" w14:textId="7A4A870B" w:rsidR="001541B4" w:rsidRPr="001929B2" w:rsidRDefault="00F4688D" w:rsidP="00DE1B17">
      <w:pPr>
        <w:tabs>
          <w:tab w:val="left" w:pos="540"/>
          <w:tab w:val="left" w:pos="1080"/>
          <w:tab w:val="left" w:pos="1620"/>
          <w:tab w:val="left" w:pos="2160"/>
        </w:tabs>
        <w:spacing w:after="240"/>
      </w:pPr>
      <w:r w:rsidRPr="001929B2">
        <w:tab/>
      </w:r>
      <w:r w:rsidRPr="001929B2">
        <w:tab/>
      </w:r>
      <w:r w:rsidR="00707742" w:rsidRPr="001929B2">
        <w:t>C4</w:t>
      </w:r>
      <w:r w:rsidR="00DE1B17" w:rsidRPr="001929B2">
        <w:t>.10.</w:t>
      </w:r>
      <w:r w:rsidR="00CB47C7" w:rsidRPr="001929B2">
        <w:rPr>
          <w:color w:val="000000"/>
        </w:rPr>
        <w:t>3</w:t>
      </w:r>
      <w:r w:rsidR="00DE1B17" w:rsidRPr="001929B2">
        <w:t xml:space="preserve">.1.  </w:t>
      </w:r>
      <w:r w:rsidR="005920DC" w:rsidRPr="001929B2">
        <w:rPr>
          <w:u w:val="single"/>
        </w:rPr>
        <w:t>To/From Code</w:t>
      </w:r>
      <w:r w:rsidR="005920DC" w:rsidRPr="001929B2">
        <w:t xml:space="preserve">.  </w:t>
      </w:r>
      <w:r w:rsidR="001541B4" w:rsidRPr="001929B2">
        <w:t xml:space="preserve">The 1/N1/030 segment precedes the 1/CS/050 loop, and with two iterations, carries the </w:t>
      </w:r>
      <w:r w:rsidR="00DD2ADB" w:rsidRPr="001929B2">
        <w:t>C</w:t>
      </w:r>
      <w:r w:rsidR="001541B4" w:rsidRPr="001929B2">
        <w:t xml:space="preserve">ode FR (from) and the </w:t>
      </w:r>
      <w:r w:rsidR="00DD2ADB" w:rsidRPr="001929B2">
        <w:t>C</w:t>
      </w:r>
      <w:r w:rsidR="001541B4" w:rsidRPr="001929B2">
        <w:t xml:space="preserve">ode TO (to); these will be the appropriate PO and CAO </w:t>
      </w:r>
      <w:r w:rsidR="00F14170" w:rsidRPr="001929B2">
        <w:t>that</w:t>
      </w:r>
      <w:r w:rsidR="001541B4" w:rsidRPr="001929B2">
        <w:t xml:space="preserve"> will be common to all records in a given transaction set.</w:t>
      </w:r>
      <w:r w:rsidR="00462454" w:rsidRPr="001929B2">
        <w:t xml:space="preserve">  DAAS/GEX will forward an image (copy) of all 567C contract closeout transactions to EDA regardless of the originating system or method of closeout.  Refer to ADC 1163.  See C4.11.8 for N1 segment addressing for automated contract closeout procedures.</w:t>
      </w:r>
    </w:p>
    <w:p w14:paraId="69B3791B" w14:textId="77777777" w:rsidR="001541B4" w:rsidRDefault="00F4688D" w:rsidP="00DE1B17">
      <w:pPr>
        <w:tabs>
          <w:tab w:val="left" w:pos="540"/>
          <w:tab w:val="left" w:pos="1080"/>
          <w:tab w:val="left" w:pos="1620"/>
          <w:tab w:val="left" w:pos="2160"/>
        </w:tabs>
        <w:spacing w:after="240"/>
      </w:pPr>
      <w:r>
        <w:tab/>
      </w:r>
      <w:r>
        <w:tab/>
      </w:r>
      <w:r w:rsidR="00707742">
        <w:t>C4</w:t>
      </w:r>
      <w:r w:rsidR="00DE1B17">
        <w:t>.10</w:t>
      </w:r>
      <w:r w:rsidR="00DE1B17" w:rsidRPr="005F2271">
        <w:t>.</w:t>
      </w:r>
      <w:r w:rsidR="00CB47C7" w:rsidRPr="00C176FB">
        <w:rPr>
          <w:color w:val="000000"/>
        </w:rPr>
        <w:t>3</w:t>
      </w:r>
      <w:r w:rsidR="00DE1B17" w:rsidRPr="00C176FB">
        <w:rPr>
          <w:color w:val="000000"/>
        </w:rPr>
        <w:t>.</w:t>
      </w:r>
      <w:r w:rsidR="00DE1B17" w:rsidRPr="005F2271">
        <w:t>2.</w:t>
      </w:r>
      <w:r w:rsidR="00DE1B17">
        <w:t xml:space="preserve">  </w:t>
      </w:r>
      <w:r w:rsidR="005920DC" w:rsidRPr="00F4688D">
        <w:rPr>
          <w:u w:val="single"/>
        </w:rPr>
        <w:t>Paying Office</w:t>
      </w:r>
      <w:r w:rsidR="005920DC">
        <w:t xml:space="preserve">.  </w:t>
      </w:r>
      <w:r w:rsidR="001541B4">
        <w:t>The 1/N1/120 segment in the 1/CS/050 loop will identify a paying office or a contractor when one applies to the record.</w:t>
      </w:r>
    </w:p>
    <w:p w14:paraId="69B3791C" w14:textId="77777777" w:rsidR="001541B4" w:rsidRDefault="00F4688D" w:rsidP="00DE1B17">
      <w:pPr>
        <w:tabs>
          <w:tab w:val="left" w:pos="540"/>
          <w:tab w:val="left" w:pos="1080"/>
          <w:tab w:val="left" w:pos="1620"/>
          <w:tab w:val="left" w:pos="2160"/>
        </w:tabs>
        <w:spacing w:after="240"/>
      </w:pPr>
      <w:r>
        <w:tab/>
      </w:r>
      <w:r>
        <w:tab/>
      </w:r>
      <w:r w:rsidR="00707742">
        <w:t>C4</w:t>
      </w:r>
      <w:r w:rsidR="00DE1B17">
        <w:t>.10</w:t>
      </w:r>
      <w:r w:rsidR="00DE1B17" w:rsidRPr="005F2271">
        <w:t>.</w:t>
      </w:r>
      <w:r w:rsidR="00CB47C7" w:rsidRPr="00C176FB">
        <w:rPr>
          <w:color w:val="000000"/>
        </w:rPr>
        <w:t>3</w:t>
      </w:r>
      <w:r w:rsidR="00DE1B17" w:rsidRPr="005F2271">
        <w:t>.3.</w:t>
      </w:r>
      <w:r w:rsidR="00DE1B17">
        <w:t xml:space="preserve">  </w:t>
      </w:r>
      <w:r w:rsidR="005920DC" w:rsidRPr="00F4688D">
        <w:rPr>
          <w:u w:val="single"/>
        </w:rPr>
        <w:t>Transaction Status Code</w:t>
      </w:r>
      <w:r w:rsidR="005920DC">
        <w:t xml:space="preserve">.  </w:t>
      </w:r>
      <w:r w:rsidR="001541B4">
        <w:t xml:space="preserve">Each applicable </w:t>
      </w:r>
      <w:r w:rsidR="00D752C0">
        <w:t>t</w:t>
      </w:r>
      <w:r w:rsidR="001541B4">
        <w:t xml:space="preserve">ransaction </w:t>
      </w:r>
      <w:r w:rsidR="00D752C0">
        <w:t>s</w:t>
      </w:r>
      <w:r w:rsidR="001541B4">
        <w:t xml:space="preserve">tatus </w:t>
      </w:r>
      <w:r w:rsidR="00F14170">
        <w:t>i</w:t>
      </w:r>
      <w:r w:rsidR="001541B4">
        <w:t>ndicator code is carried in an iteration of the 1/LQ/11</w:t>
      </w:r>
      <w:r w:rsidR="00C176FB">
        <w:t>0 data segment.  Only C</w:t>
      </w:r>
      <w:r w:rsidR="001541B4">
        <w:t>odes F, J, and K may be used in this transaction set.</w:t>
      </w:r>
    </w:p>
    <w:p w14:paraId="69B3791D" w14:textId="22CD9DEB" w:rsidR="001541B4" w:rsidRDefault="00F4688D" w:rsidP="00DE1B17">
      <w:pPr>
        <w:tabs>
          <w:tab w:val="left" w:pos="540"/>
          <w:tab w:val="left" w:pos="1080"/>
          <w:tab w:val="left" w:pos="1620"/>
          <w:tab w:val="left" w:pos="2160"/>
        </w:tabs>
        <w:spacing w:after="240"/>
      </w:pPr>
      <w:r>
        <w:tab/>
      </w:r>
      <w:r>
        <w:tab/>
      </w:r>
      <w:r w:rsidR="00707742">
        <w:t>C4</w:t>
      </w:r>
      <w:r w:rsidR="00DE1B17">
        <w:t>.10</w:t>
      </w:r>
      <w:r w:rsidR="00DE1B17" w:rsidRPr="005F2271">
        <w:t>.</w:t>
      </w:r>
      <w:r w:rsidR="00CB47C7" w:rsidRPr="00C176FB">
        <w:rPr>
          <w:color w:val="000000"/>
        </w:rPr>
        <w:t>3</w:t>
      </w:r>
      <w:r w:rsidR="00DE1B17" w:rsidRPr="005F2271">
        <w:t>.</w:t>
      </w:r>
      <w:r w:rsidR="00DE1B17">
        <w:t xml:space="preserve">4.  </w:t>
      </w:r>
      <w:r w:rsidR="005920DC" w:rsidRPr="00F4688D">
        <w:rPr>
          <w:u w:val="single"/>
        </w:rPr>
        <w:t>Cancellation Report</w:t>
      </w:r>
      <w:r w:rsidR="005920DC">
        <w:t xml:space="preserve">.  </w:t>
      </w:r>
      <w:r w:rsidR="001541B4">
        <w:t xml:space="preserve">A cancellation report is identified by the Transaction Status Indicator </w:t>
      </w:r>
      <w:r w:rsidR="00D752C0">
        <w:t>C</w:t>
      </w:r>
      <w:r w:rsidR="001541B4">
        <w:t xml:space="preserve">ode K in a 1/LQ/110 data segment.  A cancellation report must be sent at least </w:t>
      </w:r>
      <w:r w:rsidR="00F14170">
        <w:t>one</w:t>
      </w:r>
      <w:r w:rsidR="001541B4">
        <w:t xml:space="preserve"> </w:t>
      </w:r>
      <w:r w:rsidR="00C176FB">
        <w:t xml:space="preserve">calendar </w:t>
      </w:r>
      <w:r w:rsidR="001541B4">
        <w:t xml:space="preserve">day before its replacement report.  A cancellation report requires the To, the From, the </w:t>
      </w:r>
      <w:r w:rsidR="001929B2">
        <w:rPr>
          <w:b/>
          <w:i/>
        </w:rPr>
        <w:t xml:space="preserve">PIID and </w:t>
      </w:r>
      <w:r w:rsidR="001541B4">
        <w:t xml:space="preserve">the </w:t>
      </w:r>
      <w:r w:rsidR="001929B2">
        <w:rPr>
          <w:b/>
          <w:i/>
        </w:rPr>
        <w:t>Supplementary PIID</w:t>
      </w:r>
      <w:r w:rsidR="00AC1D66">
        <w:t xml:space="preserve"> </w:t>
      </w:r>
      <w:r w:rsidR="00F14170">
        <w:t>(</w:t>
      </w:r>
      <w:r w:rsidR="001541B4">
        <w:t>if applicable</w:t>
      </w:r>
      <w:r w:rsidR="00F14170">
        <w:t>)</w:t>
      </w:r>
      <w:r w:rsidR="001541B4">
        <w:t>, the code for the type transaction, and the cancellation code.</w:t>
      </w:r>
    </w:p>
    <w:p w14:paraId="03ADE5C3" w14:textId="77777777" w:rsidR="00462454" w:rsidRPr="001929B2" w:rsidRDefault="00462454" w:rsidP="00462454">
      <w:pPr>
        <w:tabs>
          <w:tab w:val="left" w:pos="540"/>
          <w:tab w:val="left" w:pos="1080"/>
          <w:tab w:val="left" w:pos="1620"/>
          <w:tab w:val="left" w:pos="2160"/>
        </w:tabs>
        <w:spacing w:after="240"/>
      </w:pPr>
      <w:r w:rsidRPr="001929B2">
        <w:t xml:space="preserve">C4.11.  </w:t>
      </w:r>
      <w:r w:rsidRPr="001929B2">
        <w:rPr>
          <w:u w:val="single"/>
        </w:rPr>
        <w:t>AUTOMATED CONTRACT CLOSEOUT</w:t>
      </w:r>
    </w:p>
    <w:p w14:paraId="41540CD5" w14:textId="7D14A4EC" w:rsidR="00462454" w:rsidRPr="001929B2" w:rsidRDefault="00462454" w:rsidP="00462454">
      <w:pPr>
        <w:tabs>
          <w:tab w:val="left" w:pos="540"/>
          <w:tab w:val="left" w:pos="1080"/>
          <w:tab w:val="left" w:pos="1620"/>
          <w:tab w:val="left" w:pos="2160"/>
        </w:tabs>
        <w:spacing w:after="240"/>
      </w:pPr>
      <w:r w:rsidRPr="001929B2">
        <w:tab/>
        <w:t xml:space="preserve">C4.11.1.  </w:t>
      </w:r>
      <w:r w:rsidRPr="001929B2">
        <w:rPr>
          <w:u w:val="single"/>
        </w:rPr>
        <w:t>Purpose</w:t>
      </w:r>
      <w:r w:rsidRPr="001929B2">
        <w:t>.  The Automated Contract Closeout is a systemic process in the Contract Closeout module accessible from the Wide Area Work Flow (WAWF) eBusiness Suite home screen for EDA users with an active ‘Upload/Inactive Contracts’ role.  This will apply where notifications are distributed using d</w:t>
      </w:r>
      <w:r w:rsidR="00C20383" w:rsidRPr="001929B2">
        <w:t xml:space="preserve">ata from WAWF eBusiness Suite, </w:t>
      </w:r>
      <w:r w:rsidRPr="001929B2">
        <w:t>iRAPT, EDA, and MyInvoice.</w:t>
      </w:r>
    </w:p>
    <w:p w14:paraId="507D1A8C" w14:textId="1C07FFF3" w:rsidR="00462454" w:rsidRPr="001929B2" w:rsidRDefault="00462454" w:rsidP="00462454">
      <w:pPr>
        <w:tabs>
          <w:tab w:val="left" w:pos="540"/>
          <w:tab w:val="left" w:pos="1080"/>
          <w:tab w:val="left" w:pos="1620"/>
          <w:tab w:val="left" w:pos="2160"/>
        </w:tabs>
        <w:spacing w:after="240"/>
      </w:pPr>
      <w:r w:rsidRPr="001929B2">
        <w:tab/>
        <w:t xml:space="preserve">C4.11.2.  </w:t>
      </w:r>
      <w:r w:rsidRPr="001929B2">
        <w:rPr>
          <w:u w:val="single"/>
        </w:rPr>
        <w:t>Authority</w:t>
      </w:r>
      <w:r w:rsidRPr="001929B2">
        <w:t>.  As permitted by FAR 4.804-5(a) and DFARS 204.804-3, automated contract closeout allows a system to initiate and execute the closeout action.</w:t>
      </w:r>
    </w:p>
    <w:p w14:paraId="6A705E86" w14:textId="0F17D4CB" w:rsidR="00462454" w:rsidRPr="001929B2" w:rsidRDefault="00462454" w:rsidP="00462454">
      <w:pPr>
        <w:tabs>
          <w:tab w:val="left" w:pos="540"/>
          <w:tab w:val="left" w:pos="1080"/>
          <w:tab w:val="left" w:pos="1620"/>
          <w:tab w:val="left" w:pos="2160"/>
        </w:tabs>
        <w:spacing w:after="240"/>
      </w:pPr>
      <w:r w:rsidRPr="001929B2">
        <w:tab/>
        <w:t xml:space="preserve">C4.11.3.  </w:t>
      </w:r>
      <w:r w:rsidRPr="001929B2">
        <w:rPr>
          <w:u w:val="single"/>
        </w:rPr>
        <w:t>Eligibility Requirements</w:t>
      </w:r>
      <w:r w:rsidRPr="001929B2">
        <w:t>.</w:t>
      </w:r>
      <w:r w:rsidRPr="001929B2">
        <w:rPr>
          <w:vertAlign w:val="superscript"/>
        </w:rPr>
        <w:footnoteReference w:id="3"/>
      </w:r>
      <w:r w:rsidRPr="001929B2">
        <w:t xml:space="preserve">  Contracts to be closed must not be administered by the Defense Contract Management Agency (DCMA) unless the “Admin By DoDAAC” matches a DoDAAC on an exception list.   A new Contracting Officer role will be created within the Automated Contract Closeout module to enable contracts to be placed on hold.  Under the Authority identified in C4.11.2, contracts qualify for the automated closeout process if the contract meets the following requirements:</w:t>
      </w:r>
    </w:p>
    <w:p w14:paraId="73E72992" w14:textId="51F2CDB7" w:rsidR="00462454" w:rsidRPr="001929B2" w:rsidRDefault="00462454" w:rsidP="00462454">
      <w:pPr>
        <w:tabs>
          <w:tab w:val="left" w:pos="540"/>
          <w:tab w:val="left" w:pos="1080"/>
          <w:tab w:val="left" w:pos="1620"/>
          <w:tab w:val="left" w:pos="2160"/>
        </w:tabs>
        <w:spacing w:after="240"/>
      </w:pPr>
      <w:r w:rsidRPr="001929B2">
        <w:tab/>
      </w:r>
      <w:r w:rsidRPr="001929B2">
        <w:tab/>
        <w:t xml:space="preserve">C4.11.3.1.  Identified in the Procurement Data Standards (PDS) extensible markup language (XML) data as firm-fixed priced, </w:t>
      </w:r>
    </w:p>
    <w:p w14:paraId="0632BFA7" w14:textId="7F653B18" w:rsidR="00462454" w:rsidRPr="001929B2" w:rsidRDefault="00462454" w:rsidP="00462454">
      <w:pPr>
        <w:tabs>
          <w:tab w:val="left" w:pos="540"/>
          <w:tab w:val="left" w:pos="1080"/>
          <w:tab w:val="left" w:pos="1620"/>
          <w:tab w:val="left" w:pos="2160"/>
        </w:tabs>
        <w:spacing w:after="240"/>
      </w:pPr>
      <w:r w:rsidRPr="001929B2">
        <w:tab/>
      </w:r>
      <w:r w:rsidRPr="001929B2">
        <w:tab/>
        <w:t xml:space="preserve">C4.11.3.2.  Does not exceed a total contract value of $500,000 (inclusive of exercised options), </w:t>
      </w:r>
    </w:p>
    <w:p w14:paraId="63EF15A6" w14:textId="2FF12D8D" w:rsidR="00462454" w:rsidRPr="001929B2" w:rsidRDefault="00462454" w:rsidP="00462454">
      <w:pPr>
        <w:tabs>
          <w:tab w:val="left" w:pos="540"/>
          <w:tab w:val="left" w:pos="1080"/>
          <w:tab w:val="left" w:pos="1620"/>
          <w:tab w:val="left" w:pos="2160"/>
        </w:tabs>
        <w:spacing w:after="240"/>
      </w:pPr>
      <w:r w:rsidRPr="001929B2">
        <w:tab/>
      </w:r>
      <w:r w:rsidRPr="001929B2">
        <w:tab/>
        <w:t xml:space="preserve">C4.11.3.3.  Does </w:t>
      </w:r>
      <w:r w:rsidRPr="001929B2">
        <w:rPr>
          <w:u w:val="single"/>
        </w:rPr>
        <w:t>not</w:t>
      </w:r>
      <w:r w:rsidRPr="001929B2">
        <w:t xml:space="preserve"> have a hold on the contract placed by the Contracting Officer, and </w:t>
      </w:r>
    </w:p>
    <w:p w14:paraId="661E730B" w14:textId="43F48160" w:rsidR="00462454" w:rsidRPr="001929B2" w:rsidRDefault="00462454" w:rsidP="00462454">
      <w:pPr>
        <w:tabs>
          <w:tab w:val="left" w:pos="540"/>
          <w:tab w:val="left" w:pos="1080"/>
          <w:tab w:val="left" w:pos="1620"/>
          <w:tab w:val="left" w:pos="2160"/>
        </w:tabs>
        <w:spacing w:after="240"/>
      </w:pPr>
      <w:r w:rsidRPr="001929B2">
        <w:tab/>
      </w:r>
      <w:r w:rsidRPr="001929B2">
        <w:tab/>
        <w:t xml:space="preserve">C4.11.3.4.  Does not contain any of the following clauses requiring administrative action at closeout: </w:t>
      </w:r>
    </w:p>
    <w:p w14:paraId="393062DC"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FAR 52.211-11 Liquidated Damages—Supplies, Services, or Research and Development.</w:t>
      </w:r>
    </w:p>
    <w:p w14:paraId="104D610D"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FAR 52.216-7 Allowable Cost and Payment.</w:t>
      </w:r>
    </w:p>
    <w:p w14:paraId="0390DC02"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FAR 52.227-9 Refund of Royalties.</w:t>
      </w:r>
    </w:p>
    <w:p w14:paraId="6754F99D"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FAR 52.227-11 Patent Rights—Ownership by the Contractor.</w:t>
      </w:r>
    </w:p>
    <w:p w14:paraId="41F8E16A"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FAR 52.227-13 Patent Rights—Ownership by the Government.</w:t>
      </w:r>
    </w:p>
    <w:p w14:paraId="03EC7022"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FAR 52.232-16 Progress Payments.</w:t>
      </w:r>
    </w:p>
    <w:p w14:paraId="20968CEA"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FAR 52.232-29 Terms for Financing of Purchases of Commercial Items.</w:t>
      </w:r>
    </w:p>
    <w:p w14:paraId="4AA8A833"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FAR 52.232-30 Installment Payments for Commercial Items.</w:t>
      </w:r>
    </w:p>
    <w:p w14:paraId="43499966"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FAR 52.232-32 Performance-Based Payments.</w:t>
      </w:r>
    </w:p>
    <w:p w14:paraId="798EB4F8"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FAR 52.245-1 Government Property.</w:t>
      </w:r>
    </w:p>
    <w:p w14:paraId="72C182E7"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FAR 52.248-1 Value Engineering.</w:t>
      </w:r>
    </w:p>
    <w:p w14:paraId="04C7DF05" w14:textId="1ED49481" w:rsidR="00462454" w:rsidRPr="001929B2" w:rsidRDefault="00462454" w:rsidP="00462454">
      <w:pPr>
        <w:tabs>
          <w:tab w:val="left" w:pos="540"/>
          <w:tab w:val="left" w:pos="1080"/>
          <w:tab w:val="left" w:pos="1620"/>
          <w:tab w:val="left" w:pos="2160"/>
        </w:tabs>
        <w:spacing w:after="240"/>
      </w:pPr>
      <w:r w:rsidRPr="001929B2">
        <w:tab/>
      </w:r>
      <w:r w:rsidRPr="001929B2">
        <w:tab/>
        <w:t xml:space="preserve">C4.11.3.5.  Use of PDS data from EDA enables review of applicable clauses, which is then coupled with evidence of submission from iRAPT and payment of the final invoice in MyInvoice  </w:t>
      </w:r>
    </w:p>
    <w:p w14:paraId="02C3631D" w14:textId="4C23F43B" w:rsidR="00462454" w:rsidRPr="001929B2" w:rsidRDefault="00462454" w:rsidP="00462454">
      <w:pPr>
        <w:tabs>
          <w:tab w:val="left" w:pos="540"/>
          <w:tab w:val="left" w:pos="1080"/>
          <w:tab w:val="left" w:pos="1620"/>
          <w:tab w:val="left" w:pos="2160"/>
        </w:tabs>
        <w:spacing w:after="240"/>
      </w:pPr>
      <w:r w:rsidRPr="001929B2">
        <w:tab/>
      </w:r>
      <w:r w:rsidRPr="001929B2">
        <w:tab/>
        <w:t>C4.11.3.6.  The following conditions are necessary for automated closeout using this capability:</w:t>
      </w:r>
    </w:p>
    <w:p w14:paraId="1CBE0E07"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Contract must utilize WAWF for deliveries and payments.</w:t>
      </w:r>
    </w:p>
    <w:p w14:paraId="422CE8C1"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Contract must be available in EDA as PDS.</w:t>
      </w:r>
    </w:p>
    <w:p w14:paraId="4FEA0629" w14:textId="77777777" w:rsidR="00462454" w:rsidRPr="001929B2" w:rsidRDefault="00462454" w:rsidP="00462454">
      <w:pPr>
        <w:numPr>
          <w:ilvl w:val="0"/>
          <w:numId w:val="7"/>
        </w:numPr>
        <w:tabs>
          <w:tab w:val="left" w:pos="540"/>
          <w:tab w:val="left" w:pos="1080"/>
          <w:tab w:val="left" w:pos="1620"/>
          <w:tab w:val="left" w:pos="2160"/>
        </w:tabs>
        <w:spacing w:after="240"/>
      </w:pPr>
      <w:r w:rsidRPr="001929B2">
        <w:t>Entitlement systems must feed WAWF invoice status.</w:t>
      </w:r>
    </w:p>
    <w:p w14:paraId="5FFB28C3" w14:textId="1A5D508E" w:rsidR="00462454" w:rsidRPr="001929B2" w:rsidRDefault="00462454" w:rsidP="00462454">
      <w:pPr>
        <w:tabs>
          <w:tab w:val="left" w:pos="540"/>
          <w:tab w:val="left" w:pos="1080"/>
          <w:tab w:val="left" w:pos="1620"/>
          <w:tab w:val="left" w:pos="2160"/>
        </w:tabs>
        <w:spacing w:after="240"/>
      </w:pPr>
      <w:r w:rsidRPr="001929B2">
        <w:tab/>
        <w:t xml:space="preserve">C4.11.4.  </w:t>
      </w:r>
      <w:r w:rsidRPr="001929B2">
        <w:rPr>
          <w:u w:val="single"/>
        </w:rPr>
        <w:t>Initiation of Automated Contract Closeout</w:t>
      </w:r>
      <w:r w:rsidRPr="001929B2">
        <w:t xml:space="preserve">.  If the eligibility requirements are met, automated contract closeout can be initiated once deliveries are complete and the final invoice is paid. </w:t>
      </w:r>
    </w:p>
    <w:p w14:paraId="4157A0D3" w14:textId="6E011699" w:rsidR="00462454" w:rsidRPr="001929B2" w:rsidRDefault="00462454" w:rsidP="00462454">
      <w:pPr>
        <w:tabs>
          <w:tab w:val="left" w:pos="540"/>
          <w:tab w:val="left" w:pos="1080"/>
          <w:tab w:val="left" w:pos="1620"/>
          <w:tab w:val="left" w:pos="2160"/>
        </w:tabs>
        <w:spacing w:after="240"/>
      </w:pPr>
      <w:r w:rsidRPr="001929B2">
        <w:tab/>
      </w:r>
      <w:r w:rsidRPr="001929B2">
        <w:tab/>
        <w:t xml:space="preserve">C4.11.4.1.  A 60-day parameterized window will be established once deliveries are complete and the final invoice is paid.  </w:t>
      </w:r>
    </w:p>
    <w:p w14:paraId="59C18C47" w14:textId="3ACCD7B4" w:rsidR="00462454" w:rsidRPr="001929B2" w:rsidRDefault="00462454" w:rsidP="00462454">
      <w:pPr>
        <w:tabs>
          <w:tab w:val="left" w:pos="540"/>
          <w:tab w:val="left" w:pos="1080"/>
          <w:tab w:val="left" w:pos="1620"/>
          <w:tab w:val="left" w:pos="2160"/>
        </w:tabs>
        <w:spacing w:after="240"/>
      </w:pPr>
      <w:r w:rsidRPr="001929B2">
        <w:tab/>
      </w:r>
      <w:r w:rsidRPr="001929B2">
        <w:tab/>
        <w:t>C4.11.4.2.  If a document is received during the 60-day window, a new 60-day window will be set based on the following:</w:t>
      </w:r>
    </w:p>
    <w:p w14:paraId="712F6086" w14:textId="5F7BF26D" w:rsidR="00462454" w:rsidRPr="001929B2" w:rsidRDefault="00462454" w:rsidP="00462454">
      <w:pPr>
        <w:tabs>
          <w:tab w:val="left" w:pos="540"/>
          <w:tab w:val="left" w:pos="1080"/>
          <w:tab w:val="left" w:pos="1620"/>
          <w:tab w:val="left" w:pos="2160"/>
        </w:tabs>
        <w:spacing w:after="240"/>
      </w:pPr>
      <w:r w:rsidRPr="001929B2">
        <w:tab/>
      </w:r>
      <w:r w:rsidRPr="001929B2">
        <w:tab/>
      </w:r>
      <w:r w:rsidRPr="001929B2">
        <w:tab/>
        <w:t>C4.11.4.2.1.  If a new shipment document is received, the new window will start upon that document becoming “processed” in WAWF.</w:t>
      </w:r>
    </w:p>
    <w:p w14:paraId="4196E1A0" w14:textId="311017DD" w:rsidR="00462454" w:rsidRPr="001929B2" w:rsidRDefault="00462454" w:rsidP="00462454">
      <w:pPr>
        <w:tabs>
          <w:tab w:val="left" w:pos="540"/>
          <w:tab w:val="left" w:pos="1080"/>
          <w:tab w:val="left" w:pos="1620"/>
          <w:tab w:val="left" w:pos="2160"/>
        </w:tabs>
        <w:spacing w:after="240"/>
      </w:pPr>
      <w:r w:rsidRPr="001929B2">
        <w:tab/>
      </w:r>
      <w:r w:rsidRPr="001929B2">
        <w:tab/>
      </w:r>
      <w:r w:rsidRPr="001929B2">
        <w:tab/>
        <w:t>C4.11.4.2.2.  If a new invoice is received, the new window will start upon receipt of the MyInvoice transaction reflecting “paid.”</w:t>
      </w:r>
    </w:p>
    <w:p w14:paraId="545A9502" w14:textId="51705213" w:rsidR="00462454" w:rsidRPr="001929B2" w:rsidRDefault="00462454" w:rsidP="00462454">
      <w:pPr>
        <w:tabs>
          <w:tab w:val="left" w:pos="540"/>
          <w:tab w:val="left" w:pos="1080"/>
          <w:tab w:val="left" w:pos="1620"/>
          <w:tab w:val="left" w:pos="2160"/>
        </w:tabs>
        <w:spacing w:after="240"/>
      </w:pPr>
      <w:r w:rsidRPr="001929B2">
        <w:tab/>
      </w:r>
      <w:r w:rsidRPr="001929B2">
        <w:tab/>
        <w:t>C4.11.4.3.  At the end of the final 60-day window, the DLMS 567C will be released to EDA via the GEX.</w:t>
      </w:r>
    </w:p>
    <w:p w14:paraId="32135E6B" w14:textId="5D09861B" w:rsidR="00462454" w:rsidRPr="001929B2" w:rsidRDefault="00462454" w:rsidP="00462454">
      <w:pPr>
        <w:tabs>
          <w:tab w:val="left" w:pos="540"/>
          <w:tab w:val="left" w:pos="1080"/>
          <w:tab w:val="left" w:pos="1620"/>
          <w:tab w:val="left" w:pos="2160"/>
        </w:tabs>
        <w:spacing w:after="240"/>
      </w:pPr>
      <w:r w:rsidRPr="001929B2">
        <w:tab/>
        <w:t xml:space="preserve">C4.11.5.  </w:t>
      </w:r>
      <w:r w:rsidRPr="001929B2">
        <w:rPr>
          <w:u w:val="single"/>
        </w:rPr>
        <w:t>Authority and Eligibility Statement</w:t>
      </w:r>
      <w:r w:rsidRPr="001929B2">
        <w:t>.  The automated contract closeout transactions statement of authority and eligibility for initiation of the automated contract closeout cited in C4.11.2 and C4.11.4 will be included by reference in the automated contract closeout transaction when using 1/BC07/020, code CL – Closed.</w:t>
      </w:r>
    </w:p>
    <w:p w14:paraId="2C1A0FE8" w14:textId="516AA687" w:rsidR="00462454" w:rsidRPr="001929B2" w:rsidRDefault="00462454" w:rsidP="00462454">
      <w:pPr>
        <w:tabs>
          <w:tab w:val="left" w:pos="540"/>
          <w:tab w:val="left" w:pos="1080"/>
          <w:tab w:val="left" w:pos="1620"/>
          <w:tab w:val="left" w:pos="2160"/>
        </w:tabs>
        <w:spacing w:after="240"/>
      </w:pPr>
      <w:r w:rsidRPr="001929B2">
        <w:tab/>
        <w:t xml:space="preserve">C4.11.6.  </w:t>
      </w:r>
      <w:r w:rsidRPr="001929B2">
        <w:rPr>
          <w:u w:val="single"/>
        </w:rPr>
        <w:t>Generating Updates to Automated Contract Closeout</w:t>
      </w:r>
      <w:r w:rsidRPr="001929B2">
        <w:t xml:space="preserve">  </w:t>
      </w:r>
    </w:p>
    <w:p w14:paraId="7EE0F35F" w14:textId="65AE44A8" w:rsidR="00462454" w:rsidRPr="001929B2" w:rsidRDefault="00462454" w:rsidP="00462454">
      <w:pPr>
        <w:tabs>
          <w:tab w:val="left" w:pos="540"/>
          <w:tab w:val="left" w:pos="1080"/>
          <w:tab w:val="left" w:pos="1620"/>
          <w:tab w:val="left" w:pos="2160"/>
        </w:tabs>
        <w:spacing w:after="240"/>
      </w:pPr>
      <w:r w:rsidRPr="001929B2">
        <w:tab/>
      </w:r>
      <w:r w:rsidRPr="001929B2">
        <w:tab/>
        <w:t>C4.11.6.1.  If additional documents are received after the transmission of the Automated Contract Closeout to EDA, a new 60-day parameterized window to monitor for additional transactions that would impact the closeout will be established based upon the following criteria:</w:t>
      </w:r>
    </w:p>
    <w:p w14:paraId="16E57747" w14:textId="698CC0F0" w:rsidR="00462454" w:rsidRPr="001929B2" w:rsidRDefault="00462454" w:rsidP="00462454">
      <w:pPr>
        <w:tabs>
          <w:tab w:val="left" w:pos="540"/>
          <w:tab w:val="left" w:pos="1080"/>
          <w:tab w:val="left" w:pos="1620"/>
          <w:tab w:val="left" w:pos="2160"/>
        </w:tabs>
        <w:spacing w:after="240"/>
      </w:pPr>
      <w:r w:rsidRPr="001929B2">
        <w:tab/>
      </w:r>
      <w:r w:rsidRPr="001929B2">
        <w:tab/>
      </w:r>
      <w:r w:rsidRPr="001929B2">
        <w:tab/>
        <w:t>C4.11.6.1.1.  If a new shipment document is received, the new window will start upon that document becoming “processed” in WAWF.</w:t>
      </w:r>
    </w:p>
    <w:p w14:paraId="7C1DAAB1" w14:textId="57D2A435" w:rsidR="00462454" w:rsidRPr="001929B2" w:rsidRDefault="00462454" w:rsidP="00462454">
      <w:pPr>
        <w:tabs>
          <w:tab w:val="left" w:pos="540"/>
          <w:tab w:val="left" w:pos="1080"/>
          <w:tab w:val="left" w:pos="1620"/>
          <w:tab w:val="left" w:pos="2160"/>
        </w:tabs>
        <w:spacing w:after="240"/>
      </w:pPr>
      <w:r w:rsidRPr="001929B2">
        <w:tab/>
      </w:r>
      <w:r w:rsidRPr="001929B2">
        <w:tab/>
      </w:r>
      <w:r w:rsidRPr="001929B2">
        <w:tab/>
        <w:t>C4.11.6.1.2.  If a new invoice is received, the new window will start upon receipt of the MyInvoice transaction reflecting “paid.”</w:t>
      </w:r>
    </w:p>
    <w:p w14:paraId="192A4895" w14:textId="46F26A1B" w:rsidR="00462454" w:rsidRPr="001929B2" w:rsidRDefault="00462454" w:rsidP="00462454">
      <w:pPr>
        <w:tabs>
          <w:tab w:val="left" w:pos="540"/>
          <w:tab w:val="left" w:pos="1080"/>
          <w:tab w:val="left" w:pos="1620"/>
          <w:tab w:val="left" w:pos="2160"/>
        </w:tabs>
        <w:spacing w:after="240"/>
      </w:pPr>
      <w:r w:rsidRPr="001929B2">
        <w:tab/>
      </w:r>
      <w:r w:rsidRPr="001929B2">
        <w:tab/>
        <w:t xml:space="preserve">C4.11.6.2.  Simultaneous with establishment of a new parameterized window, iRAPT will generate a DLMS 567C Cancellation of a previously submitted automated contract closeout action.  This will be identified by 1/BC07/020 Code 2 (Change (Update)), 1/CS05/050 Code G (Final contract completion statement for contract closeouts) and 1/LQ02/110 Code K ( Cancellation).  This will notify EDA that additional documents were received and a new 60-day parameterized window is started.  This ensures that the contract is not open in one system and closed in another system.  </w:t>
      </w:r>
    </w:p>
    <w:p w14:paraId="062F2E69" w14:textId="5CDD7A61" w:rsidR="00462454" w:rsidRPr="001929B2" w:rsidRDefault="00462454" w:rsidP="00462454">
      <w:pPr>
        <w:tabs>
          <w:tab w:val="left" w:pos="540"/>
          <w:tab w:val="left" w:pos="1080"/>
          <w:tab w:val="left" w:pos="1620"/>
          <w:tab w:val="left" w:pos="2160"/>
        </w:tabs>
        <w:spacing w:after="240"/>
      </w:pPr>
      <w:r w:rsidRPr="001929B2">
        <w:tab/>
      </w:r>
      <w:r w:rsidRPr="001929B2">
        <w:tab/>
        <w:t>C4.11.6.3.  At the end of the 60-day period, an updated DLMS 567C will be released to EDA via the GEX.  The beginning segment will contain the Action Code 2 to indicate that the transaction is an updated automated contract closeout.</w:t>
      </w:r>
    </w:p>
    <w:p w14:paraId="5B14210C" w14:textId="37ACBCA5" w:rsidR="00462454" w:rsidRPr="001929B2" w:rsidRDefault="00462454" w:rsidP="001929B2">
      <w:pPr>
        <w:tabs>
          <w:tab w:val="left" w:pos="540"/>
          <w:tab w:val="left" w:pos="1080"/>
          <w:tab w:val="left" w:pos="1620"/>
          <w:tab w:val="left" w:pos="2160"/>
        </w:tabs>
        <w:spacing w:after="240"/>
      </w:pPr>
      <w:r w:rsidRPr="001929B2">
        <w:tab/>
        <w:t xml:space="preserve">C4.11.7.  </w:t>
      </w:r>
      <w:r w:rsidRPr="001929B2">
        <w:rPr>
          <w:u w:val="single"/>
        </w:rPr>
        <w:t xml:space="preserve">Name/Place Data for Automated Contract Closeout </w:t>
      </w:r>
    </w:p>
    <w:p w14:paraId="2E44BE53" w14:textId="569C0978" w:rsidR="00462454" w:rsidRPr="001929B2" w:rsidRDefault="00462454" w:rsidP="001929B2">
      <w:pPr>
        <w:tabs>
          <w:tab w:val="left" w:pos="540"/>
          <w:tab w:val="left" w:pos="1080"/>
          <w:tab w:val="left" w:pos="1620"/>
          <w:tab w:val="left" w:pos="2160"/>
        </w:tabs>
        <w:spacing w:after="240"/>
      </w:pPr>
      <w:r w:rsidRPr="001929B2">
        <w:tab/>
      </w:r>
      <w:r w:rsidRPr="001929B2">
        <w:tab/>
        <w:t>C4.11.7.1.  To/From code.</w:t>
      </w:r>
      <w:r w:rsidRPr="001929B2">
        <w:rPr>
          <w:vertAlign w:val="superscript"/>
        </w:rPr>
        <w:footnoteReference w:id="4"/>
      </w:r>
      <w:r w:rsidRPr="001929B2">
        <w:t xml:space="preserve">  The automated contract closeout notices will be distributed electronically using the DLMS 567C transaction set to EDA and applicable Agency Accounting Identifiers (AAI) </w:t>
      </w:r>
    </w:p>
    <w:p w14:paraId="1E463E63" w14:textId="752AAE11" w:rsidR="00462454" w:rsidRPr="001929B2" w:rsidRDefault="00462454" w:rsidP="001929B2">
      <w:pPr>
        <w:tabs>
          <w:tab w:val="left" w:pos="540"/>
          <w:tab w:val="left" w:pos="1080"/>
          <w:tab w:val="left" w:pos="1620"/>
          <w:tab w:val="left" w:pos="2160"/>
        </w:tabs>
        <w:spacing w:after="240"/>
      </w:pPr>
      <w:r w:rsidRPr="001929B2">
        <w:tab/>
      </w:r>
      <w:r w:rsidRPr="001929B2">
        <w:tab/>
        <w:t xml:space="preserve">C4.11.7.2.  The 1/N1/030 segment precedes the 1/C/050 loop, and with two iterations, carries the Code FR (from) and the Code TO (to); this will be WAWF-iRAPT in the FR and the AAI in the TO.  </w:t>
      </w:r>
    </w:p>
    <w:p w14:paraId="07D41357" w14:textId="0164C6CE" w:rsidR="00462454" w:rsidRPr="001929B2" w:rsidRDefault="00462454" w:rsidP="001929B2">
      <w:pPr>
        <w:tabs>
          <w:tab w:val="left" w:pos="540"/>
          <w:tab w:val="left" w:pos="1080"/>
          <w:tab w:val="left" w:pos="1620"/>
          <w:tab w:val="left" w:pos="2160"/>
        </w:tabs>
        <w:spacing w:after="240"/>
      </w:pPr>
      <w:r w:rsidRPr="001929B2">
        <w:tab/>
      </w:r>
      <w:r w:rsidRPr="001929B2">
        <w:tab/>
        <w:t xml:space="preserve">C4.11.7.3.  Use the appropriate qualifier in N101 and N103 to identify WAWF-iRAPT, EDA, and the AAI. </w:t>
      </w:r>
    </w:p>
    <w:p w14:paraId="6DF6ACFF" w14:textId="77777777" w:rsidR="00462454" w:rsidRPr="001929B2" w:rsidRDefault="00462454" w:rsidP="001929B2">
      <w:pPr>
        <w:tabs>
          <w:tab w:val="left" w:pos="540"/>
          <w:tab w:val="left" w:pos="1080"/>
          <w:tab w:val="left" w:pos="1620"/>
          <w:tab w:val="left" w:pos="2160"/>
        </w:tabs>
        <w:spacing w:after="240"/>
      </w:pPr>
      <w:r w:rsidRPr="001929B2">
        <w:tab/>
      </w:r>
      <w:r w:rsidRPr="001929B2">
        <w:tab/>
      </w:r>
      <w:r w:rsidRPr="001929B2">
        <w:tab/>
        <w:t>C4.11.7.3.1.  To identify WAWF-iRAPT, use N101/RGA and N103/93.</w:t>
      </w:r>
    </w:p>
    <w:p w14:paraId="2B579BEA" w14:textId="77777777" w:rsidR="00462454" w:rsidRPr="001929B2" w:rsidRDefault="00462454" w:rsidP="001929B2">
      <w:pPr>
        <w:tabs>
          <w:tab w:val="left" w:pos="540"/>
          <w:tab w:val="left" w:pos="1080"/>
          <w:tab w:val="left" w:pos="1620"/>
          <w:tab w:val="left" w:pos="2160"/>
        </w:tabs>
        <w:spacing w:after="240"/>
      </w:pPr>
      <w:r w:rsidRPr="001929B2">
        <w:tab/>
      </w:r>
      <w:r w:rsidRPr="001929B2">
        <w:tab/>
      </w:r>
      <w:r w:rsidRPr="001929B2">
        <w:tab/>
        <w:t xml:space="preserve">C4.11.7.3.2.  To identify the AAI, use N101/CW and N103/PI. </w:t>
      </w:r>
    </w:p>
    <w:p w14:paraId="5B051B6D" w14:textId="77777777" w:rsidR="00462454" w:rsidRPr="001929B2" w:rsidRDefault="00462454" w:rsidP="00462454">
      <w:pPr>
        <w:tabs>
          <w:tab w:val="left" w:pos="540"/>
          <w:tab w:val="left" w:pos="1080"/>
          <w:tab w:val="left" w:pos="1620"/>
          <w:tab w:val="left" w:pos="2160"/>
        </w:tabs>
        <w:spacing w:after="240"/>
      </w:pPr>
      <w:r w:rsidRPr="001929B2">
        <w:tab/>
      </w:r>
      <w:r w:rsidRPr="001929B2">
        <w:tab/>
      </w:r>
      <w:r w:rsidRPr="001929B2">
        <w:tab/>
        <w:t>C4.11.7.3.3.  To identify EDA, use N101/EM and N103/94</w:t>
      </w:r>
    </w:p>
    <w:p w14:paraId="6DFA0002" w14:textId="5991FD32" w:rsidR="00462454" w:rsidRPr="001929B2" w:rsidRDefault="00462454" w:rsidP="00462454">
      <w:pPr>
        <w:tabs>
          <w:tab w:val="left" w:pos="540"/>
          <w:tab w:val="left" w:pos="1080"/>
          <w:tab w:val="left" w:pos="1620"/>
          <w:tab w:val="left" w:pos="2160"/>
        </w:tabs>
        <w:spacing w:after="240"/>
      </w:pPr>
      <w:r w:rsidRPr="001929B2">
        <w:tab/>
      </w:r>
      <w:r w:rsidRPr="001929B2">
        <w:tab/>
        <w:t>C4.11.7.4.  DAAS/GEX will forward an image (copy) of all 567C contract closeout transactions to EDA regardless of the originating system or method of closeout.</w:t>
      </w:r>
      <w:r w:rsidR="00114E83" w:rsidRPr="001929B2">
        <w:rPr>
          <w:rStyle w:val="FootnoteReference"/>
        </w:rPr>
        <w:footnoteReference w:id="5"/>
      </w:r>
      <w:r w:rsidRPr="001929B2">
        <w:t xml:space="preserve">  </w:t>
      </w:r>
    </w:p>
    <w:p w14:paraId="2ADF3DA5" w14:textId="4BFCD34A" w:rsidR="00462454" w:rsidRPr="001929B2" w:rsidRDefault="00462454" w:rsidP="00462454">
      <w:pPr>
        <w:tabs>
          <w:tab w:val="left" w:pos="540"/>
          <w:tab w:val="left" w:pos="1080"/>
          <w:tab w:val="left" w:pos="1620"/>
          <w:tab w:val="left" w:pos="2160"/>
        </w:tabs>
        <w:spacing w:after="240"/>
      </w:pPr>
      <w:r w:rsidRPr="001929B2">
        <w:t xml:space="preserve">C4.12.  </w:t>
      </w:r>
      <w:r w:rsidRPr="001929B2">
        <w:rPr>
          <w:u w:val="single"/>
        </w:rPr>
        <w:t>CA</w:t>
      </w:r>
      <w:r w:rsidR="00950D7D" w:rsidRPr="001929B2">
        <w:rPr>
          <w:u w:val="single"/>
        </w:rPr>
        <w:t>N</w:t>
      </w:r>
      <w:r w:rsidRPr="001929B2">
        <w:rPr>
          <w:u w:val="single"/>
        </w:rPr>
        <w:t>CELATION OF A</w:t>
      </w:r>
      <w:r w:rsidR="00950D7D" w:rsidRPr="001929B2">
        <w:rPr>
          <w:u w:val="single"/>
        </w:rPr>
        <w:t xml:space="preserve"> </w:t>
      </w:r>
      <w:r w:rsidRPr="001929B2">
        <w:rPr>
          <w:u w:val="single"/>
        </w:rPr>
        <w:t xml:space="preserve">UNILATERAL PURCHASE ORDER NOT </w:t>
      </w:r>
      <w:r w:rsidR="00973263" w:rsidRPr="001929B2">
        <w:rPr>
          <w:u w:val="single"/>
        </w:rPr>
        <w:t>ACCEPTED</w:t>
      </w:r>
      <w:r w:rsidRPr="001929B2">
        <w:rPr>
          <w:u w:val="single"/>
        </w:rPr>
        <w:t xml:space="preserve"> BY THE CONTRACTOR</w:t>
      </w:r>
    </w:p>
    <w:p w14:paraId="3F8EF2A7" w14:textId="77777777" w:rsidR="00114E83" w:rsidRPr="001929B2" w:rsidRDefault="00462454" w:rsidP="00462454">
      <w:pPr>
        <w:tabs>
          <w:tab w:val="left" w:pos="540"/>
          <w:tab w:val="left" w:pos="1080"/>
          <w:tab w:val="left" w:pos="1620"/>
          <w:tab w:val="left" w:pos="2160"/>
        </w:tabs>
        <w:spacing w:after="240"/>
      </w:pPr>
      <w:r w:rsidRPr="001929B2">
        <w:tab/>
        <w:t xml:space="preserve">C4.12.1.  As permitted by FAR 13.004 the Government may unilaterally issue an award in response to a vendors quote.  Such awards are not binding contracts until acceptance by the vendor either in writing or through performance.  As such, there are sets of contracts that remain open in Defense business systems even though no deliveries or work has or will ever occur.  C4.12.2 provides the mechanism for identifying and closing these unfulfilled awards in order to free obligated funds and stop perpetuating these extraneous contract files.  Contracts identified as unfulfilled, should be administratively closed in accordance with FAR42.302(a)(63). </w:t>
      </w:r>
    </w:p>
    <w:p w14:paraId="514CB297" w14:textId="1755F464" w:rsidR="00462454" w:rsidRPr="001929B2" w:rsidRDefault="00114E83" w:rsidP="00462454">
      <w:pPr>
        <w:tabs>
          <w:tab w:val="left" w:pos="540"/>
          <w:tab w:val="left" w:pos="1080"/>
          <w:tab w:val="left" w:pos="1620"/>
          <w:tab w:val="left" w:pos="2160"/>
        </w:tabs>
        <w:spacing w:after="240"/>
        <w:rPr>
          <w:bCs/>
          <w:iCs/>
        </w:rPr>
      </w:pPr>
      <w:r w:rsidRPr="001929B2">
        <w:tab/>
      </w:r>
      <w:r w:rsidR="00462454" w:rsidRPr="001929B2">
        <w:t xml:space="preserve">C4.12.2.  A cancelation of a unilateral purchase order not accepted by the contractor will be submitted using Code H in 1/CS05/050. </w:t>
      </w:r>
    </w:p>
    <w:p w14:paraId="13FDA75C" w14:textId="492099CE" w:rsidR="00462454" w:rsidRPr="001929B2" w:rsidRDefault="00462454" w:rsidP="00DE1B17">
      <w:pPr>
        <w:tabs>
          <w:tab w:val="left" w:pos="540"/>
          <w:tab w:val="left" w:pos="1080"/>
          <w:tab w:val="left" w:pos="1620"/>
          <w:tab w:val="left" w:pos="2160"/>
        </w:tabs>
        <w:spacing w:after="240"/>
      </w:pPr>
      <w:r w:rsidRPr="001929B2">
        <w:rPr>
          <w:bCs/>
          <w:iCs/>
        </w:rPr>
        <w:tab/>
        <w:t>C4.12.3.  This procedure applies to both automated closeouts systemically initiated by iRAPT, as well as all other non-automated closeouts submitted by other systems.</w:t>
      </w:r>
    </w:p>
    <w:sectPr w:rsidR="00462454" w:rsidRPr="001929B2" w:rsidSect="00C00EF4">
      <w:headerReference w:type="default" r:id="rId16"/>
      <w:footerReference w:type="even" r:id="rId17"/>
      <w:footerReference w:type="defaul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17012" w14:textId="77777777" w:rsidR="006229F8" w:rsidRDefault="006229F8">
      <w:r>
        <w:separator/>
      </w:r>
    </w:p>
  </w:endnote>
  <w:endnote w:type="continuationSeparator" w:id="0">
    <w:p w14:paraId="3274525D" w14:textId="77777777" w:rsidR="006229F8" w:rsidRDefault="0062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7926" w14:textId="77777777" w:rsidR="0089597C" w:rsidRDefault="0089597C" w:rsidP="00895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B37927" w14:textId="77777777" w:rsidR="0089597C" w:rsidRDefault="00895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7928" w14:textId="2581C00F" w:rsidR="0089597C" w:rsidRPr="00CF0E41" w:rsidRDefault="0089597C" w:rsidP="00895C50">
    <w:pPr>
      <w:pStyle w:val="Footer"/>
      <w:framePr w:wrap="around" w:vAnchor="text" w:hAnchor="margin" w:xAlign="center" w:y="1"/>
      <w:rPr>
        <w:rStyle w:val="PageNumber"/>
        <w:b w:val="0"/>
      </w:rPr>
    </w:pPr>
    <w:r>
      <w:rPr>
        <w:rStyle w:val="PageNumber"/>
        <w:b w:val="0"/>
      </w:rPr>
      <w:t>C4-</w:t>
    </w:r>
    <w:r w:rsidRPr="00CF0E41">
      <w:rPr>
        <w:rStyle w:val="PageNumber"/>
        <w:b w:val="0"/>
      </w:rPr>
      <w:fldChar w:fldCharType="begin"/>
    </w:r>
    <w:r w:rsidRPr="00CF0E41">
      <w:rPr>
        <w:rStyle w:val="PageNumber"/>
        <w:b w:val="0"/>
      </w:rPr>
      <w:instrText xml:space="preserve">PAGE  </w:instrText>
    </w:r>
    <w:r w:rsidRPr="00CF0E41">
      <w:rPr>
        <w:rStyle w:val="PageNumber"/>
        <w:b w:val="0"/>
      </w:rPr>
      <w:fldChar w:fldCharType="separate"/>
    </w:r>
    <w:r w:rsidR="004113B9">
      <w:rPr>
        <w:rStyle w:val="PageNumber"/>
        <w:b w:val="0"/>
        <w:noProof/>
      </w:rPr>
      <w:t>1</w:t>
    </w:r>
    <w:r w:rsidRPr="00CF0E41">
      <w:rPr>
        <w:rStyle w:val="PageNumber"/>
        <w:b w:val="0"/>
      </w:rPr>
      <w:fldChar w:fldCharType="end"/>
    </w:r>
  </w:p>
  <w:p w14:paraId="69B37929" w14:textId="77777777" w:rsidR="0089597C" w:rsidRPr="005104AC" w:rsidRDefault="0089597C" w:rsidP="00CF0E41">
    <w:pPr>
      <w:pStyle w:val="Footer"/>
      <w:jc w:val="right"/>
    </w:pPr>
    <w:r>
      <w:t>CHAPTER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2F7BD" w14:textId="77777777" w:rsidR="006229F8" w:rsidRDefault="006229F8">
      <w:r>
        <w:separator/>
      </w:r>
    </w:p>
  </w:footnote>
  <w:footnote w:type="continuationSeparator" w:id="0">
    <w:p w14:paraId="043A760A" w14:textId="77777777" w:rsidR="006229F8" w:rsidRDefault="006229F8">
      <w:r>
        <w:continuationSeparator/>
      </w:r>
    </w:p>
  </w:footnote>
  <w:footnote w:id="1">
    <w:p w14:paraId="779510D4" w14:textId="77777777" w:rsidR="001929B2" w:rsidRPr="001929B2" w:rsidRDefault="001929B2" w:rsidP="001929B2">
      <w:pPr>
        <w:pStyle w:val="FootnoteText"/>
      </w:pPr>
      <w:r w:rsidRPr="001929B2">
        <w:rPr>
          <w:rStyle w:val="FootnoteReference"/>
        </w:rPr>
        <w:footnoteRef/>
      </w:r>
      <w:r w:rsidRPr="001929B2">
        <w:t xml:space="preserve"> </w:t>
      </w:r>
      <w:r w:rsidRPr="001929B2">
        <w:rPr>
          <w:rFonts w:cs="Arial"/>
          <w:b/>
          <w:i/>
        </w:rPr>
        <w:t xml:space="preserve">Use the legacy PIIN pending transition to the PIID.  When using the PIIN, may include the four-position call/order number.  </w:t>
      </w:r>
      <w:r w:rsidRPr="001929B2">
        <w:rPr>
          <w:b/>
          <w:i/>
        </w:rPr>
        <w:t>Refer to ADC 1161.</w:t>
      </w:r>
    </w:p>
  </w:footnote>
  <w:footnote w:id="2">
    <w:p w14:paraId="6BEDD133" w14:textId="77777777" w:rsidR="00A4696C" w:rsidRPr="001929B2" w:rsidRDefault="00A4696C" w:rsidP="00A4696C">
      <w:pPr>
        <w:pStyle w:val="FootnoteText"/>
      </w:pPr>
      <w:r w:rsidRPr="001929B2">
        <w:rPr>
          <w:rStyle w:val="FootnoteReference"/>
        </w:rPr>
        <w:footnoteRef/>
      </w:r>
      <w:r w:rsidRPr="001929B2">
        <w:t xml:space="preserve"> Refer to Volume 7, Appendix 1 (ADC 1163)</w:t>
      </w:r>
    </w:p>
  </w:footnote>
  <w:footnote w:id="3">
    <w:p w14:paraId="7E442CC5" w14:textId="77777777" w:rsidR="00462454" w:rsidRPr="001929B2" w:rsidRDefault="00462454" w:rsidP="00462454">
      <w:pPr>
        <w:pStyle w:val="FootnoteText"/>
      </w:pPr>
      <w:r w:rsidRPr="001929B2">
        <w:rPr>
          <w:rStyle w:val="FootnoteReference"/>
        </w:rPr>
        <w:footnoteRef/>
      </w:r>
      <w:r w:rsidRPr="001929B2">
        <w:t xml:space="preserve"> Refer to ADC 1163, Update DLMS 567C Automated Contract Closeout.</w:t>
      </w:r>
    </w:p>
  </w:footnote>
  <w:footnote w:id="4">
    <w:p w14:paraId="18768FEF" w14:textId="114C3FF4" w:rsidR="00462454" w:rsidRPr="001929B2" w:rsidRDefault="00462454" w:rsidP="00462454">
      <w:pPr>
        <w:pStyle w:val="FootnoteText"/>
      </w:pPr>
      <w:r w:rsidRPr="001929B2">
        <w:rPr>
          <w:rStyle w:val="FootnoteReference"/>
        </w:rPr>
        <w:footnoteRef/>
      </w:r>
      <w:r w:rsidRPr="001929B2">
        <w:t xml:space="preserve"> Under the existing design (March 2015), the </w:t>
      </w:r>
      <w:r w:rsidRPr="001929B2">
        <w:rPr>
          <w:rFonts w:eastAsiaTheme="minorHAnsi"/>
          <w:bCs/>
          <w:iCs/>
        </w:rPr>
        <w:t>Automated Contract Closeout transactions will not contain a From and To indicating the sending and receiving organizations for the transaction set and will use the DLMS 567C transaction header envelope and GEX routing rules.  This change will have a phased implementation and requires an ECP be developed by the WAWF-iRAPT</w:t>
      </w:r>
      <w:r w:rsidR="0058000B" w:rsidRPr="001929B2">
        <w:rPr>
          <w:rFonts w:eastAsiaTheme="minorHAnsi"/>
          <w:bCs/>
          <w:iCs/>
        </w:rPr>
        <w:t xml:space="preserve"> </w:t>
      </w:r>
      <w:r w:rsidRPr="001929B2">
        <w:rPr>
          <w:rFonts w:eastAsiaTheme="minorHAnsi"/>
          <w:bCs/>
          <w:iCs/>
        </w:rPr>
        <w:t>PMO.  Refer to ADC 1163.</w:t>
      </w:r>
    </w:p>
  </w:footnote>
  <w:footnote w:id="5">
    <w:p w14:paraId="63A3F9B4" w14:textId="353E2B63" w:rsidR="00114E83" w:rsidRDefault="00114E83">
      <w:pPr>
        <w:pStyle w:val="FootnoteText"/>
      </w:pPr>
      <w:r w:rsidRPr="001929B2">
        <w:rPr>
          <w:rStyle w:val="FootnoteReference"/>
        </w:rPr>
        <w:footnoteRef/>
      </w:r>
      <w:r w:rsidRPr="001929B2">
        <w:t xml:space="preserve"> </w:t>
      </w:r>
      <w:r w:rsidR="003674E4" w:rsidRPr="001929B2">
        <w:t>Refer to ADC 1163</w:t>
      </w:r>
      <w:r w:rsidR="0058000B" w:rsidRPr="001929B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7925" w14:textId="18E14F2B" w:rsidR="0089597C" w:rsidRPr="000D5AAA" w:rsidRDefault="0089597C" w:rsidP="00834BC9">
    <w:pPr>
      <w:pStyle w:val="Header"/>
      <w:jc w:val="right"/>
      <w:rPr>
        <w:rFonts w:cs="Arial"/>
        <w:i/>
        <w:u w:val="none"/>
      </w:rPr>
    </w:pPr>
    <w:r w:rsidRPr="000D5AAA">
      <w:rPr>
        <w:rFonts w:cs="Arial"/>
        <w:i/>
        <w:u w:val="none"/>
      </w:rPr>
      <w:t>DLM 4000.25</w:t>
    </w:r>
    <w:r w:rsidR="00C00EF4" w:rsidRPr="000D5AAA">
      <w:rPr>
        <w:rFonts w:cs="Arial"/>
        <w:i/>
        <w:u w:val="none"/>
      </w:rPr>
      <w:t xml:space="preserve">, </w:t>
    </w:r>
    <w:r w:rsidRPr="000D5AAA">
      <w:rPr>
        <w:rFonts w:cs="Arial"/>
        <w:i/>
        <w:u w:val="none"/>
      </w:rPr>
      <w:t xml:space="preserve">Volume 7, </w:t>
    </w:r>
    <w:r w:rsidR="004113B9" w:rsidRPr="004113B9">
      <w:rPr>
        <w:rFonts w:cs="Arial"/>
        <w:i/>
        <w:u w:val="none"/>
      </w:rPr>
      <w:t>December 14</w:t>
    </w:r>
    <w:r w:rsidR="001670EB">
      <w:rPr>
        <w:rFonts w:cs="Arial"/>
        <w:i/>
        <w:u w:val="none"/>
      </w:rPr>
      <w:t xml:space="preserve">, </w:t>
    </w:r>
    <w:r w:rsidR="000D72E7">
      <w:rPr>
        <w:rFonts w:cs="Arial"/>
        <w:i/>
        <w:u w:val="none"/>
      </w:rPr>
      <w:t>201</w:t>
    </w:r>
    <w:r w:rsidR="001929B2">
      <w:rPr>
        <w:rFonts w:cs="Arial"/>
        <w:i/>
        <w:u w:val="none"/>
      </w:rPr>
      <w:t>6</w:t>
    </w:r>
  </w:p>
  <w:p w14:paraId="1F453915" w14:textId="18DB8460" w:rsidR="00685196" w:rsidRPr="000D5AAA" w:rsidRDefault="00685196" w:rsidP="00834BC9">
    <w:pPr>
      <w:pStyle w:val="Header"/>
      <w:jc w:val="right"/>
      <w:rPr>
        <w:rFonts w:cs="Arial"/>
        <w:i/>
        <w:u w:val="none"/>
      </w:rPr>
    </w:pPr>
    <w:r w:rsidRPr="000D5AAA">
      <w:rPr>
        <w:rFonts w:cs="Arial"/>
        <w:i/>
        <w:u w:val="none"/>
      </w:rPr>
      <w:t xml:space="preserve">Change </w:t>
    </w:r>
    <w:r w:rsidR="001929B2">
      <w:rPr>
        <w:rFonts w:cs="Arial"/>
        <w:i/>
        <w:u w:val="none"/>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3B2E7E2"/>
    <w:lvl w:ilvl="0">
      <w:start w:val="8"/>
      <w:numFmt w:val="decimal"/>
      <w:pStyle w:val="Heading1"/>
      <w:suff w:val="nothing"/>
      <w:lvlText w:val="C%1. CHAPTER 8"/>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BB11693"/>
    <w:multiLevelType w:val="singleLevel"/>
    <w:tmpl w:val="6D20CAF8"/>
    <w:lvl w:ilvl="0">
      <w:start w:val="1"/>
      <w:numFmt w:val="bullet"/>
      <w:pStyle w:val="ListBullet3"/>
      <w:lvlText w:val=""/>
      <w:lvlJc w:val="left"/>
      <w:pPr>
        <w:tabs>
          <w:tab w:val="num" w:pos="432"/>
        </w:tabs>
        <w:ind w:left="432" w:hanging="432"/>
      </w:pPr>
      <w:rPr>
        <w:rFonts w:ascii="Wingdings" w:hAnsi="Wingdings" w:hint="default"/>
      </w:rPr>
    </w:lvl>
  </w:abstractNum>
  <w:abstractNum w:abstractNumId="2" w15:restartNumberingAfterBreak="0">
    <w:nsid w:val="27F63CE0"/>
    <w:multiLevelType w:val="hybridMultilevel"/>
    <w:tmpl w:val="213ED112"/>
    <w:lvl w:ilvl="0" w:tplc="134E12D8">
      <w:start w:val="191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A423854"/>
    <w:multiLevelType w:val="singleLevel"/>
    <w:tmpl w:val="64AEE376"/>
    <w:lvl w:ilvl="0">
      <w:start w:val="1"/>
      <w:numFmt w:val="bullet"/>
      <w:pStyle w:val="ListBullet"/>
      <w:lvlText w:val=""/>
      <w:lvlJc w:val="left"/>
      <w:pPr>
        <w:tabs>
          <w:tab w:val="num" w:pos="432"/>
        </w:tabs>
        <w:ind w:left="432" w:hanging="432"/>
      </w:pPr>
      <w:rPr>
        <w:rFonts w:ascii="Wingdings" w:hAnsi="Wingdings" w:hint="default"/>
      </w:rPr>
    </w:lvl>
  </w:abstractNum>
  <w:abstractNum w:abstractNumId="4" w15:restartNumberingAfterBreak="0">
    <w:nsid w:val="3B9464B0"/>
    <w:multiLevelType w:val="singleLevel"/>
    <w:tmpl w:val="FF0E7BF2"/>
    <w:lvl w:ilvl="0">
      <w:start w:val="1"/>
      <w:numFmt w:val="bullet"/>
      <w:pStyle w:val="ListBullet2"/>
      <w:lvlText w:val=""/>
      <w:lvlJc w:val="left"/>
      <w:pPr>
        <w:tabs>
          <w:tab w:val="num" w:pos="432"/>
        </w:tabs>
        <w:ind w:left="432" w:hanging="432"/>
      </w:pPr>
      <w:rPr>
        <w:rFonts w:ascii="Wingdings" w:hAnsi="Wingdings" w:hint="default"/>
      </w:rPr>
    </w:lvl>
  </w:abstractNum>
  <w:abstractNum w:abstractNumId="5" w15:restartNumberingAfterBreak="0">
    <w:nsid w:val="429F22E4"/>
    <w:multiLevelType w:val="hybridMultilevel"/>
    <w:tmpl w:val="873A5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B1C9F"/>
    <w:multiLevelType w:val="hybridMultilevel"/>
    <w:tmpl w:val="7190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3C"/>
    <w:rsid w:val="00006986"/>
    <w:rsid w:val="00014F42"/>
    <w:rsid w:val="0005175C"/>
    <w:rsid w:val="00057128"/>
    <w:rsid w:val="00093833"/>
    <w:rsid w:val="000B5F11"/>
    <w:rsid w:val="000D5AAA"/>
    <w:rsid w:val="000D72E7"/>
    <w:rsid w:val="000E4C19"/>
    <w:rsid w:val="00103F61"/>
    <w:rsid w:val="00114E83"/>
    <w:rsid w:val="00144503"/>
    <w:rsid w:val="00144CE7"/>
    <w:rsid w:val="001541B4"/>
    <w:rsid w:val="001670EB"/>
    <w:rsid w:val="001929B2"/>
    <w:rsid w:val="001F0E04"/>
    <w:rsid w:val="00204D0D"/>
    <w:rsid w:val="00204DCD"/>
    <w:rsid w:val="00231F75"/>
    <w:rsid w:val="00252772"/>
    <w:rsid w:val="00256A9C"/>
    <w:rsid w:val="002A1B79"/>
    <w:rsid w:val="002D1B40"/>
    <w:rsid w:val="002F086A"/>
    <w:rsid w:val="002F3966"/>
    <w:rsid w:val="002F6F22"/>
    <w:rsid w:val="003318AE"/>
    <w:rsid w:val="003674E4"/>
    <w:rsid w:val="003705B1"/>
    <w:rsid w:val="00377692"/>
    <w:rsid w:val="003905D2"/>
    <w:rsid w:val="00391302"/>
    <w:rsid w:val="00391D4A"/>
    <w:rsid w:val="003B7C20"/>
    <w:rsid w:val="004113B9"/>
    <w:rsid w:val="00411EA7"/>
    <w:rsid w:val="00427539"/>
    <w:rsid w:val="00460B1D"/>
    <w:rsid w:val="00462454"/>
    <w:rsid w:val="004773B8"/>
    <w:rsid w:val="00481721"/>
    <w:rsid w:val="00484BDE"/>
    <w:rsid w:val="004924CA"/>
    <w:rsid w:val="004B3530"/>
    <w:rsid w:val="004B7D83"/>
    <w:rsid w:val="004E3306"/>
    <w:rsid w:val="004E3ADB"/>
    <w:rsid w:val="005104AC"/>
    <w:rsid w:val="00526608"/>
    <w:rsid w:val="00526B1E"/>
    <w:rsid w:val="005434F4"/>
    <w:rsid w:val="00575136"/>
    <w:rsid w:val="0058000B"/>
    <w:rsid w:val="005920DC"/>
    <w:rsid w:val="0059576F"/>
    <w:rsid w:val="005B6642"/>
    <w:rsid w:val="005B6A44"/>
    <w:rsid w:val="005C5A78"/>
    <w:rsid w:val="005C6185"/>
    <w:rsid w:val="005C7BB3"/>
    <w:rsid w:val="005E37DC"/>
    <w:rsid w:val="005F2271"/>
    <w:rsid w:val="006229F8"/>
    <w:rsid w:val="00632BE5"/>
    <w:rsid w:val="00670A60"/>
    <w:rsid w:val="00671BAF"/>
    <w:rsid w:val="00680DBC"/>
    <w:rsid w:val="00685196"/>
    <w:rsid w:val="006A27F6"/>
    <w:rsid w:val="006A4DF2"/>
    <w:rsid w:val="006A6275"/>
    <w:rsid w:val="006B3189"/>
    <w:rsid w:val="006F44BB"/>
    <w:rsid w:val="00706086"/>
    <w:rsid w:val="00707742"/>
    <w:rsid w:val="007200E7"/>
    <w:rsid w:val="007364CF"/>
    <w:rsid w:val="0075396F"/>
    <w:rsid w:val="00762CF6"/>
    <w:rsid w:val="007638AE"/>
    <w:rsid w:val="00767E35"/>
    <w:rsid w:val="0077257A"/>
    <w:rsid w:val="00776C40"/>
    <w:rsid w:val="007B16F0"/>
    <w:rsid w:val="007B2C36"/>
    <w:rsid w:val="007C28C8"/>
    <w:rsid w:val="007F5FB2"/>
    <w:rsid w:val="008300A6"/>
    <w:rsid w:val="00834BC9"/>
    <w:rsid w:val="00860A0F"/>
    <w:rsid w:val="00871845"/>
    <w:rsid w:val="0089597C"/>
    <w:rsid w:val="00895C50"/>
    <w:rsid w:val="008A1C2E"/>
    <w:rsid w:val="008D7A00"/>
    <w:rsid w:val="008E28F7"/>
    <w:rsid w:val="008F54A2"/>
    <w:rsid w:val="00950D7D"/>
    <w:rsid w:val="00973263"/>
    <w:rsid w:val="00995861"/>
    <w:rsid w:val="009A66EE"/>
    <w:rsid w:val="009C41A0"/>
    <w:rsid w:val="009F7101"/>
    <w:rsid w:val="009F7D60"/>
    <w:rsid w:val="00A023B2"/>
    <w:rsid w:val="00A35D7C"/>
    <w:rsid w:val="00A4473F"/>
    <w:rsid w:val="00A4696C"/>
    <w:rsid w:val="00A85F49"/>
    <w:rsid w:val="00A87C17"/>
    <w:rsid w:val="00AA22AB"/>
    <w:rsid w:val="00AC1D66"/>
    <w:rsid w:val="00AE2EB2"/>
    <w:rsid w:val="00B6488B"/>
    <w:rsid w:val="00B6768E"/>
    <w:rsid w:val="00BA44B4"/>
    <w:rsid w:val="00BB2C57"/>
    <w:rsid w:val="00BC7655"/>
    <w:rsid w:val="00BD314D"/>
    <w:rsid w:val="00BE40BB"/>
    <w:rsid w:val="00C00EF4"/>
    <w:rsid w:val="00C105B1"/>
    <w:rsid w:val="00C161AC"/>
    <w:rsid w:val="00C176FB"/>
    <w:rsid w:val="00C20383"/>
    <w:rsid w:val="00C22B0D"/>
    <w:rsid w:val="00C3495F"/>
    <w:rsid w:val="00C35746"/>
    <w:rsid w:val="00C44DAB"/>
    <w:rsid w:val="00C4503D"/>
    <w:rsid w:val="00C53845"/>
    <w:rsid w:val="00C56C7A"/>
    <w:rsid w:val="00C64946"/>
    <w:rsid w:val="00C815FA"/>
    <w:rsid w:val="00CA505C"/>
    <w:rsid w:val="00CB47C7"/>
    <w:rsid w:val="00CC483C"/>
    <w:rsid w:val="00CC551F"/>
    <w:rsid w:val="00CC6B31"/>
    <w:rsid w:val="00CD780E"/>
    <w:rsid w:val="00CF0E41"/>
    <w:rsid w:val="00D017BE"/>
    <w:rsid w:val="00D12BB6"/>
    <w:rsid w:val="00D14D7D"/>
    <w:rsid w:val="00D16711"/>
    <w:rsid w:val="00D245C5"/>
    <w:rsid w:val="00D54074"/>
    <w:rsid w:val="00D61A57"/>
    <w:rsid w:val="00D752C0"/>
    <w:rsid w:val="00D8164F"/>
    <w:rsid w:val="00DA71CB"/>
    <w:rsid w:val="00DC3FB3"/>
    <w:rsid w:val="00DC7A11"/>
    <w:rsid w:val="00DD2ADB"/>
    <w:rsid w:val="00DD3088"/>
    <w:rsid w:val="00DE1B17"/>
    <w:rsid w:val="00E20777"/>
    <w:rsid w:val="00E20E9F"/>
    <w:rsid w:val="00E33936"/>
    <w:rsid w:val="00E42256"/>
    <w:rsid w:val="00E47B29"/>
    <w:rsid w:val="00E61DD1"/>
    <w:rsid w:val="00E8635F"/>
    <w:rsid w:val="00E91189"/>
    <w:rsid w:val="00E97793"/>
    <w:rsid w:val="00EC4AB5"/>
    <w:rsid w:val="00ED1EE3"/>
    <w:rsid w:val="00EF45DB"/>
    <w:rsid w:val="00F05CE2"/>
    <w:rsid w:val="00F14170"/>
    <w:rsid w:val="00F2364B"/>
    <w:rsid w:val="00F30FFE"/>
    <w:rsid w:val="00F4688D"/>
    <w:rsid w:val="00F72ADC"/>
    <w:rsid w:val="00F8603E"/>
    <w:rsid w:val="00FF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B378E5"/>
  <w15:docId w15:val="{84504C47-7491-45B2-BB7C-D61A5A38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7BE"/>
    <w:rPr>
      <w:rFonts w:ascii="Arial" w:hAnsi="Arial"/>
      <w:sz w:val="24"/>
    </w:rPr>
  </w:style>
  <w:style w:type="paragraph" w:styleId="Heading1">
    <w:name w:val="heading 1"/>
    <w:basedOn w:val="Normal"/>
    <w:autoRedefine/>
    <w:qFormat/>
    <w:rsid w:val="00D017BE"/>
    <w:pPr>
      <w:numPr>
        <w:numId w:val="1"/>
      </w:numPr>
      <w:spacing w:before="60" w:after="120"/>
      <w:jc w:val="center"/>
      <w:outlineLvl w:val="0"/>
    </w:pPr>
    <w:rPr>
      <w:b/>
      <w:caps/>
      <w:sz w:val="48"/>
    </w:rPr>
  </w:style>
  <w:style w:type="paragraph" w:styleId="Heading2">
    <w:name w:val="heading 2"/>
    <w:basedOn w:val="Normal"/>
    <w:autoRedefine/>
    <w:qFormat/>
    <w:rsid w:val="00D017BE"/>
    <w:pPr>
      <w:numPr>
        <w:ilvl w:val="1"/>
        <w:numId w:val="1"/>
      </w:numPr>
      <w:spacing w:before="240" w:after="60"/>
      <w:outlineLvl w:val="1"/>
    </w:pPr>
  </w:style>
  <w:style w:type="paragraph" w:styleId="Heading3">
    <w:name w:val="heading 3"/>
    <w:basedOn w:val="Normal"/>
    <w:autoRedefine/>
    <w:qFormat/>
    <w:rsid w:val="00D017BE"/>
    <w:pPr>
      <w:numPr>
        <w:ilvl w:val="2"/>
        <w:numId w:val="1"/>
      </w:numPr>
      <w:tabs>
        <w:tab w:val="left" w:pos="1530"/>
      </w:tabs>
      <w:spacing w:before="240" w:after="60"/>
      <w:outlineLvl w:val="2"/>
    </w:pPr>
  </w:style>
  <w:style w:type="paragraph" w:styleId="Heading4">
    <w:name w:val="heading 4"/>
    <w:basedOn w:val="Normal"/>
    <w:autoRedefine/>
    <w:qFormat/>
    <w:rsid w:val="00D017BE"/>
    <w:pPr>
      <w:numPr>
        <w:ilvl w:val="3"/>
        <w:numId w:val="1"/>
      </w:numPr>
      <w:spacing w:before="60" w:after="120"/>
      <w:outlineLvl w:val="3"/>
    </w:pPr>
  </w:style>
  <w:style w:type="paragraph" w:styleId="Heading5">
    <w:name w:val="heading 5"/>
    <w:basedOn w:val="Normal"/>
    <w:autoRedefine/>
    <w:qFormat/>
    <w:rsid w:val="00D017BE"/>
    <w:pPr>
      <w:numPr>
        <w:ilvl w:val="4"/>
        <w:numId w:val="1"/>
      </w:numPr>
      <w:spacing w:before="60" w:after="120"/>
      <w:outlineLvl w:val="4"/>
    </w:pPr>
  </w:style>
  <w:style w:type="paragraph" w:styleId="Heading6">
    <w:name w:val="heading 6"/>
    <w:basedOn w:val="Normal"/>
    <w:autoRedefine/>
    <w:qFormat/>
    <w:rsid w:val="00D017BE"/>
    <w:pPr>
      <w:numPr>
        <w:ilvl w:val="5"/>
        <w:numId w:val="1"/>
      </w:numPr>
      <w:tabs>
        <w:tab w:val="left" w:pos="3150"/>
      </w:tabs>
      <w:spacing w:before="60" w:after="120"/>
      <w:outlineLvl w:val="5"/>
    </w:pPr>
  </w:style>
  <w:style w:type="paragraph" w:styleId="Heading7">
    <w:name w:val="heading 7"/>
    <w:basedOn w:val="Normal"/>
    <w:autoRedefine/>
    <w:qFormat/>
    <w:rsid w:val="00D017BE"/>
    <w:pPr>
      <w:numPr>
        <w:ilvl w:val="6"/>
        <w:numId w:val="1"/>
      </w:numPr>
      <w:spacing w:before="60" w:after="120"/>
      <w:outlineLvl w:val="6"/>
    </w:pPr>
  </w:style>
  <w:style w:type="paragraph" w:styleId="Heading8">
    <w:name w:val="heading 8"/>
    <w:basedOn w:val="Normal"/>
    <w:next w:val="Heading9"/>
    <w:autoRedefine/>
    <w:qFormat/>
    <w:rsid w:val="00D017BE"/>
    <w:pPr>
      <w:numPr>
        <w:ilvl w:val="7"/>
        <w:numId w:val="1"/>
      </w:numPr>
      <w:spacing w:before="60" w:after="120"/>
      <w:outlineLvl w:val="7"/>
    </w:pPr>
  </w:style>
  <w:style w:type="paragraph" w:styleId="Heading9">
    <w:name w:val="heading 9"/>
    <w:basedOn w:val="Normal"/>
    <w:autoRedefine/>
    <w:qFormat/>
    <w:rsid w:val="00D017BE"/>
    <w:pPr>
      <w:numPr>
        <w:ilvl w:val="8"/>
        <w:numId w:val="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017BE"/>
    <w:rPr>
      <w:vertAlign w:val="superscript"/>
    </w:rPr>
  </w:style>
  <w:style w:type="character" w:styleId="FootnoteReference">
    <w:name w:val="footnote reference"/>
    <w:basedOn w:val="DefaultParagraphFont"/>
    <w:rsid w:val="00D017BE"/>
    <w:rPr>
      <w:vertAlign w:val="superscript"/>
    </w:rPr>
  </w:style>
  <w:style w:type="character" w:styleId="PageNumber">
    <w:name w:val="page number"/>
    <w:basedOn w:val="DefaultParagraphFont"/>
    <w:rsid w:val="00D017BE"/>
    <w:rPr>
      <w:rFonts w:ascii="Arial" w:hAnsi="Arial"/>
      <w:b/>
      <w:sz w:val="24"/>
    </w:rPr>
  </w:style>
  <w:style w:type="paragraph" w:styleId="Footer">
    <w:name w:val="footer"/>
    <w:basedOn w:val="Normal"/>
    <w:rsid w:val="00D017BE"/>
    <w:pPr>
      <w:tabs>
        <w:tab w:val="center" w:pos="4320"/>
        <w:tab w:val="right" w:pos="8640"/>
      </w:tabs>
    </w:pPr>
  </w:style>
  <w:style w:type="paragraph" w:styleId="Header">
    <w:name w:val="header"/>
    <w:basedOn w:val="Normal"/>
    <w:rsid w:val="00D017BE"/>
    <w:pPr>
      <w:tabs>
        <w:tab w:val="center" w:pos="4320"/>
        <w:tab w:val="right" w:pos="8640"/>
      </w:tabs>
      <w:jc w:val="center"/>
    </w:pPr>
    <w:rPr>
      <w:u w:val="single"/>
    </w:rPr>
  </w:style>
  <w:style w:type="paragraph" w:styleId="FootnoteText">
    <w:name w:val="footnote text"/>
    <w:aliases w:val="ft"/>
    <w:basedOn w:val="Normal"/>
    <w:link w:val="FootnoteTextChar"/>
    <w:rsid w:val="00D017BE"/>
    <w:rPr>
      <w:sz w:val="20"/>
    </w:rPr>
  </w:style>
  <w:style w:type="paragraph" w:customStyle="1" w:styleId="SubTitle">
    <w:name w:val="Sub Title"/>
    <w:basedOn w:val="Title"/>
    <w:rsid w:val="00D017BE"/>
    <w:rPr>
      <w:sz w:val="28"/>
      <w:u w:val="single"/>
    </w:rPr>
  </w:style>
  <w:style w:type="paragraph" w:styleId="Title">
    <w:name w:val="Title"/>
    <w:basedOn w:val="Normal"/>
    <w:next w:val="Header"/>
    <w:autoRedefine/>
    <w:qFormat/>
    <w:rsid w:val="00D017BE"/>
    <w:pPr>
      <w:spacing w:after="240"/>
      <w:jc w:val="center"/>
    </w:pPr>
    <w:rPr>
      <w:b/>
      <w:caps/>
      <w:kern w:val="28"/>
      <w:sz w:val="36"/>
    </w:rPr>
  </w:style>
  <w:style w:type="paragraph" w:styleId="Subtitle0">
    <w:name w:val="Subtitle"/>
    <w:basedOn w:val="Normal"/>
    <w:qFormat/>
    <w:rsid w:val="00D017BE"/>
    <w:pPr>
      <w:spacing w:after="240"/>
      <w:jc w:val="center"/>
    </w:pPr>
    <w:rPr>
      <w:b/>
      <w:caps/>
      <w:sz w:val="28"/>
      <w:u w:val="single"/>
    </w:rPr>
  </w:style>
  <w:style w:type="paragraph" w:customStyle="1" w:styleId="BodyTextHanging">
    <w:name w:val="Body Text Hanging"/>
    <w:basedOn w:val="Normal"/>
    <w:rsid w:val="00D017BE"/>
    <w:pPr>
      <w:spacing w:after="160"/>
      <w:ind w:left="1440"/>
    </w:pPr>
  </w:style>
  <w:style w:type="paragraph" w:styleId="BodyText">
    <w:name w:val="Body Text"/>
    <w:basedOn w:val="Normal"/>
    <w:rsid w:val="00D017BE"/>
    <w:pPr>
      <w:spacing w:after="120"/>
    </w:pPr>
  </w:style>
  <w:style w:type="paragraph" w:styleId="ListBullet">
    <w:name w:val="List Bullet"/>
    <w:basedOn w:val="NormalIndent"/>
    <w:autoRedefine/>
    <w:rsid w:val="00D017BE"/>
    <w:pPr>
      <w:numPr>
        <w:numId w:val="2"/>
      </w:numPr>
      <w:tabs>
        <w:tab w:val="clear" w:pos="432"/>
        <w:tab w:val="left" w:pos="806"/>
      </w:tabs>
      <w:spacing w:before="60" w:after="60"/>
      <w:ind w:left="792"/>
    </w:pPr>
  </w:style>
  <w:style w:type="paragraph" w:styleId="ListBullet2">
    <w:name w:val="List Bullet 2"/>
    <w:basedOn w:val="NormalIndent"/>
    <w:autoRedefine/>
    <w:rsid w:val="00D017BE"/>
    <w:pPr>
      <w:numPr>
        <w:numId w:val="3"/>
      </w:numPr>
      <w:tabs>
        <w:tab w:val="clear" w:pos="432"/>
        <w:tab w:val="left" w:pos="1166"/>
      </w:tabs>
      <w:spacing w:before="60" w:after="60"/>
      <w:ind w:left="1166"/>
    </w:pPr>
  </w:style>
  <w:style w:type="paragraph" w:styleId="ListBullet3">
    <w:name w:val="List Bullet 3"/>
    <w:basedOn w:val="NormalIndent"/>
    <w:autoRedefine/>
    <w:rsid w:val="00D017BE"/>
    <w:pPr>
      <w:numPr>
        <w:numId w:val="4"/>
      </w:numPr>
      <w:tabs>
        <w:tab w:val="clear" w:pos="432"/>
        <w:tab w:val="left" w:pos="1714"/>
      </w:tabs>
      <w:spacing w:before="60" w:after="60"/>
      <w:ind w:left="1713" w:hanging="547"/>
    </w:pPr>
  </w:style>
  <w:style w:type="paragraph" w:styleId="ListNumber">
    <w:name w:val="List Number"/>
    <w:basedOn w:val="Normal"/>
    <w:rsid w:val="00D017BE"/>
    <w:pPr>
      <w:ind w:left="360" w:hanging="360"/>
    </w:pPr>
  </w:style>
  <w:style w:type="paragraph" w:styleId="ListNumber2">
    <w:name w:val="List Number 2"/>
    <w:basedOn w:val="Normal"/>
    <w:rsid w:val="00D017BE"/>
    <w:pPr>
      <w:ind w:left="720" w:hanging="360"/>
    </w:pPr>
  </w:style>
  <w:style w:type="paragraph" w:styleId="ListNumber3">
    <w:name w:val="List Number 3"/>
    <w:basedOn w:val="Normal"/>
    <w:rsid w:val="00D017BE"/>
    <w:pPr>
      <w:ind w:left="1080" w:hanging="360"/>
    </w:pPr>
  </w:style>
  <w:style w:type="paragraph" w:styleId="DocumentMap">
    <w:name w:val="Document Map"/>
    <w:basedOn w:val="Normal"/>
    <w:semiHidden/>
    <w:rsid w:val="00D017BE"/>
    <w:pPr>
      <w:shd w:val="clear" w:color="auto" w:fill="000080"/>
    </w:pPr>
    <w:rPr>
      <w:rFonts w:ascii="Tahoma" w:hAnsi="Tahoma"/>
    </w:rPr>
  </w:style>
  <w:style w:type="paragraph" w:customStyle="1" w:styleId="1Paragraph">
    <w:name w:val="1Paragraph"/>
    <w:rsid w:val="00D017B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pPr>
    <w:rPr>
      <w:rFonts w:ascii="Courier" w:hAnsi="Courier"/>
      <w:snapToGrid w:val="0"/>
      <w:sz w:val="28"/>
    </w:rPr>
  </w:style>
  <w:style w:type="paragraph" w:customStyle="1" w:styleId="2Paragraph">
    <w:name w:val="2Paragraph"/>
    <w:rsid w:val="00D017B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5Paragraph">
    <w:name w:val="5Paragraph"/>
    <w:rsid w:val="00D017BE"/>
    <w:pPr>
      <w:ind w:left="3888"/>
    </w:pPr>
    <w:rPr>
      <w:rFonts w:ascii="Arial" w:hAnsi="Arial"/>
      <w:snapToGrid w:val="0"/>
      <w:sz w:val="21"/>
    </w:rPr>
  </w:style>
  <w:style w:type="paragraph" w:customStyle="1" w:styleId="6Paragraph">
    <w:name w:val="6Paragraph"/>
    <w:rsid w:val="00D017B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1"/>
    </w:rPr>
  </w:style>
  <w:style w:type="paragraph" w:customStyle="1" w:styleId="7Paragraph">
    <w:name w:val="7Paragraph"/>
    <w:rsid w:val="00D017BE"/>
    <w:pPr>
      <w:ind w:left="2376"/>
    </w:pPr>
    <w:rPr>
      <w:rFonts w:ascii="Courier" w:hAnsi="Courier"/>
      <w:snapToGrid w:val="0"/>
      <w:sz w:val="21"/>
    </w:rPr>
  </w:style>
  <w:style w:type="paragraph" w:customStyle="1" w:styleId="8Paragraph">
    <w:name w:val="8Paragraph"/>
    <w:rsid w:val="00D017BE"/>
    <w:pPr>
      <w:ind w:left="3168"/>
    </w:pPr>
    <w:rPr>
      <w:rFonts w:ascii="Courier" w:hAnsi="Courier"/>
      <w:snapToGrid w:val="0"/>
      <w:sz w:val="21"/>
    </w:rPr>
  </w:style>
  <w:style w:type="character" w:styleId="Hyperlink">
    <w:name w:val="Hyperlink"/>
    <w:basedOn w:val="DefaultParagraphFont"/>
    <w:rsid w:val="00484BDE"/>
    <w:rPr>
      <w:color w:val="0000FF"/>
      <w:u w:val="single"/>
    </w:rPr>
  </w:style>
  <w:style w:type="paragraph" w:styleId="NormalIndent">
    <w:name w:val="Normal Indent"/>
    <w:basedOn w:val="Normal"/>
    <w:rsid w:val="00D017BE"/>
    <w:pPr>
      <w:ind w:left="720"/>
    </w:pPr>
  </w:style>
  <w:style w:type="paragraph" w:styleId="BalloonText">
    <w:name w:val="Balloon Text"/>
    <w:basedOn w:val="Normal"/>
    <w:semiHidden/>
    <w:rsid w:val="00CB47C7"/>
    <w:rPr>
      <w:rFonts w:ascii="Tahoma" w:hAnsi="Tahoma" w:cs="Tahoma"/>
      <w:sz w:val="16"/>
      <w:szCs w:val="16"/>
    </w:rPr>
  </w:style>
  <w:style w:type="character" w:styleId="CommentReference">
    <w:name w:val="annotation reference"/>
    <w:basedOn w:val="DefaultParagraphFont"/>
    <w:rsid w:val="00E8635F"/>
    <w:rPr>
      <w:sz w:val="16"/>
      <w:szCs w:val="16"/>
    </w:rPr>
  </w:style>
  <w:style w:type="paragraph" w:styleId="CommentText">
    <w:name w:val="annotation text"/>
    <w:basedOn w:val="Normal"/>
    <w:link w:val="CommentTextChar"/>
    <w:rsid w:val="00E8635F"/>
    <w:rPr>
      <w:sz w:val="20"/>
    </w:rPr>
  </w:style>
  <w:style w:type="character" w:customStyle="1" w:styleId="CommentTextChar">
    <w:name w:val="Comment Text Char"/>
    <w:basedOn w:val="DefaultParagraphFont"/>
    <w:link w:val="CommentText"/>
    <w:rsid w:val="00E8635F"/>
    <w:rPr>
      <w:rFonts w:ascii="Arial" w:hAnsi="Arial"/>
    </w:rPr>
  </w:style>
  <w:style w:type="paragraph" w:styleId="CommentSubject">
    <w:name w:val="annotation subject"/>
    <w:basedOn w:val="CommentText"/>
    <w:next w:val="CommentText"/>
    <w:link w:val="CommentSubjectChar"/>
    <w:rsid w:val="00E8635F"/>
    <w:rPr>
      <w:b/>
      <w:bCs/>
    </w:rPr>
  </w:style>
  <w:style w:type="character" w:customStyle="1" w:styleId="CommentSubjectChar">
    <w:name w:val="Comment Subject Char"/>
    <w:basedOn w:val="CommentTextChar"/>
    <w:link w:val="CommentSubject"/>
    <w:rsid w:val="00E8635F"/>
    <w:rPr>
      <w:rFonts w:ascii="Arial" w:hAnsi="Arial"/>
      <w:b/>
      <w:bCs/>
    </w:rPr>
  </w:style>
  <w:style w:type="character" w:styleId="FollowedHyperlink">
    <w:name w:val="FollowedHyperlink"/>
    <w:basedOn w:val="DefaultParagraphFont"/>
    <w:rsid w:val="00A023B2"/>
    <w:rPr>
      <w:color w:val="800080" w:themeColor="followedHyperlink"/>
      <w:u w:val="single"/>
    </w:rPr>
  </w:style>
  <w:style w:type="paragraph" w:styleId="Revision">
    <w:name w:val="Revision"/>
    <w:hidden/>
    <w:uiPriority w:val="99"/>
    <w:semiHidden/>
    <w:rsid w:val="002F6F22"/>
    <w:rPr>
      <w:rFonts w:ascii="Arial" w:hAnsi="Arial"/>
      <w:sz w:val="24"/>
    </w:rPr>
  </w:style>
  <w:style w:type="character" w:customStyle="1" w:styleId="FootnoteTextChar">
    <w:name w:val="Footnote Text Char"/>
    <w:aliases w:val="ft Char"/>
    <w:basedOn w:val="DefaultParagraphFont"/>
    <w:link w:val="FootnoteText"/>
    <w:rsid w:val="001929B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5389">
      <w:bodyDiv w:val="1"/>
      <w:marLeft w:val="0"/>
      <w:marRight w:val="0"/>
      <w:marTop w:val="0"/>
      <w:marBottom w:val="0"/>
      <w:divBdr>
        <w:top w:val="none" w:sz="0" w:space="0" w:color="auto"/>
        <w:left w:val="none" w:sz="0" w:space="0" w:color="auto"/>
        <w:bottom w:val="none" w:sz="0" w:space="0" w:color="auto"/>
        <w:right w:val="none" w:sz="0" w:space="0" w:color="auto"/>
      </w:divBdr>
    </w:div>
    <w:div w:id="159270735">
      <w:bodyDiv w:val="1"/>
      <w:marLeft w:val="0"/>
      <w:marRight w:val="0"/>
      <w:marTop w:val="0"/>
      <w:marBottom w:val="0"/>
      <w:divBdr>
        <w:top w:val="none" w:sz="0" w:space="0" w:color="auto"/>
        <w:left w:val="none" w:sz="0" w:space="0" w:color="auto"/>
        <w:bottom w:val="none" w:sz="0" w:space="0" w:color="auto"/>
        <w:right w:val="none" w:sz="0" w:space="0" w:color="auto"/>
      </w:divBdr>
    </w:div>
    <w:div w:id="666902618">
      <w:bodyDiv w:val="1"/>
      <w:marLeft w:val="0"/>
      <w:marRight w:val="0"/>
      <w:marTop w:val="0"/>
      <w:marBottom w:val="0"/>
      <w:divBdr>
        <w:top w:val="none" w:sz="0" w:space="0" w:color="auto"/>
        <w:left w:val="none" w:sz="0" w:space="0" w:color="auto"/>
        <w:bottom w:val="none" w:sz="0" w:space="0" w:color="auto"/>
        <w:right w:val="none" w:sz="0" w:space="0" w:color="auto"/>
      </w:divBdr>
    </w:div>
    <w:div w:id="163625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mso.dla.mil/elibrary/manuals/regulations.a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lmso.dla.mil/elibrary/manuals/nondod.a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mso.dla.mil/elibrary/TransFormats/140_997.asp" TargetMode="External"/><Relationship Id="rId5" Type="http://schemas.openxmlformats.org/officeDocument/2006/relationships/numbering" Target="numbering.xml"/><Relationship Id="rId15" Type="http://schemas.openxmlformats.org/officeDocument/2006/relationships/hyperlink" Target="http://www.dlmso.dla.mil/elibrary/TransFormats/140_997.as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lmso.dla.mil/elibrary/manuals/forms.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A91B49B3C33145900AABD705836C08" ma:contentTypeVersion="1" ma:contentTypeDescription="Create a new document." ma:contentTypeScope="" ma:versionID="8d57cf71754186aa5ab5c1bfdca3323a">
  <xsd:schema xmlns:xsd="http://www.w3.org/2001/XMLSchema" xmlns:xs="http://www.w3.org/2001/XMLSchema" xmlns:p="http://schemas.microsoft.com/office/2006/metadata/properties" targetNamespace="http://schemas.microsoft.com/office/2006/metadata/properties" ma:root="true" ma:fieldsID="454074b7ef53c248fa7008158675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5AED4-9AF3-48E9-85E5-FE8FAD94C721}">
  <ds:schemaRef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04AF467-169A-4888-9C00-583996A06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C6B932-B94D-463E-A5B9-C50CA901E620}">
  <ds:schemaRefs>
    <ds:schemaRef ds:uri="http://schemas.microsoft.com/sharepoint/v3/contenttype/forms"/>
  </ds:schemaRefs>
</ds:datastoreItem>
</file>

<file path=customXml/itemProps4.xml><?xml version="1.0" encoding="utf-8"?>
<ds:datastoreItem xmlns:ds="http://schemas.openxmlformats.org/officeDocument/2006/customXml" ds:itemID="{317327AA-537F-4C09-B4F6-6B4E3BD5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Chapter-X.dot</Template>
  <TotalTime>171</TotalTime>
  <Pages>9</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Chapter 4 - Contract Completion Status Reporting</vt:lpstr>
    </vt:vector>
  </TitlesOfParts>
  <Company>Defense Logistics Agency</Company>
  <LinksUpToDate>false</LinksUpToDate>
  <CharactersWithSpaces>20328</CharactersWithSpaces>
  <SharedDoc>false</SharedDoc>
  <HLinks>
    <vt:vector size="30" baseType="variant">
      <vt:variant>
        <vt:i4>3276864</vt:i4>
      </vt:variant>
      <vt:variant>
        <vt:i4>12</vt:i4>
      </vt:variant>
      <vt:variant>
        <vt:i4>0</vt:i4>
      </vt:variant>
      <vt:variant>
        <vt:i4>5</vt:i4>
      </vt:variant>
      <vt:variant>
        <vt:lpwstr>http://www.dla.mil/j-6/dlmso/eLibrary/TransFormats/140_997.asp</vt:lpwstr>
      </vt:variant>
      <vt:variant>
        <vt:lpwstr/>
      </vt:variant>
      <vt:variant>
        <vt:i4>4063335</vt:i4>
      </vt:variant>
      <vt:variant>
        <vt:i4>9</vt:i4>
      </vt:variant>
      <vt:variant>
        <vt:i4>0</vt:i4>
      </vt:variant>
      <vt:variant>
        <vt:i4>5</vt:i4>
      </vt:variant>
      <vt:variant>
        <vt:lpwstr>http://www.dla.mil/j-6/dlmso/elibrary/manuals/forms.asp</vt:lpwstr>
      </vt:variant>
      <vt:variant>
        <vt:lpwstr/>
      </vt:variant>
      <vt:variant>
        <vt:i4>2031699</vt:i4>
      </vt:variant>
      <vt:variant>
        <vt:i4>6</vt:i4>
      </vt:variant>
      <vt:variant>
        <vt:i4>0</vt:i4>
      </vt:variant>
      <vt:variant>
        <vt:i4>5</vt:i4>
      </vt:variant>
      <vt:variant>
        <vt:lpwstr>http://www.dla.mil/j-6/dlmso/elibrary/manuals/nondod.asp</vt:lpwstr>
      </vt:variant>
      <vt:variant>
        <vt:lpwstr/>
      </vt:variant>
      <vt:variant>
        <vt:i4>2031699</vt:i4>
      </vt:variant>
      <vt:variant>
        <vt:i4>3</vt:i4>
      </vt:variant>
      <vt:variant>
        <vt:i4>0</vt:i4>
      </vt:variant>
      <vt:variant>
        <vt:i4>5</vt:i4>
      </vt:variant>
      <vt:variant>
        <vt:lpwstr>http://www.dla.mil/j-6/dlmso/elibrary/manuals/nondod.asp</vt:lpwstr>
      </vt:variant>
      <vt:variant>
        <vt:lpwstr/>
      </vt:variant>
      <vt:variant>
        <vt:i4>7340066</vt:i4>
      </vt:variant>
      <vt:variant>
        <vt:i4>0</vt:i4>
      </vt:variant>
      <vt:variant>
        <vt:i4>0</vt:i4>
      </vt:variant>
      <vt:variant>
        <vt:i4>5</vt:i4>
      </vt:variant>
      <vt:variant>
        <vt:lpwstr>http://www.dla.mil/j-6/dlmso/eLibrary/TransFormats/x12_140_650.asp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 Contract Completion Status Reporting</dc:title>
  <dc:subject>Contract Completion Status Reporting</dc:subject>
  <dc:creator>hpo0020</dc:creator>
  <cp:lastModifiedBy>Nguyen, Bao X CTR DLA INFO OPERATIONS (US)</cp:lastModifiedBy>
  <cp:revision>16</cp:revision>
  <cp:lastPrinted>2015-07-09T15:55:00Z</cp:lastPrinted>
  <dcterms:created xsi:type="dcterms:W3CDTF">2013-09-20T19:11:00Z</dcterms:created>
  <dcterms:modified xsi:type="dcterms:W3CDTF">2016-12-09T20:16:00Z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0x010100AEA91B49B3C33145900AABD705836C08</vt:lpwstr>
  </property>
</Properties>
</file>