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D2998" w14:textId="77777777" w:rsidR="00EA1F41" w:rsidRPr="002F761A" w:rsidRDefault="00D3484C" w:rsidP="00EA1F41">
      <w:pPr>
        <w:pStyle w:val="Header"/>
        <w:spacing w:after="40" w:line="240" w:lineRule="exact"/>
        <w:jc w:val="cente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drawing>
          <wp:anchor distT="0" distB="0" distL="114300" distR="114300" simplePos="0" relativeHeight="251657728" behindDoc="0" locked="0" layoutInCell="1" allowOverlap="1" wp14:anchorId="667D29EF" wp14:editId="78044400">
            <wp:simplePos x="0" y="0"/>
            <wp:positionH relativeFrom="column">
              <wp:posOffset>-457200</wp:posOffset>
            </wp:positionH>
            <wp:positionV relativeFrom="page">
              <wp:posOffset>347345</wp:posOffset>
            </wp:positionV>
            <wp:extent cx="941705" cy="941705"/>
            <wp:effectExtent l="0" t="0" r="0" b="0"/>
            <wp:wrapThrough wrapText="bothSides">
              <wp:wrapPolygon edited="0">
                <wp:start x="0" y="0"/>
                <wp:lineTo x="0" y="20974"/>
                <wp:lineTo x="20974" y="20974"/>
                <wp:lineTo x="20974" y="0"/>
                <wp:lineTo x="0" y="0"/>
              </wp:wrapPolygon>
            </wp:wrapThrough>
            <wp:docPr id="4" name="Picture 4" descr="D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anchor>
        </w:drawing>
      </w:r>
      <w:r w:rsidR="00D250E4">
        <w:rPr>
          <w:rFonts w:ascii="Copperplate Gothic Bold" w:eastAsia="Copperplate Gothic Bold" w:hAnsi="Copperplate Gothic Bold" w:cs="Copperplate Gothic Bold"/>
          <w:color w:val="295694"/>
          <w:sz w:val="22"/>
          <w:szCs w:val="22"/>
        </w:rPr>
        <w:t xml:space="preserve">OFFICE OF THE </w:t>
      </w:r>
      <w:r w:rsidR="00EA1F41">
        <w:rPr>
          <w:rFonts w:ascii="Copperplate Gothic Bold" w:eastAsia="Copperplate Gothic Bold" w:hAnsi="Copperplate Gothic Bold" w:cs="Copperplate Gothic Bold"/>
          <w:color w:val="295694"/>
          <w:sz w:val="22"/>
          <w:szCs w:val="22"/>
        </w:rPr>
        <w:t xml:space="preserve">ASSISTANT </w:t>
      </w:r>
      <w:r w:rsidR="00EA1F41" w:rsidRPr="002F761A">
        <w:rPr>
          <w:rFonts w:ascii="Copperplate Gothic Bold" w:eastAsia="Copperplate Gothic Bold" w:hAnsi="Copperplate Gothic Bold" w:cs="Copperplate Gothic Bold"/>
          <w:color w:val="295694"/>
          <w:sz w:val="22"/>
          <w:szCs w:val="22"/>
        </w:rPr>
        <w:t>SECRETARY OF DEFENSE</w:t>
      </w:r>
    </w:p>
    <w:p w14:paraId="667D2999" w14:textId="77777777" w:rsidR="00EA1F41" w:rsidRPr="002F761A" w:rsidRDefault="00EA1F41" w:rsidP="00EA1F41">
      <w:pPr>
        <w:pStyle w:val="Header"/>
        <w:spacing w:line="240" w:lineRule="exact"/>
        <w:jc w:val="center"/>
        <w:rPr>
          <w:rFonts w:ascii="Arial Unicode MS" w:eastAsia="Arial Unicode MS" w:hAnsi="Arial Unicode MS" w:cs="Arial Unicode MS"/>
          <w:sz w:val="20"/>
          <w:szCs w:val="20"/>
        </w:rPr>
      </w:pPr>
      <w:r w:rsidRPr="002F761A">
        <w:rPr>
          <w:rFonts w:ascii="Copperplate Gothic Bold" w:eastAsia="Copperplate Gothic Bold" w:hAnsi="Copperplate Gothic Bold" w:cs="Copperplate Gothic Bold"/>
          <w:color w:val="295694"/>
          <w:sz w:val="17"/>
          <w:szCs w:val="20"/>
        </w:rPr>
        <w:t>3000 DEFENSE PENTAGON</w:t>
      </w:r>
    </w:p>
    <w:p w14:paraId="667D299D" w14:textId="2993523C" w:rsidR="00EA1F41" w:rsidRPr="001F1735" w:rsidRDefault="00EA1F41" w:rsidP="001F1735">
      <w:pPr>
        <w:pStyle w:val="Header"/>
        <w:spacing w:after="140" w:line="170" w:lineRule="exact"/>
        <w:jc w:val="center"/>
        <w:rPr>
          <w:rFonts w:ascii="Copperplate Gothic Bold" w:eastAsia="Copperplate Gothic Bold" w:hAnsi="Copperplate Gothic Bold" w:cs="Copperplate Gothic Bold"/>
          <w:color w:val="295694"/>
          <w:sz w:val="17"/>
          <w:szCs w:val="20"/>
        </w:rPr>
      </w:pPr>
      <w:r w:rsidRPr="002F761A">
        <w:rPr>
          <w:rFonts w:ascii="Copperplate Gothic Bold" w:eastAsia="Copperplate Gothic Bold" w:hAnsi="Copperplate Gothic Bold" w:cs="Copperplate Gothic Bold"/>
          <w:color w:val="295694"/>
          <w:sz w:val="17"/>
          <w:szCs w:val="20"/>
        </w:rPr>
        <w:t>WASHINGTON, DC  20301-3000</w:t>
      </w:r>
      <w:r w:rsidRPr="002F761A">
        <w:rPr>
          <w:rFonts w:ascii="Copperplate Gothic Bold" w:eastAsia="Copperplate Gothic Bold" w:hAnsi="Copperplate Gothic Bold" w:cs="Copperplate Gothic Bold"/>
          <w:color w:val="295694"/>
          <w:sz w:val="13"/>
          <w:szCs w:val="14"/>
        </w:rPr>
        <w:t xml:space="preserve">     </w:t>
      </w:r>
    </w:p>
    <w:p w14:paraId="667D29A0" w14:textId="4574C3AE" w:rsidR="00EA1F41" w:rsidRPr="002F761A" w:rsidRDefault="00EA1F41" w:rsidP="00D32213">
      <w:pPr>
        <w:pStyle w:val="Header"/>
        <w:ind w:left="-720"/>
        <w:rPr>
          <w:rFonts w:ascii="Arial Rounded MT Bold" w:eastAsia="Arial Unicode MS" w:hAnsi="Arial Rounded MT Bold" w:cs="Arial Unicode MS"/>
          <w:sz w:val="14"/>
          <w:szCs w:val="14"/>
        </w:rPr>
      </w:pPr>
      <w:r>
        <w:rPr>
          <w:rFonts w:ascii="Copperplate Gothic Bold" w:eastAsia="Copperplate Gothic Bold" w:hAnsi="Copperplate Gothic Bold" w:cs="Copperplate Gothic Bold"/>
          <w:color w:val="295694"/>
          <w:sz w:val="13"/>
          <w:szCs w:val="14"/>
        </w:rPr>
        <w:t xml:space="preserve">            </w:t>
      </w:r>
      <w:r w:rsidR="00D32213">
        <w:rPr>
          <w:rFonts w:ascii="Copperplate Gothic Bold" w:eastAsia="Copperplate Gothic Bold" w:hAnsi="Copperplate Gothic Bold" w:cs="Copperplate Gothic Bold"/>
          <w:color w:val="295694"/>
          <w:sz w:val="13"/>
          <w:szCs w:val="14"/>
        </w:rPr>
        <w:t>SUSTAINMENT</w:t>
      </w:r>
    </w:p>
    <w:p w14:paraId="667D29A1" w14:textId="4FB194D7" w:rsidR="00EA1F41" w:rsidRPr="003C707E" w:rsidRDefault="00216F80" w:rsidP="001822BB">
      <w:pPr>
        <w:pStyle w:val="Footer"/>
        <w:tabs>
          <w:tab w:val="left" w:pos="1620"/>
        </w:tabs>
        <w:ind w:left="1620" w:hanging="1620"/>
        <w:jc w:val="right"/>
        <w:rPr>
          <w:color w:val="000000" w:themeColor="text1"/>
          <w:sz w:val="26"/>
          <w:szCs w:val="26"/>
        </w:rPr>
      </w:pPr>
      <w:r w:rsidRPr="003C707E">
        <w:rPr>
          <w:color w:val="000000" w:themeColor="text1"/>
          <w:sz w:val="26"/>
          <w:szCs w:val="26"/>
        </w:rPr>
        <w:t xml:space="preserve">DLM 4000.25, Volume </w:t>
      </w:r>
      <w:r w:rsidR="00581D38" w:rsidRPr="003C707E">
        <w:rPr>
          <w:color w:val="000000" w:themeColor="text1"/>
          <w:sz w:val="26"/>
          <w:szCs w:val="26"/>
        </w:rPr>
        <w:t>2</w:t>
      </w:r>
      <w:r w:rsidR="008F76AB" w:rsidRPr="003C707E">
        <w:rPr>
          <w:color w:val="000000" w:themeColor="text1"/>
          <w:sz w:val="26"/>
          <w:szCs w:val="26"/>
        </w:rPr>
        <w:t xml:space="preserve">, </w:t>
      </w:r>
      <w:r w:rsidR="00C60EA5">
        <w:rPr>
          <w:color w:val="000000" w:themeColor="text1"/>
          <w:sz w:val="26"/>
          <w:szCs w:val="26"/>
        </w:rPr>
        <w:t>November 26</w:t>
      </w:r>
      <w:r w:rsidR="00E431D2">
        <w:rPr>
          <w:color w:val="000000" w:themeColor="text1"/>
          <w:sz w:val="26"/>
          <w:szCs w:val="26"/>
        </w:rPr>
        <w:t xml:space="preserve">, </w:t>
      </w:r>
      <w:r w:rsidR="009738C5">
        <w:rPr>
          <w:color w:val="000000" w:themeColor="text1"/>
          <w:sz w:val="26"/>
          <w:szCs w:val="26"/>
        </w:rPr>
        <w:t>2019</w:t>
      </w:r>
    </w:p>
    <w:p w14:paraId="667D29A2" w14:textId="552D8197" w:rsidR="008F76AB" w:rsidRPr="003C707E" w:rsidRDefault="008F76AB" w:rsidP="00726F50">
      <w:pPr>
        <w:pStyle w:val="Footer"/>
        <w:tabs>
          <w:tab w:val="left" w:pos="1620"/>
        </w:tabs>
        <w:spacing w:after="240"/>
        <w:ind w:left="1627" w:hanging="1627"/>
        <w:jc w:val="right"/>
        <w:rPr>
          <w:color w:val="000000" w:themeColor="text1"/>
          <w:sz w:val="26"/>
          <w:szCs w:val="26"/>
        </w:rPr>
      </w:pPr>
      <w:r w:rsidRPr="003C707E">
        <w:rPr>
          <w:color w:val="000000" w:themeColor="text1"/>
          <w:sz w:val="26"/>
          <w:szCs w:val="26"/>
        </w:rPr>
        <w:t xml:space="preserve">Change </w:t>
      </w:r>
      <w:r w:rsidR="00242814">
        <w:rPr>
          <w:color w:val="000000" w:themeColor="text1"/>
          <w:sz w:val="26"/>
          <w:szCs w:val="26"/>
        </w:rPr>
        <w:t>13</w:t>
      </w:r>
    </w:p>
    <w:p w14:paraId="667D29A3" w14:textId="3FC67534" w:rsidR="008F76AB" w:rsidRPr="003C707E" w:rsidRDefault="007A4606" w:rsidP="00CB2D13">
      <w:pPr>
        <w:pStyle w:val="Footer"/>
        <w:tabs>
          <w:tab w:val="left" w:pos="1260"/>
        </w:tabs>
        <w:ind w:left="1260" w:hanging="1260"/>
        <w:jc w:val="center"/>
        <w:rPr>
          <w:bCs/>
          <w:color w:val="000000" w:themeColor="text1"/>
        </w:rPr>
      </w:pPr>
      <w:r w:rsidRPr="003C707E">
        <w:rPr>
          <w:bCs/>
          <w:color w:val="000000" w:themeColor="text1"/>
        </w:rPr>
        <w:t xml:space="preserve">DEFENSE LOGISTICS MANAGEMENT </w:t>
      </w:r>
      <w:r w:rsidR="002D4D61" w:rsidRPr="003C707E">
        <w:rPr>
          <w:bCs/>
          <w:color w:val="000000" w:themeColor="text1"/>
        </w:rPr>
        <w:t>STANDARDS</w:t>
      </w:r>
    </w:p>
    <w:p w14:paraId="667D29A4" w14:textId="0B10C1D3" w:rsidR="008F76AB" w:rsidRPr="003C707E" w:rsidRDefault="007A4606" w:rsidP="00CB2D13">
      <w:pPr>
        <w:pStyle w:val="Footer"/>
        <w:tabs>
          <w:tab w:val="left" w:pos="1260"/>
        </w:tabs>
        <w:ind w:left="1260" w:hanging="1260"/>
        <w:jc w:val="center"/>
        <w:rPr>
          <w:bCs/>
          <w:caps/>
          <w:color w:val="000000" w:themeColor="text1"/>
        </w:rPr>
      </w:pPr>
      <w:r w:rsidRPr="003C707E">
        <w:rPr>
          <w:bCs/>
          <w:color w:val="000000" w:themeColor="text1"/>
        </w:rPr>
        <w:t xml:space="preserve">VOLUME </w:t>
      </w:r>
      <w:r w:rsidR="00581D38" w:rsidRPr="003C707E">
        <w:rPr>
          <w:bCs/>
          <w:color w:val="000000" w:themeColor="text1"/>
        </w:rPr>
        <w:t>2</w:t>
      </w:r>
      <w:r w:rsidRPr="003C707E">
        <w:rPr>
          <w:bCs/>
          <w:color w:val="000000" w:themeColor="text1"/>
        </w:rPr>
        <w:t xml:space="preserve">, </w:t>
      </w:r>
      <w:r w:rsidR="00581D38" w:rsidRPr="003C707E">
        <w:rPr>
          <w:bCs/>
          <w:caps/>
          <w:color w:val="000000" w:themeColor="text1"/>
        </w:rPr>
        <w:t>Supply Standards and Procedures</w:t>
      </w:r>
    </w:p>
    <w:p w14:paraId="667D29A5" w14:textId="2903975E" w:rsidR="007A4606" w:rsidRPr="003C707E" w:rsidRDefault="007A4606" w:rsidP="005B4C9B">
      <w:pPr>
        <w:pStyle w:val="Footer"/>
        <w:tabs>
          <w:tab w:val="left" w:pos="1260"/>
        </w:tabs>
        <w:spacing w:after="240"/>
        <w:ind w:left="1267" w:hanging="1267"/>
        <w:jc w:val="center"/>
        <w:rPr>
          <w:bCs/>
          <w:color w:val="000000" w:themeColor="text1"/>
        </w:rPr>
      </w:pPr>
      <w:r w:rsidRPr="003C707E">
        <w:rPr>
          <w:bCs/>
          <w:color w:val="000000" w:themeColor="text1"/>
        </w:rPr>
        <w:t>C</w:t>
      </w:r>
      <w:r w:rsidR="00333B11" w:rsidRPr="003C707E">
        <w:rPr>
          <w:bCs/>
          <w:color w:val="000000" w:themeColor="text1"/>
        </w:rPr>
        <w:t xml:space="preserve">HANGE </w:t>
      </w:r>
      <w:r w:rsidR="00363668">
        <w:rPr>
          <w:bCs/>
          <w:color w:val="000000" w:themeColor="text1"/>
        </w:rPr>
        <w:t>1</w:t>
      </w:r>
      <w:r w:rsidR="00242814">
        <w:rPr>
          <w:bCs/>
          <w:color w:val="000000" w:themeColor="text1"/>
        </w:rPr>
        <w:t>3</w:t>
      </w:r>
    </w:p>
    <w:p w14:paraId="742FB149" w14:textId="26928932" w:rsidR="00BB5E75" w:rsidRPr="005B4C9B" w:rsidRDefault="007A4606" w:rsidP="00FA0F77">
      <w:pPr>
        <w:spacing w:after="240"/>
      </w:pPr>
      <w:r w:rsidRPr="005B4C9B">
        <w:t>I.</w:t>
      </w:r>
      <w:r w:rsidRPr="005B4C9B">
        <w:rPr>
          <w:spacing w:val="57"/>
        </w:rPr>
        <w:t xml:space="preserve"> </w:t>
      </w:r>
      <w:r w:rsidRPr="005B4C9B">
        <w:t>This change to DLM 4000.25,</w:t>
      </w:r>
      <w:r w:rsidRPr="005B4C9B">
        <w:rPr>
          <w:spacing w:val="-1"/>
        </w:rPr>
        <w:t xml:space="preserve"> Defense Logistics Management </w:t>
      </w:r>
      <w:r w:rsidR="002D4D61" w:rsidRPr="005B4C9B">
        <w:rPr>
          <w:spacing w:val="-1"/>
        </w:rPr>
        <w:t>Standards</w:t>
      </w:r>
      <w:r w:rsidRPr="005B4C9B">
        <w:rPr>
          <w:spacing w:val="-1"/>
        </w:rPr>
        <w:t xml:space="preserve">, Volume </w:t>
      </w:r>
      <w:r w:rsidR="00581D38" w:rsidRPr="005B4C9B">
        <w:rPr>
          <w:spacing w:val="-1"/>
        </w:rPr>
        <w:t>2</w:t>
      </w:r>
      <w:r w:rsidRPr="005B4C9B">
        <w:rPr>
          <w:spacing w:val="-1"/>
        </w:rPr>
        <w:t xml:space="preserve">, </w:t>
      </w:r>
      <w:r w:rsidR="00117B4F" w:rsidRPr="005B4C9B">
        <w:rPr>
          <w:spacing w:val="-1"/>
        </w:rPr>
        <w:br/>
      </w:r>
      <w:r w:rsidR="00670064" w:rsidRPr="005B4C9B">
        <w:rPr>
          <w:spacing w:val="-1"/>
        </w:rPr>
        <w:t xml:space="preserve">June </w:t>
      </w:r>
      <w:r w:rsidR="006E6D38">
        <w:rPr>
          <w:spacing w:val="-1"/>
        </w:rPr>
        <w:t xml:space="preserve">13, </w:t>
      </w:r>
      <w:r w:rsidR="00670064" w:rsidRPr="005B4C9B">
        <w:rPr>
          <w:spacing w:val="-1"/>
        </w:rPr>
        <w:t>2012</w:t>
      </w:r>
      <w:r w:rsidRPr="005B4C9B">
        <w:t>, is p</w:t>
      </w:r>
      <w:r w:rsidRPr="005B4C9B">
        <w:rPr>
          <w:spacing w:val="-1"/>
        </w:rPr>
        <w:t>u</w:t>
      </w:r>
      <w:r w:rsidRPr="005B4C9B">
        <w:t>blished</w:t>
      </w:r>
      <w:r w:rsidR="00327A0E" w:rsidRPr="005B4C9B">
        <w:t xml:space="preserve"> </w:t>
      </w:r>
      <w:r w:rsidRPr="005B4C9B">
        <w:rPr>
          <w:spacing w:val="-1"/>
        </w:rPr>
        <w:t>b</w:t>
      </w:r>
      <w:r w:rsidRPr="005B4C9B">
        <w:t>y</w:t>
      </w:r>
      <w:r w:rsidRPr="005B4C9B">
        <w:rPr>
          <w:spacing w:val="1"/>
        </w:rPr>
        <w:t xml:space="preserve"> </w:t>
      </w:r>
      <w:r w:rsidRPr="005B4C9B">
        <w:t>dir</w:t>
      </w:r>
      <w:r w:rsidRPr="005B4C9B">
        <w:rPr>
          <w:spacing w:val="-2"/>
        </w:rPr>
        <w:t>e</w:t>
      </w:r>
      <w:r w:rsidRPr="005B4C9B">
        <w:t>ction of the Depu</w:t>
      </w:r>
      <w:r w:rsidRPr="005B4C9B">
        <w:rPr>
          <w:spacing w:val="-2"/>
        </w:rPr>
        <w:t>t</w:t>
      </w:r>
      <w:r w:rsidRPr="005B4C9B">
        <w:t>y</w:t>
      </w:r>
      <w:r w:rsidRPr="005B4C9B">
        <w:rPr>
          <w:spacing w:val="1"/>
        </w:rPr>
        <w:t xml:space="preserve"> Assistant Secretary of Defense for </w:t>
      </w:r>
      <w:r w:rsidR="0043707C">
        <w:rPr>
          <w:spacing w:val="1"/>
        </w:rPr>
        <w:t xml:space="preserve">Logistics </w:t>
      </w:r>
      <w:r w:rsidRPr="005B4C9B">
        <w:t>u</w:t>
      </w:r>
      <w:r w:rsidRPr="005B4C9B">
        <w:rPr>
          <w:spacing w:val="-1"/>
        </w:rPr>
        <w:t>n</w:t>
      </w:r>
      <w:r w:rsidRPr="005B4C9B">
        <w:t>d</w:t>
      </w:r>
      <w:r w:rsidRPr="005B4C9B">
        <w:rPr>
          <w:spacing w:val="-1"/>
        </w:rPr>
        <w:t>e</w:t>
      </w:r>
      <w:r w:rsidRPr="005B4C9B">
        <w:t>r the authority</w:t>
      </w:r>
      <w:r w:rsidRPr="005B4C9B">
        <w:rPr>
          <w:spacing w:val="1"/>
        </w:rPr>
        <w:t xml:space="preserve"> </w:t>
      </w:r>
      <w:r w:rsidRPr="005B4C9B">
        <w:rPr>
          <w:spacing w:val="-1"/>
        </w:rPr>
        <w:t>o</w:t>
      </w:r>
      <w:r w:rsidRPr="005B4C9B">
        <w:t>f D</w:t>
      </w:r>
      <w:r w:rsidRPr="005B4C9B">
        <w:rPr>
          <w:spacing w:val="-1"/>
        </w:rPr>
        <w:t>o</w:t>
      </w:r>
      <w:r w:rsidRPr="005B4C9B">
        <w:t>D Instruction (DoDI) 4140.01, “DoD Supply Chain Materiel Management Policy</w:t>
      </w:r>
      <w:r w:rsidRPr="005B4C9B">
        <w:rPr>
          <w:spacing w:val="1"/>
        </w:rPr>
        <w:t>,” December 14, 2011</w:t>
      </w:r>
      <w:r w:rsidRPr="005B4C9B">
        <w:t>.</w:t>
      </w:r>
      <w:r w:rsidR="003F6A18" w:rsidRPr="005B4C9B">
        <w:t xml:space="preserve">  </w:t>
      </w:r>
      <w:r w:rsidRPr="005B4C9B">
        <w:t>Unless</w:t>
      </w:r>
      <w:r w:rsidRPr="005B4C9B">
        <w:rPr>
          <w:spacing w:val="-1"/>
        </w:rPr>
        <w:t xml:space="preserve"> </w:t>
      </w:r>
      <w:r w:rsidRPr="005B4C9B">
        <w:t>otherwise noted, revised text in the manual is identified by</w:t>
      </w:r>
      <w:r w:rsidRPr="005B4C9B">
        <w:rPr>
          <w:b/>
          <w:bCs/>
          <w:i/>
        </w:rPr>
        <w:t xml:space="preserve"> bold, italicized</w:t>
      </w:r>
      <w:r w:rsidRPr="005B4C9B">
        <w:rPr>
          <w:b/>
          <w:bCs/>
          <w:i/>
          <w:spacing w:val="-1"/>
        </w:rPr>
        <w:t xml:space="preserve"> </w:t>
      </w:r>
      <w:r w:rsidRPr="005B4C9B">
        <w:t xml:space="preserve">print.  </w:t>
      </w:r>
      <w:r w:rsidR="006F3A4C" w:rsidRPr="005B4C9B">
        <w:t>E</w:t>
      </w:r>
      <w:r w:rsidRPr="005B4C9B">
        <w:t>xception</w:t>
      </w:r>
      <w:r w:rsidR="005C38B6" w:rsidRPr="005B4C9B">
        <w:t>s</w:t>
      </w:r>
      <w:r w:rsidRPr="005B4C9B">
        <w:t xml:space="preserve"> </w:t>
      </w:r>
      <w:r w:rsidR="006F3A4C" w:rsidRPr="005B4C9B">
        <w:t>are when an</w:t>
      </w:r>
      <w:r w:rsidRPr="005B4C9B">
        <w:t xml:space="preserve"> entire chapter or appendix is replaced, a new one added</w:t>
      </w:r>
      <w:r w:rsidR="003C707E" w:rsidRPr="005B4C9B">
        <w:t>, or an administrative update is made</w:t>
      </w:r>
      <w:r w:rsidRPr="005B4C9B">
        <w:t>.</w:t>
      </w:r>
      <w:r w:rsidR="00D23C3D" w:rsidRPr="005B4C9B">
        <w:t xml:space="preserve">  </w:t>
      </w:r>
      <w:r w:rsidR="006F3A4C" w:rsidRPr="005B4C9B">
        <w:t>A</w:t>
      </w:r>
      <w:r w:rsidR="003C707E" w:rsidRPr="005B4C9B">
        <w:t xml:space="preserve">dministrative updates in </w:t>
      </w:r>
      <w:r w:rsidR="00D23C3D" w:rsidRPr="005B4C9B">
        <w:t xml:space="preserve">Change </w:t>
      </w:r>
      <w:r w:rsidR="00363668">
        <w:t>1</w:t>
      </w:r>
      <w:r w:rsidR="00242814">
        <w:t>3</w:t>
      </w:r>
      <w:r w:rsidR="00D23C3D" w:rsidRPr="005B4C9B">
        <w:t xml:space="preserve"> include</w:t>
      </w:r>
      <w:r w:rsidR="00391A19">
        <w:t xml:space="preserve">, but are not limited to, </w:t>
      </w:r>
      <w:r w:rsidR="003C707E" w:rsidRPr="005B4C9B">
        <w:t>the following</w:t>
      </w:r>
      <w:r w:rsidR="00D23C3D" w:rsidRPr="005B4C9B">
        <w:t xml:space="preserve">: </w:t>
      </w:r>
      <w:r w:rsidR="00391A19">
        <w:t xml:space="preserve"> </w:t>
      </w:r>
      <w:r w:rsidR="00391A19">
        <w:rPr>
          <w:color w:val="000000" w:themeColor="text1"/>
        </w:rPr>
        <w:t xml:space="preserve">Office names and symbols that have changed are updated (e.g., ODASD(Logistics)).  </w:t>
      </w:r>
      <w:r w:rsidR="006D023F">
        <w:rPr>
          <w:color w:val="000000" w:themeColor="text1"/>
        </w:rPr>
        <w:t xml:space="preserve">The name of the Material Safety Data Sheet (MSDS) is updated to Safety Data Sheet (SDS).  </w:t>
      </w:r>
      <w:r w:rsidR="00C05A94">
        <w:t>A</w:t>
      </w:r>
      <w:r w:rsidR="00D23C3D" w:rsidRPr="005B4C9B">
        <w:t xml:space="preserve">bbreviations such as etc., </w:t>
      </w:r>
      <w:r w:rsidR="00320B37" w:rsidRPr="005B4C9B">
        <w:t>e.g.</w:t>
      </w:r>
      <w:r w:rsidR="00D23C3D" w:rsidRPr="005B4C9B">
        <w:t>, and i.e. are incorporated inside the parentheses</w:t>
      </w:r>
      <w:r w:rsidR="00C05A94">
        <w:t>.  O</w:t>
      </w:r>
      <w:r w:rsidR="003C707E" w:rsidRPr="005B4C9B">
        <w:t>ccurrences of</w:t>
      </w:r>
      <w:r w:rsidR="00D46C4D" w:rsidRPr="005B4C9B">
        <w:t xml:space="preserve"> “shall” </w:t>
      </w:r>
      <w:r w:rsidR="003C707E" w:rsidRPr="005B4C9B">
        <w:t xml:space="preserve">are changed to </w:t>
      </w:r>
      <w:r w:rsidR="00D46C4D" w:rsidRPr="005B4C9B">
        <w:t xml:space="preserve">“will” per </w:t>
      </w:r>
      <w:r w:rsidR="00E7790B">
        <w:t xml:space="preserve">the </w:t>
      </w:r>
      <w:r w:rsidR="00F7513E">
        <w:t>current</w:t>
      </w:r>
      <w:r w:rsidR="00F7513E" w:rsidRPr="005B4C9B">
        <w:t xml:space="preserve"> </w:t>
      </w:r>
      <w:r w:rsidR="00D46C4D" w:rsidRPr="005B4C9B">
        <w:t xml:space="preserve">style </w:t>
      </w:r>
      <w:r w:rsidR="00F7513E">
        <w:t>guide</w:t>
      </w:r>
      <w:r w:rsidR="00F7513E" w:rsidRPr="005B4C9B">
        <w:t xml:space="preserve"> </w:t>
      </w:r>
      <w:r w:rsidR="00D46C4D" w:rsidRPr="005B4C9B">
        <w:t>for DoD issuances</w:t>
      </w:r>
      <w:r w:rsidR="00C05A94">
        <w:t xml:space="preserve">.  </w:t>
      </w:r>
      <w:r w:rsidR="00F86394">
        <w:rPr>
          <w:color w:val="000000" w:themeColor="text1"/>
        </w:rPr>
        <w:t>References to “(DLA) Transaction Services” are changed to “Defense Automatic Addressing System (DAAS)” and “DLA Logistics Information Services” to “Logistics Information Services”</w:t>
      </w:r>
      <w:r w:rsidR="00EA3822">
        <w:rPr>
          <w:color w:val="000000" w:themeColor="text1"/>
        </w:rPr>
        <w:t xml:space="preserve">.  </w:t>
      </w:r>
      <w:r w:rsidR="00767938">
        <w:rPr>
          <w:color w:val="000000" w:themeColor="text1"/>
        </w:rPr>
        <w:t>In addition,</w:t>
      </w:r>
      <w:r w:rsidR="008910B8" w:rsidRPr="005B4C9B">
        <w:t xml:space="preserve"> minor typographical and similar editing errors</w:t>
      </w:r>
      <w:r w:rsidR="008910B8" w:rsidRPr="009E4A3B">
        <w:t xml:space="preserve"> </w:t>
      </w:r>
      <w:r w:rsidR="008910B8" w:rsidRPr="005B4C9B">
        <w:t>in previous version</w:t>
      </w:r>
      <w:r w:rsidR="008910B8">
        <w:t xml:space="preserve">s </w:t>
      </w:r>
      <w:r w:rsidR="008910B8" w:rsidRPr="005B4C9B">
        <w:t xml:space="preserve">have been corrected. </w:t>
      </w:r>
    </w:p>
    <w:p w14:paraId="5729106B" w14:textId="5FDA9252" w:rsidR="00E70CCC" w:rsidRPr="005B4C9B" w:rsidRDefault="007A4606" w:rsidP="00FA0F77">
      <w:pPr>
        <w:spacing w:after="240"/>
      </w:pPr>
      <w:r w:rsidRPr="005B4C9B">
        <w:t>II.</w:t>
      </w:r>
      <w:r w:rsidRPr="005B4C9B">
        <w:rPr>
          <w:spacing w:val="57"/>
        </w:rPr>
        <w:t xml:space="preserve"> </w:t>
      </w:r>
      <w:r w:rsidRPr="005B4C9B">
        <w:t>This cha</w:t>
      </w:r>
      <w:r w:rsidRPr="005B4C9B">
        <w:rPr>
          <w:spacing w:val="-1"/>
        </w:rPr>
        <w:t>n</w:t>
      </w:r>
      <w:r w:rsidRPr="005B4C9B">
        <w:t xml:space="preserve">ge includes Approved Defense Logistics Management </w:t>
      </w:r>
      <w:r w:rsidR="006A2309" w:rsidRPr="005B4C9B">
        <w:t>Standards (</w:t>
      </w:r>
      <w:r w:rsidR="0050336C" w:rsidRPr="005B4C9B">
        <w:t>DLMS) Change</w:t>
      </w:r>
      <w:r w:rsidRPr="005B4C9B">
        <w:t xml:space="preserve"> (ADC) published by </w:t>
      </w:r>
      <w:r w:rsidR="002F19AC">
        <w:t>Enterprise Business</w:t>
      </w:r>
      <w:r w:rsidRPr="005B4C9B">
        <w:t xml:space="preserve"> </w:t>
      </w:r>
      <w:r w:rsidR="00E569C8" w:rsidRPr="005B4C9B">
        <w:t xml:space="preserve">Standards Office </w:t>
      </w:r>
      <w:r w:rsidR="00581D38" w:rsidRPr="005B4C9B">
        <w:t>memorandum:</w:t>
      </w:r>
    </w:p>
    <w:p w14:paraId="07D2C4BD" w14:textId="625EDB1A" w:rsidR="00EE7319" w:rsidRPr="00647667" w:rsidRDefault="00AC2D0F" w:rsidP="00A803CD">
      <w:pPr>
        <w:pStyle w:val="ListParagraph"/>
        <w:numPr>
          <w:ilvl w:val="0"/>
          <w:numId w:val="2"/>
        </w:numPr>
        <w:shd w:val="clear" w:color="auto" w:fill="FFFFFF" w:themeFill="background1"/>
        <w:spacing w:after="240" w:line="240" w:lineRule="auto"/>
        <w:ind w:left="0" w:firstLine="907"/>
        <w:contextualSpacing w:val="0"/>
        <w:rPr>
          <w:rFonts w:ascii="Times New Roman" w:eastAsia="Times New Roman" w:hAnsi="Times New Roman"/>
          <w:sz w:val="24"/>
          <w:szCs w:val="24"/>
        </w:rPr>
      </w:pPr>
      <w:r w:rsidRPr="00647667">
        <w:rPr>
          <w:rFonts w:ascii="Times New Roman" w:eastAsia="Times New Roman" w:hAnsi="Times New Roman"/>
          <w:sz w:val="24"/>
          <w:szCs w:val="24"/>
        </w:rPr>
        <w:t xml:space="preserve">  </w:t>
      </w:r>
      <w:r w:rsidR="005B0C2F" w:rsidRPr="00647667">
        <w:rPr>
          <w:rFonts w:ascii="Times New Roman" w:eastAsia="Times New Roman" w:hAnsi="Times New Roman"/>
          <w:sz w:val="24"/>
          <w:szCs w:val="24"/>
        </w:rPr>
        <w:t>ADC</w:t>
      </w:r>
      <w:r w:rsidR="00460036" w:rsidRPr="00647667">
        <w:rPr>
          <w:rFonts w:ascii="Times New Roman" w:eastAsia="Times New Roman" w:hAnsi="Times New Roman"/>
          <w:sz w:val="24"/>
          <w:szCs w:val="24"/>
        </w:rPr>
        <w:t xml:space="preserve"> 1</w:t>
      </w:r>
      <w:r w:rsidR="00647667" w:rsidRPr="00647667">
        <w:rPr>
          <w:rFonts w:ascii="Times New Roman" w:eastAsia="Times New Roman" w:hAnsi="Times New Roman"/>
          <w:sz w:val="24"/>
          <w:szCs w:val="24"/>
        </w:rPr>
        <w:t>06</w:t>
      </w:r>
      <w:r w:rsidR="00460036" w:rsidRPr="00647667">
        <w:rPr>
          <w:rFonts w:ascii="Times New Roman" w:eastAsia="Times New Roman" w:hAnsi="Times New Roman"/>
          <w:sz w:val="24"/>
          <w:szCs w:val="24"/>
        </w:rPr>
        <w:t>6</w:t>
      </w:r>
      <w:r w:rsidR="00647667" w:rsidRPr="00647667">
        <w:rPr>
          <w:rFonts w:ascii="Times New Roman" w:eastAsia="Times New Roman" w:hAnsi="Times New Roman"/>
          <w:sz w:val="24"/>
          <w:szCs w:val="24"/>
        </w:rPr>
        <w:t>B</w:t>
      </w:r>
      <w:r w:rsidR="00460036" w:rsidRPr="00647667">
        <w:rPr>
          <w:rFonts w:ascii="Times New Roman" w:eastAsia="Times New Roman" w:hAnsi="Times New Roman"/>
          <w:sz w:val="24"/>
          <w:szCs w:val="24"/>
        </w:rPr>
        <w:t xml:space="preserve"> dated </w:t>
      </w:r>
      <w:r w:rsidR="00647667" w:rsidRPr="00647667">
        <w:rPr>
          <w:rFonts w:ascii="Times New Roman" w:eastAsia="Times New Roman" w:hAnsi="Times New Roman"/>
          <w:sz w:val="24"/>
          <w:szCs w:val="24"/>
        </w:rPr>
        <w:t>March 21, 2019</w:t>
      </w:r>
      <w:r w:rsidR="00460036" w:rsidRPr="00647667">
        <w:rPr>
          <w:rFonts w:ascii="Times New Roman" w:eastAsia="Times New Roman" w:hAnsi="Times New Roman"/>
          <w:sz w:val="24"/>
          <w:szCs w:val="24"/>
        </w:rPr>
        <w:t xml:space="preserve">.  </w:t>
      </w:r>
      <w:r w:rsidR="00647667">
        <w:rPr>
          <w:rFonts w:ascii="Times New Roman" w:eastAsia="Times New Roman" w:hAnsi="Times New Roman"/>
          <w:sz w:val="24"/>
          <w:szCs w:val="24"/>
        </w:rPr>
        <w:t>U</w:t>
      </w:r>
      <w:r w:rsidR="00647667" w:rsidRPr="00647667">
        <w:rPr>
          <w:rFonts w:ascii="Times New Roman" w:eastAsia="Times New Roman" w:hAnsi="Times New Roman"/>
          <w:sz w:val="24"/>
          <w:szCs w:val="24"/>
        </w:rPr>
        <w:t>pdates D</w:t>
      </w:r>
      <w:r w:rsidR="00647667">
        <w:rPr>
          <w:rFonts w:ascii="Times New Roman" w:eastAsia="Times New Roman" w:hAnsi="Times New Roman"/>
          <w:sz w:val="24"/>
          <w:szCs w:val="24"/>
        </w:rPr>
        <w:t>o</w:t>
      </w:r>
      <w:r w:rsidR="00647667" w:rsidRPr="00647667">
        <w:rPr>
          <w:rFonts w:ascii="Times New Roman" w:eastAsia="Times New Roman" w:hAnsi="Times New Roman"/>
          <w:sz w:val="24"/>
          <w:szCs w:val="24"/>
        </w:rPr>
        <w:t>D WebSDR processing to limit changes to input made to the Owner/Manager/Source of Supply data entered on the original SDR submissions.  Revise</w:t>
      </w:r>
      <w:r w:rsidR="00647667">
        <w:rPr>
          <w:rFonts w:ascii="Times New Roman" w:eastAsia="Times New Roman" w:hAnsi="Times New Roman"/>
          <w:sz w:val="24"/>
          <w:szCs w:val="24"/>
        </w:rPr>
        <w:t>s</w:t>
      </w:r>
      <w:r w:rsidR="00647667" w:rsidRPr="00647667">
        <w:rPr>
          <w:rFonts w:ascii="Times New Roman" w:eastAsia="Times New Roman" w:hAnsi="Times New Roman"/>
          <w:sz w:val="24"/>
          <w:szCs w:val="24"/>
        </w:rPr>
        <w:t xml:space="preserve"> Chapter 17 Supply Discrepancy Reporting and Appendix 7.28 Supply Discrepancy Report Relevant Data Elements.</w:t>
      </w:r>
      <w:r w:rsidR="00BD7FD6">
        <w:rPr>
          <w:rFonts w:ascii="Times New Roman" w:eastAsia="Times New Roman" w:hAnsi="Times New Roman"/>
          <w:sz w:val="24"/>
          <w:szCs w:val="24"/>
        </w:rPr>
        <w:t xml:space="preserve">  </w:t>
      </w:r>
    </w:p>
    <w:p w14:paraId="55A58A46" w14:textId="2EB4ECAC" w:rsidR="004A2D45" w:rsidRPr="00BD7FD6" w:rsidRDefault="00460036" w:rsidP="00A803CD">
      <w:pPr>
        <w:pStyle w:val="ListParagraph"/>
        <w:numPr>
          <w:ilvl w:val="0"/>
          <w:numId w:val="2"/>
        </w:numPr>
        <w:shd w:val="clear" w:color="auto" w:fill="FFFFFF" w:themeFill="background1"/>
        <w:spacing w:after="240" w:line="240" w:lineRule="auto"/>
        <w:ind w:left="0" w:firstLine="907"/>
        <w:contextualSpacing w:val="0"/>
        <w:rPr>
          <w:rFonts w:ascii="Times New Roman" w:eastAsia="Times New Roman" w:hAnsi="Times New Roman"/>
          <w:sz w:val="24"/>
          <w:szCs w:val="24"/>
        </w:rPr>
      </w:pPr>
      <w:r w:rsidRPr="00BD7FD6">
        <w:rPr>
          <w:rFonts w:ascii="Times New Roman" w:eastAsia="Times New Roman" w:hAnsi="Times New Roman"/>
          <w:sz w:val="24"/>
          <w:szCs w:val="24"/>
        </w:rPr>
        <w:t xml:space="preserve">  ADC </w:t>
      </w:r>
      <w:r w:rsidR="00BD7FD6" w:rsidRPr="00BD7FD6">
        <w:rPr>
          <w:rFonts w:ascii="Times New Roman" w:eastAsia="Times New Roman" w:hAnsi="Times New Roman"/>
          <w:sz w:val="24"/>
          <w:szCs w:val="24"/>
        </w:rPr>
        <w:t>1227B</w:t>
      </w:r>
      <w:r w:rsidRPr="00BD7FD6">
        <w:rPr>
          <w:rFonts w:ascii="Times New Roman" w:eastAsia="Times New Roman" w:hAnsi="Times New Roman"/>
          <w:sz w:val="24"/>
          <w:szCs w:val="24"/>
        </w:rPr>
        <w:t xml:space="preserve"> dated </w:t>
      </w:r>
      <w:r w:rsidR="00BD7FD6" w:rsidRPr="00BD7FD6">
        <w:rPr>
          <w:rFonts w:ascii="Times New Roman" w:eastAsia="Times New Roman" w:hAnsi="Times New Roman"/>
          <w:sz w:val="24"/>
          <w:szCs w:val="24"/>
        </w:rPr>
        <w:t>February 12, 2019</w:t>
      </w:r>
      <w:r w:rsidRPr="00BD7FD6">
        <w:rPr>
          <w:rFonts w:ascii="Times New Roman" w:eastAsia="Times New Roman" w:hAnsi="Times New Roman"/>
          <w:sz w:val="24"/>
          <w:szCs w:val="24"/>
        </w:rPr>
        <w:t xml:space="preserve">.  </w:t>
      </w:r>
      <w:r w:rsidR="00BD7FD6" w:rsidRPr="00BD7FD6">
        <w:rPr>
          <w:rFonts w:ascii="Times New Roman" w:eastAsia="Times New Roman" w:hAnsi="Times New Roman"/>
          <w:sz w:val="24"/>
          <w:szCs w:val="24"/>
        </w:rPr>
        <w:t>Revises the DLMS 832N implementation convention (IC) to clarify when Air Force CICPs should use certain data elements.  Revises DLMS IC 832</w:t>
      </w:r>
      <w:r w:rsidR="00BD7FD6">
        <w:rPr>
          <w:rFonts w:ascii="Times New Roman" w:eastAsia="Times New Roman" w:hAnsi="Times New Roman"/>
          <w:sz w:val="24"/>
          <w:szCs w:val="24"/>
        </w:rPr>
        <w:t xml:space="preserve">N; No changes to the DLMS manual. </w:t>
      </w:r>
      <w:r w:rsidR="00485EE9" w:rsidRPr="00BD7FD6">
        <w:rPr>
          <w:rFonts w:ascii="Times New Roman" w:eastAsia="Times New Roman" w:hAnsi="Times New Roman"/>
          <w:sz w:val="24"/>
          <w:szCs w:val="24"/>
        </w:rPr>
        <w:t xml:space="preserve">  </w:t>
      </w:r>
    </w:p>
    <w:p w14:paraId="7201EA27" w14:textId="2C0A8DFB" w:rsidR="00FD1D25" w:rsidRPr="00760E6B" w:rsidRDefault="00FD1D25" w:rsidP="00A803CD">
      <w:pPr>
        <w:pStyle w:val="ListParagraph"/>
        <w:numPr>
          <w:ilvl w:val="0"/>
          <w:numId w:val="2"/>
        </w:numPr>
        <w:shd w:val="clear" w:color="auto" w:fill="FFFFFF" w:themeFill="background1"/>
        <w:spacing w:after="240" w:line="240" w:lineRule="auto"/>
        <w:ind w:left="0" w:firstLine="907"/>
        <w:contextualSpacing w:val="0"/>
        <w:rPr>
          <w:rFonts w:ascii="Times New Roman" w:eastAsia="Times New Roman" w:hAnsi="Times New Roman"/>
          <w:sz w:val="24"/>
          <w:szCs w:val="24"/>
        </w:rPr>
      </w:pPr>
      <w:r>
        <w:rPr>
          <w:rFonts w:ascii="Times New Roman" w:eastAsia="Times New Roman" w:hAnsi="Times New Roman"/>
          <w:sz w:val="24"/>
          <w:szCs w:val="24"/>
        </w:rPr>
        <w:t xml:space="preserve">  ADC </w:t>
      </w:r>
      <w:r w:rsidR="00760E6B">
        <w:rPr>
          <w:rFonts w:ascii="Times New Roman" w:eastAsia="Times New Roman" w:hAnsi="Times New Roman"/>
          <w:sz w:val="24"/>
          <w:szCs w:val="24"/>
        </w:rPr>
        <w:t xml:space="preserve">1236 May 16, 2019.  </w:t>
      </w:r>
      <w:r w:rsidR="00760E6B" w:rsidRPr="00760E6B">
        <w:rPr>
          <w:rFonts w:ascii="Times New Roman" w:eastAsia="Times New Roman" w:hAnsi="Times New Roman"/>
          <w:sz w:val="24"/>
          <w:szCs w:val="24"/>
        </w:rPr>
        <w:t xml:space="preserve">Revises reconsideration request procedures in Chapter 17 and replaces the term “customer” with “submitter” to support all SDR document types.  Updates the DLMS 842A/W implementation convention (IC) to reflect the correct term and clarify it can be used for all SDR Document Type Codes.  Implements new edit for WebSDR direct online application input and SDR transactions to reject any SDR using Reply Code 504 for other than SDR Document Type Code 7 or R or in conjunction with any other reply code.  Removes business rules regarding Air Force Security Assistance Command (AFSAC) historical SDR procedures. </w:t>
      </w:r>
      <w:r w:rsidR="00760E6B">
        <w:rPr>
          <w:rFonts w:ascii="Times New Roman" w:eastAsia="Times New Roman" w:hAnsi="Times New Roman"/>
          <w:sz w:val="24"/>
          <w:szCs w:val="24"/>
        </w:rPr>
        <w:t xml:space="preserve"> </w:t>
      </w:r>
      <w:r w:rsidR="00760E6B" w:rsidRPr="00760E6B">
        <w:rPr>
          <w:rFonts w:ascii="Times New Roman" w:eastAsia="Times New Roman" w:hAnsi="Times New Roman"/>
          <w:sz w:val="24"/>
          <w:szCs w:val="24"/>
        </w:rPr>
        <w:t>Revises Chapter 17, Supply Discrepancy Reporting and Appendix 7.28, Supply Discrepancy Report Relevant Data Elements</w:t>
      </w:r>
      <w:r w:rsidR="00760E6B">
        <w:rPr>
          <w:rFonts w:ascii="Times New Roman" w:eastAsia="Times New Roman" w:hAnsi="Times New Roman"/>
          <w:sz w:val="24"/>
          <w:szCs w:val="24"/>
        </w:rPr>
        <w:t xml:space="preserve">.  </w:t>
      </w:r>
      <w:r w:rsidR="00760E6B" w:rsidRPr="00760E6B">
        <w:rPr>
          <w:rFonts w:ascii="Times New Roman" w:eastAsia="Times New Roman" w:hAnsi="Times New Roman"/>
          <w:sz w:val="24"/>
          <w:szCs w:val="24"/>
        </w:rPr>
        <w:t xml:space="preserve">Revises the DLMS </w:t>
      </w:r>
      <w:r w:rsidR="00760E6B">
        <w:rPr>
          <w:rFonts w:ascii="Times New Roman" w:eastAsia="Times New Roman" w:hAnsi="Times New Roman"/>
          <w:sz w:val="24"/>
          <w:szCs w:val="24"/>
        </w:rPr>
        <w:t xml:space="preserve">IC 842A/W IC.  </w:t>
      </w:r>
    </w:p>
    <w:p w14:paraId="114F497B" w14:textId="2642CFEE" w:rsidR="00460036" w:rsidRPr="00F03AE3" w:rsidRDefault="001843A8" w:rsidP="00A803CD">
      <w:pPr>
        <w:pStyle w:val="ListParagraph"/>
        <w:numPr>
          <w:ilvl w:val="0"/>
          <w:numId w:val="2"/>
        </w:numPr>
        <w:shd w:val="clear" w:color="auto" w:fill="FFFFFF" w:themeFill="background1"/>
        <w:spacing w:after="240" w:line="240" w:lineRule="auto"/>
        <w:ind w:left="0" w:firstLine="907"/>
        <w:contextualSpacing w:val="0"/>
        <w:rPr>
          <w:rFonts w:ascii="Times New Roman" w:eastAsia="Times New Roman" w:hAnsi="Times New Roman"/>
          <w:sz w:val="24"/>
          <w:szCs w:val="24"/>
        </w:rPr>
      </w:pPr>
      <w:r w:rsidRPr="001843A8">
        <w:rPr>
          <w:rFonts w:ascii="Times New Roman" w:eastAsia="Times New Roman" w:hAnsi="Times New Roman"/>
          <w:sz w:val="24"/>
          <w:szCs w:val="24"/>
        </w:rPr>
        <w:lastRenderedPageBreak/>
        <w:t xml:space="preserve">  </w:t>
      </w:r>
      <w:r w:rsidR="00460036" w:rsidRPr="001843A8">
        <w:rPr>
          <w:rFonts w:ascii="Times New Roman" w:eastAsia="Times New Roman" w:hAnsi="Times New Roman"/>
          <w:sz w:val="24"/>
          <w:szCs w:val="24"/>
        </w:rPr>
        <w:t>ADC 12</w:t>
      </w:r>
      <w:r w:rsidR="00F03AE3">
        <w:rPr>
          <w:rFonts w:ascii="Times New Roman" w:eastAsia="Times New Roman" w:hAnsi="Times New Roman"/>
          <w:sz w:val="24"/>
          <w:szCs w:val="24"/>
        </w:rPr>
        <w:t>76</w:t>
      </w:r>
      <w:r w:rsidR="00460036" w:rsidRPr="001843A8">
        <w:rPr>
          <w:rFonts w:ascii="Times New Roman" w:eastAsia="Times New Roman" w:hAnsi="Times New Roman"/>
          <w:sz w:val="24"/>
          <w:szCs w:val="24"/>
        </w:rPr>
        <w:t xml:space="preserve"> dated </w:t>
      </w:r>
      <w:r w:rsidR="00F03AE3">
        <w:rPr>
          <w:rFonts w:ascii="Times New Roman" w:eastAsia="Times New Roman" w:hAnsi="Times New Roman"/>
          <w:sz w:val="24"/>
          <w:szCs w:val="24"/>
        </w:rPr>
        <w:t>March 21, 2019</w:t>
      </w:r>
      <w:r w:rsidR="00460036" w:rsidRPr="001843A8">
        <w:rPr>
          <w:rFonts w:ascii="Times New Roman" w:eastAsia="Times New Roman" w:hAnsi="Times New Roman"/>
          <w:sz w:val="24"/>
          <w:szCs w:val="24"/>
        </w:rPr>
        <w:t xml:space="preserve">.  </w:t>
      </w:r>
      <w:r w:rsidR="00F03AE3" w:rsidRPr="00F03AE3">
        <w:rPr>
          <w:rFonts w:ascii="Times New Roman" w:eastAsia="Times New Roman" w:hAnsi="Times New Roman"/>
          <w:sz w:val="24"/>
          <w:szCs w:val="24"/>
        </w:rPr>
        <w:t xml:space="preserve">Documents ownership and routing changes pertaining to Army Life Cycle Management Command/Program Manager (LCMC/PM) and LCMC/Army Working Capital </w:t>
      </w:r>
      <w:r w:rsidR="00F03AE3">
        <w:rPr>
          <w:rFonts w:ascii="Times New Roman" w:eastAsia="Times New Roman" w:hAnsi="Times New Roman"/>
          <w:sz w:val="24"/>
          <w:szCs w:val="24"/>
        </w:rPr>
        <w:t xml:space="preserve">Fund </w:t>
      </w:r>
      <w:r w:rsidR="00F03AE3" w:rsidRPr="00F03AE3">
        <w:rPr>
          <w:rFonts w:ascii="Times New Roman" w:eastAsia="Times New Roman" w:hAnsi="Times New Roman"/>
          <w:sz w:val="24"/>
          <w:szCs w:val="24"/>
        </w:rPr>
        <w:t xml:space="preserve">(AWCF) materiel stored in DLA Distribution Centers in support of Army </w:t>
      </w:r>
      <w:r w:rsidR="00F03AE3">
        <w:rPr>
          <w:rFonts w:ascii="Times New Roman" w:eastAsia="Times New Roman" w:hAnsi="Times New Roman"/>
          <w:sz w:val="24"/>
          <w:szCs w:val="24"/>
        </w:rPr>
        <w:t>Total Package Fielding (</w:t>
      </w:r>
      <w:r w:rsidR="00F03AE3" w:rsidRPr="00F03AE3">
        <w:rPr>
          <w:rFonts w:ascii="Times New Roman" w:eastAsia="Times New Roman" w:hAnsi="Times New Roman"/>
          <w:sz w:val="24"/>
          <w:szCs w:val="24"/>
        </w:rPr>
        <w:t>TPF</w:t>
      </w:r>
      <w:r w:rsidR="00F03AE3">
        <w:rPr>
          <w:rFonts w:ascii="Times New Roman" w:eastAsia="Times New Roman" w:hAnsi="Times New Roman"/>
          <w:sz w:val="24"/>
          <w:szCs w:val="24"/>
        </w:rPr>
        <w:t>)</w:t>
      </w:r>
      <w:r w:rsidR="00F03AE3" w:rsidRPr="00F03AE3">
        <w:rPr>
          <w:rFonts w:ascii="Times New Roman" w:eastAsia="Times New Roman" w:hAnsi="Times New Roman"/>
          <w:sz w:val="24"/>
          <w:szCs w:val="24"/>
        </w:rPr>
        <w:t xml:space="preserve">.  Supports the Army/DLA coordinated agreement to synchronize inventory between DLA DSS and Army LMP during FY18.  The transition of this inventory to the appropriate owner RIC occurred in February 2019.  </w:t>
      </w:r>
      <w:r w:rsidR="00F03AE3">
        <w:rPr>
          <w:rFonts w:ascii="Times New Roman" w:eastAsia="Times New Roman" w:hAnsi="Times New Roman"/>
          <w:sz w:val="24"/>
          <w:szCs w:val="24"/>
        </w:rPr>
        <w:t xml:space="preserve">Revises </w:t>
      </w:r>
      <w:r w:rsidR="00F03AE3" w:rsidRPr="00F03AE3">
        <w:rPr>
          <w:rFonts w:ascii="Times New Roman" w:eastAsia="Times New Roman" w:hAnsi="Times New Roman"/>
          <w:sz w:val="24"/>
          <w:szCs w:val="24"/>
        </w:rPr>
        <w:t>Chapter 17, Supply Discrepancy Reporting.</w:t>
      </w:r>
      <w:r w:rsidRPr="00F03AE3">
        <w:rPr>
          <w:rFonts w:ascii="Times New Roman" w:eastAsia="Times New Roman" w:hAnsi="Times New Roman"/>
          <w:sz w:val="24"/>
          <w:szCs w:val="24"/>
        </w:rPr>
        <w:t xml:space="preserve">  </w:t>
      </w:r>
    </w:p>
    <w:p w14:paraId="617E4043" w14:textId="18FB0232" w:rsidR="00F03AE3" w:rsidRDefault="00FD1D25" w:rsidP="00A803CD">
      <w:pPr>
        <w:pStyle w:val="ListParagraph"/>
        <w:numPr>
          <w:ilvl w:val="0"/>
          <w:numId w:val="2"/>
        </w:numPr>
        <w:shd w:val="clear" w:color="auto" w:fill="FFFFFF" w:themeFill="background1"/>
        <w:spacing w:after="240" w:line="240" w:lineRule="auto"/>
        <w:ind w:left="0" w:firstLine="907"/>
        <w:contextualSpacing w:val="0"/>
        <w:rPr>
          <w:rFonts w:ascii="Times New Roman" w:eastAsia="Times New Roman" w:hAnsi="Times New Roman"/>
          <w:sz w:val="24"/>
          <w:szCs w:val="24"/>
        </w:rPr>
      </w:pPr>
      <w:r w:rsidRPr="00F03AE3">
        <w:rPr>
          <w:rFonts w:ascii="Times New Roman" w:eastAsia="Times New Roman" w:hAnsi="Times New Roman"/>
          <w:sz w:val="24"/>
          <w:szCs w:val="24"/>
        </w:rPr>
        <w:t xml:space="preserve">  ADC </w:t>
      </w:r>
      <w:r w:rsidR="00F03AE3" w:rsidRPr="00F03AE3">
        <w:rPr>
          <w:rFonts w:ascii="Times New Roman" w:eastAsia="Times New Roman" w:hAnsi="Times New Roman"/>
          <w:sz w:val="24"/>
          <w:szCs w:val="24"/>
        </w:rPr>
        <w:t xml:space="preserve">1323 </w:t>
      </w:r>
      <w:r w:rsidRPr="00F03AE3">
        <w:rPr>
          <w:rFonts w:ascii="Times New Roman" w:eastAsia="Times New Roman" w:hAnsi="Times New Roman"/>
          <w:sz w:val="24"/>
          <w:szCs w:val="24"/>
        </w:rPr>
        <w:t xml:space="preserve">dated </w:t>
      </w:r>
      <w:r w:rsidR="00F03AE3" w:rsidRPr="00F03AE3">
        <w:rPr>
          <w:rFonts w:ascii="Times New Roman" w:eastAsia="Times New Roman" w:hAnsi="Times New Roman"/>
          <w:sz w:val="24"/>
          <w:szCs w:val="24"/>
        </w:rPr>
        <w:t>May 3, 2019</w:t>
      </w:r>
      <w:r w:rsidRPr="00F03AE3">
        <w:rPr>
          <w:rFonts w:ascii="Times New Roman" w:eastAsia="Times New Roman" w:hAnsi="Times New Roman"/>
          <w:sz w:val="24"/>
          <w:szCs w:val="24"/>
        </w:rPr>
        <w:t xml:space="preserve">.  </w:t>
      </w:r>
      <w:r w:rsidR="00F03AE3" w:rsidRPr="00F03AE3">
        <w:rPr>
          <w:rFonts w:ascii="Times New Roman" w:eastAsia="Times New Roman" w:hAnsi="Times New Roman"/>
          <w:sz w:val="24"/>
          <w:szCs w:val="24"/>
        </w:rPr>
        <w:t xml:space="preserve">Updates DLA Disposition Services and Component procedures to authorize use of the receipt reversals process in response to an incorrect receipt or in support of a supply discrepancy report (SDR) after receipt.  </w:t>
      </w:r>
      <w:r w:rsidR="00F03AE3">
        <w:rPr>
          <w:rFonts w:ascii="Times New Roman" w:eastAsia="Times New Roman" w:hAnsi="Times New Roman"/>
          <w:sz w:val="24"/>
          <w:szCs w:val="24"/>
        </w:rPr>
        <w:t>Appendix 7.32 identifies t</w:t>
      </w:r>
      <w:r w:rsidR="00F03AE3" w:rsidRPr="00F03AE3">
        <w:rPr>
          <w:rFonts w:ascii="Times New Roman" w:eastAsia="Times New Roman" w:hAnsi="Times New Roman"/>
          <w:sz w:val="24"/>
          <w:szCs w:val="24"/>
        </w:rPr>
        <w:t>he authorized reason</w:t>
      </w:r>
      <w:r w:rsidR="00F03AE3">
        <w:rPr>
          <w:rFonts w:ascii="Times New Roman" w:eastAsia="Times New Roman" w:hAnsi="Times New Roman"/>
          <w:sz w:val="24"/>
          <w:szCs w:val="24"/>
        </w:rPr>
        <w:t>s</w:t>
      </w:r>
      <w:r w:rsidR="00F03AE3" w:rsidRPr="00F03AE3">
        <w:rPr>
          <w:rFonts w:ascii="Times New Roman" w:eastAsia="Times New Roman" w:hAnsi="Times New Roman"/>
          <w:sz w:val="24"/>
          <w:szCs w:val="24"/>
        </w:rPr>
        <w:t xml:space="preserve"> for reversal codes.  The reason for reversal codes will also provide an audit trail for the resolution of discrepant receipts when using reversal codes.  Revises Appendix 7.32 Reason for Reversal Codes, and Chapter 16 Disposition Services. </w:t>
      </w:r>
      <w:r w:rsidR="006808D4" w:rsidRPr="00F03AE3">
        <w:rPr>
          <w:rFonts w:ascii="Times New Roman" w:eastAsia="Times New Roman" w:hAnsi="Times New Roman"/>
          <w:sz w:val="24"/>
          <w:szCs w:val="24"/>
        </w:rPr>
        <w:t xml:space="preserve">  </w:t>
      </w:r>
    </w:p>
    <w:p w14:paraId="0B017B3B" w14:textId="08B868E2" w:rsidR="006808D4" w:rsidRPr="00E060EF" w:rsidRDefault="00F03AE3" w:rsidP="00A803CD">
      <w:pPr>
        <w:pStyle w:val="ListParagraph"/>
        <w:numPr>
          <w:ilvl w:val="0"/>
          <w:numId w:val="2"/>
        </w:numPr>
        <w:shd w:val="clear" w:color="auto" w:fill="FFFFFF" w:themeFill="background1"/>
        <w:spacing w:after="240" w:line="240" w:lineRule="auto"/>
        <w:ind w:left="0" w:firstLine="907"/>
        <w:contextualSpacing w:val="0"/>
        <w:rPr>
          <w:rFonts w:ascii="Times New Roman" w:eastAsia="Times New Roman" w:hAnsi="Times New Roman"/>
          <w:sz w:val="24"/>
          <w:szCs w:val="24"/>
        </w:rPr>
      </w:pPr>
      <w:r w:rsidRPr="00E060EF">
        <w:rPr>
          <w:rFonts w:ascii="Times New Roman" w:eastAsia="Times New Roman" w:hAnsi="Times New Roman"/>
          <w:sz w:val="24"/>
          <w:szCs w:val="24"/>
        </w:rPr>
        <w:t xml:space="preserve">  </w:t>
      </w:r>
      <w:r w:rsidR="006808D4" w:rsidRPr="00E060EF">
        <w:rPr>
          <w:rFonts w:ascii="Times New Roman" w:eastAsia="Times New Roman" w:hAnsi="Times New Roman"/>
          <w:sz w:val="24"/>
          <w:szCs w:val="24"/>
        </w:rPr>
        <w:t>ADC 13</w:t>
      </w:r>
      <w:r w:rsidR="00E060EF" w:rsidRPr="00E060EF">
        <w:rPr>
          <w:rFonts w:ascii="Times New Roman" w:eastAsia="Times New Roman" w:hAnsi="Times New Roman"/>
          <w:sz w:val="24"/>
          <w:szCs w:val="24"/>
        </w:rPr>
        <w:t>26</w:t>
      </w:r>
      <w:r w:rsidR="006808D4" w:rsidRPr="00E060EF">
        <w:rPr>
          <w:rFonts w:ascii="Times New Roman" w:eastAsia="Times New Roman" w:hAnsi="Times New Roman"/>
          <w:sz w:val="24"/>
          <w:szCs w:val="24"/>
        </w:rPr>
        <w:t xml:space="preserve"> dated </w:t>
      </w:r>
      <w:r w:rsidR="00E060EF" w:rsidRPr="00E060EF">
        <w:rPr>
          <w:rFonts w:ascii="Times New Roman" w:eastAsia="Times New Roman" w:hAnsi="Times New Roman"/>
          <w:sz w:val="24"/>
          <w:szCs w:val="24"/>
        </w:rPr>
        <w:t>March 25, 2019</w:t>
      </w:r>
      <w:r w:rsidR="006808D4" w:rsidRPr="00E060EF">
        <w:rPr>
          <w:rFonts w:ascii="Times New Roman" w:eastAsia="Times New Roman" w:hAnsi="Times New Roman"/>
          <w:sz w:val="24"/>
          <w:szCs w:val="24"/>
        </w:rPr>
        <w:t xml:space="preserve">.  </w:t>
      </w:r>
      <w:r w:rsidR="00E060EF" w:rsidRPr="00E060EF">
        <w:rPr>
          <w:rFonts w:ascii="Times New Roman" w:eastAsia="Times New Roman" w:hAnsi="Times New Roman"/>
          <w:sz w:val="24"/>
          <w:szCs w:val="24"/>
        </w:rPr>
        <w:t>Revise</w:t>
      </w:r>
      <w:r w:rsidR="00E060EF">
        <w:rPr>
          <w:rFonts w:ascii="Times New Roman" w:eastAsia="Times New Roman" w:hAnsi="Times New Roman"/>
          <w:sz w:val="24"/>
          <w:szCs w:val="24"/>
        </w:rPr>
        <w:t>s</w:t>
      </w:r>
      <w:r w:rsidR="00E060EF" w:rsidRPr="00E060EF">
        <w:rPr>
          <w:rFonts w:ascii="Times New Roman" w:eastAsia="Times New Roman" w:hAnsi="Times New Roman"/>
          <w:sz w:val="24"/>
          <w:szCs w:val="24"/>
        </w:rPr>
        <w:t xml:space="preserve"> DLMS 947I Inventory Adjustment </w:t>
      </w:r>
      <w:r w:rsidR="00E060EF">
        <w:rPr>
          <w:rFonts w:ascii="Times New Roman" w:eastAsia="Times New Roman" w:hAnsi="Times New Roman"/>
          <w:sz w:val="24"/>
          <w:szCs w:val="24"/>
        </w:rPr>
        <w:t xml:space="preserve">IC </w:t>
      </w:r>
      <w:r w:rsidR="00E060EF" w:rsidRPr="00E060EF">
        <w:rPr>
          <w:rFonts w:ascii="Times New Roman" w:eastAsia="Times New Roman" w:hAnsi="Times New Roman"/>
          <w:sz w:val="24"/>
          <w:szCs w:val="24"/>
        </w:rPr>
        <w:t xml:space="preserve">to authorize use of purpose code in a dual inventory adjustment when changing the condition of an item.  Allows </w:t>
      </w:r>
      <w:r w:rsidR="00E060EF">
        <w:rPr>
          <w:rFonts w:ascii="Times New Roman" w:eastAsia="Times New Roman" w:hAnsi="Times New Roman"/>
          <w:sz w:val="24"/>
          <w:szCs w:val="24"/>
        </w:rPr>
        <w:t>A</w:t>
      </w:r>
      <w:r w:rsidR="00E060EF" w:rsidRPr="00E060EF">
        <w:rPr>
          <w:rFonts w:ascii="Times New Roman" w:eastAsia="Times New Roman" w:hAnsi="Times New Roman"/>
          <w:sz w:val="24"/>
          <w:szCs w:val="24"/>
        </w:rPr>
        <w:t xml:space="preserve">rmy to segregate materiel by purpose code.  No </w:t>
      </w:r>
      <w:r w:rsidR="00E060EF">
        <w:rPr>
          <w:rFonts w:ascii="Times New Roman" w:eastAsia="Times New Roman" w:hAnsi="Times New Roman"/>
          <w:sz w:val="24"/>
          <w:szCs w:val="24"/>
        </w:rPr>
        <w:t xml:space="preserve">changes to the </w:t>
      </w:r>
      <w:r w:rsidR="00E060EF" w:rsidRPr="00E060EF">
        <w:rPr>
          <w:rFonts w:ascii="Times New Roman" w:eastAsia="Times New Roman" w:hAnsi="Times New Roman"/>
          <w:sz w:val="24"/>
          <w:szCs w:val="24"/>
        </w:rPr>
        <w:t>DLM</w:t>
      </w:r>
      <w:r w:rsidR="00E060EF">
        <w:rPr>
          <w:rFonts w:ascii="Times New Roman" w:eastAsia="Times New Roman" w:hAnsi="Times New Roman"/>
          <w:sz w:val="24"/>
          <w:szCs w:val="24"/>
        </w:rPr>
        <w:t xml:space="preserve">S manual; </w:t>
      </w:r>
      <w:r w:rsidR="00E060EF" w:rsidRPr="00E060EF">
        <w:rPr>
          <w:rFonts w:ascii="Times New Roman" w:eastAsia="Times New Roman" w:hAnsi="Times New Roman"/>
          <w:sz w:val="24"/>
          <w:szCs w:val="24"/>
        </w:rPr>
        <w:t xml:space="preserve"> Revises DL</w:t>
      </w:r>
      <w:r w:rsidR="00E060EF">
        <w:rPr>
          <w:rFonts w:ascii="Times New Roman" w:eastAsia="Times New Roman" w:hAnsi="Times New Roman"/>
          <w:sz w:val="24"/>
          <w:szCs w:val="24"/>
        </w:rPr>
        <w:t xml:space="preserve">MS IC 947I Inventory Adjustment IC.  </w:t>
      </w:r>
    </w:p>
    <w:p w14:paraId="2C124954" w14:textId="11E85678" w:rsidR="006808D4" w:rsidRPr="00E060EF" w:rsidRDefault="006808D4" w:rsidP="00A803CD">
      <w:pPr>
        <w:pStyle w:val="ListParagraph"/>
        <w:numPr>
          <w:ilvl w:val="0"/>
          <w:numId w:val="2"/>
        </w:numPr>
        <w:shd w:val="clear" w:color="auto" w:fill="FFFFFF" w:themeFill="background1"/>
        <w:spacing w:after="240" w:line="240" w:lineRule="auto"/>
        <w:ind w:left="0" w:firstLine="907"/>
        <w:contextualSpacing w:val="0"/>
        <w:rPr>
          <w:rFonts w:ascii="Times New Roman" w:eastAsia="Times New Roman" w:hAnsi="Times New Roman"/>
          <w:sz w:val="24"/>
          <w:szCs w:val="24"/>
        </w:rPr>
      </w:pPr>
      <w:r>
        <w:rPr>
          <w:rFonts w:ascii="Times New Roman" w:eastAsia="Times New Roman" w:hAnsi="Times New Roman"/>
          <w:sz w:val="24"/>
          <w:szCs w:val="24"/>
        </w:rPr>
        <w:t xml:space="preserve">  ADC 13</w:t>
      </w:r>
      <w:r w:rsidR="00E060EF">
        <w:rPr>
          <w:rFonts w:ascii="Times New Roman" w:eastAsia="Times New Roman" w:hAnsi="Times New Roman"/>
          <w:sz w:val="24"/>
          <w:szCs w:val="24"/>
        </w:rPr>
        <w:t>30</w:t>
      </w:r>
      <w:r>
        <w:rPr>
          <w:rFonts w:ascii="Times New Roman" w:eastAsia="Times New Roman" w:hAnsi="Times New Roman"/>
          <w:sz w:val="24"/>
          <w:szCs w:val="24"/>
        </w:rPr>
        <w:t xml:space="preserve"> dated </w:t>
      </w:r>
      <w:r w:rsidR="00E060EF">
        <w:rPr>
          <w:rFonts w:ascii="Times New Roman" w:eastAsia="Times New Roman" w:hAnsi="Times New Roman"/>
          <w:sz w:val="24"/>
          <w:szCs w:val="24"/>
        </w:rPr>
        <w:t>March 22, 2019</w:t>
      </w:r>
      <w:r>
        <w:rPr>
          <w:rFonts w:ascii="Times New Roman" w:eastAsia="Times New Roman" w:hAnsi="Times New Roman"/>
          <w:sz w:val="24"/>
          <w:szCs w:val="24"/>
        </w:rPr>
        <w:t xml:space="preserve">.  </w:t>
      </w:r>
      <w:r w:rsidR="00E060EF" w:rsidRPr="00E060EF">
        <w:rPr>
          <w:rFonts w:ascii="Times New Roman" w:eastAsia="Times New Roman" w:hAnsi="Times New Roman"/>
          <w:sz w:val="24"/>
          <w:szCs w:val="24"/>
        </w:rPr>
        <w:t xml:space="preserve">Revises the MRA Report to </w:t>
      </w:r>
      <w:r w:rsidR="00E060EF">
        <w:rPr>
          <w:rFonts w:ascii="Times New Roman" w:eastAsia="Times New Roman" w:hAnsi="Times New Roman"/>
          <w:sz w:val="24"/>
          <w:szCs w:val="24"/>
        </w:rPr>
        <w:t>include</w:t>
      </w:r>
      <w:r w:rsidR="00E060EF" w:rsidRPr="00E060EF">
        <w:rPr>
          <w:rFonts w:ascii="Times New Roman" w:eastAsia="Times New Roman" w:hAnsi="Times New Roman"/>
          <w:sz w:val="24"/>
          <w:szCs w:val="24"/>
        </w:rPr>
        <w:t xml:space="preserve"> an option to download the complete list of transactions by Component (all DoDAACs) where an MRA was not received (CONUS/OCONUS).  This applies to the MRA </w:t>
      </w:r>
      <w:r w:rsidR="00E060EF">
        <w:rPr>
          <w:rFonts w:ascii="Times New Roman" w:eastAsia="Times New Roman" w:hAnsi="Times New Roman"/>
          <w:sz w:val="24"/>
          <w:szCs w:val="24"/>
        </w:rPr>
        <w:t xml:space="preserve">type </w:t>
      </w:r>
      <w:r w:rsidR="00E060EF" w:rsidRPr="00E060EF">
        <w:rPr>
          <w:rFonts w:ascii="Times New Roman" w:eastAsia="Times New Roman" w:hAnsi="Times New Roman"/>
          <w:sz w:val="24"/>
          <w:szCs w:val="24"/>
        </w:rPr>
        <w:t xml:space="preserve">02 Direct Vendor Delivery, MRA </w:t>
      </w:r>
      <w:r w:rsidR="00E060EF">
        <w:rPr>
          <w:rFonts w:ascii="Times New Roman" w:eastAsia="Times New Roman" w:hAnsi="Times New Roman"/>
          <w:sz w:val="24"/>
          <w:szCs w:val="24"/>
        </w:rPr>
        <w:t xml:space="preserve">type </w:t>
      </w:r>
      <w:r w:rsidR="00E060EF" w:rsidRPr="00E060EF">
        <w:rPr>
          <w:rFonts w:ascii="Times New Roman" w:eastAsia="Times New Roman" w:hAnsi="Times New Roman"/>
          <w:sz w:val="24"/>
          <w:szCs w:val="24"/>
        </w:rPr>
        <w:t xml:space="preserve">36 Stock Shipment, and MRA </w:t>
      </w:r>
      <w:r w:rsidR="00E060EF">
        <w:rPr>
          <w:rFonts w:ascii="Times New Roman" w:eastAsia="Times New Roman" w:hAnsi="Times New Roman"/>
          <w:sz w:val="24"/>
          <w:szCs w:val="24"/>
        </w:rPr>
        <w:t xml:space="preserve">type </w:t>
      </w:r>
      <w:r w:rsidR="00E060EF" w:rsidRPr="00E060EF">
        <w:rPr>
          <w:rFonts w:ascii="Times New Roman" w:eastAsia="Times New Roman" w:hAnsi="Times New Roman"/>
          <w:sz w:val="24"/>
          <w:szCs w:val="24"/>
        </w:rPr>
        <w:t>37 Direct Vendor Delivery and Stock Shipment Reports.</w:t>
      </w:r>
      <w:r w:rsidR="00E060EF">
        <w:rPr>
          <w:rFonts w:ascii="Times New Roman" w:eastAsia="Times New Roman" w:hAnsi="Times New Roman"/>
          <w:sz w:val="24"/>
          <w:szCs w:val="24"/>
        </w:rPr>
        <w:t xml:space="preserve">  </w:t>
      </w:r>
      <w:r w:rsidR="00E060EF" w:rsidRPr="00E060EF">
        <w:rPr>
          <w:rFonts w:ascii="Times New Roman" w:eastAsia="Times New Roman" w:hAnsi="Times New Roman"/>
          <w:sz w:val="24"/>
          <w:szCs w:val="24"/>
        </w:rPr>
        <w:t>Revises Chapter 10 Materiel Receipt Acknowledgement</w:t>
      </w:r>
      <w:r w:rsidR="00E060EF">
        <w:rPr>
          <w:rFonts w:ascii="Times New Roman" w:eastAsia="Times New Roman" w:hAnsi="Times New Roman"/>
          <w:sz w:val="24"/>
          <w:szCs w:val="24"/>
        </w:rPr>
        <w:t>.</w:t>
      </w:r>
      <w:r w:rsidRPr="00E060EF">
        <w:rPr>
          <w:rFonts w:ascii="Times New Roman" w:eastAsia="Times New Roman" w:hAnsi="Times New Roman"/>
          <w:sz w:val="24"/>
          <w:szCs w:val="24"/>
        </w:rPr>
        <w:t xml:space="preserve">  </w:t>
      </w:r>
    </w:p>
    <w:p w14:paraId="7355BCF9" w14:textId="385F9672" w:rsidR="00F060CE" w:rsidRPr="00F060CE" w:rsidRDefault="006808D4" w:rsidP="00A803CD">
      <w:pPr>
        <w:pStyle w:val="ListParagraph"/>
        <w:numPr>
          <w:ilvl w:val="0"/>
          <w:numId w:val="2"/>
        </w:numPr>
        <w:shd w:val="clear" w:color="auto" w:fill="FFFFFF" w:themeFill="background1"/>
        <w:spacing w:after="240" w:line="240" w:lineRule="auto"/>
        <w:ind w:left="0" w:firstLine="907"/>
        <w:contextualSpacing w:val="0"/>
        <w:rPr>
          <w:rFonts w:ascii="Times New Roman" w:eastAsia="Times New Roman" w:hAnsi="Times New Roman"/>
          <w:sz w:val="24"/>
          <w:szCs w:val="24"/>
        </w:rPr>
      </w:pPr>
      <w:r>
        <w:rPr>
          <w:rFonts w:ascii="Times New Roman" w:eastAsia="Times New Roman" w:hAnsi="Times New Roman"/>
          <w:sz w:val="24"/>
          <w:szCs w:val="24"/>
        </w:rPr>
        <w:t xml:space="preserve">  ADC 13</w:t>
      </w:r>
      <w:r w:rsidR="00F060CE">
        <w:rPr>
          <w:rFonts w:ascii="Times New Roman" w:eastAsia="Times New Roman" w:hAnsi="Times New Roman"/>
          <w:sz w:val="24"/>
          <w:szCs w:val="24"/>
        </w:rPr>
        <w:t>45</w:t>
      </w:r>
      <w:r>
        <w:rPr>
          <w:rFonts w:ascii="Times New Roman" w:eastAsia="Times New Roman" w:hAnsi="Times New Roman"/>
          <w:sz w:val="24"/>
          <w:szCs w:val="24"/>
        </w:rPr>
        <w:t xml:space="preserve"> dated </w:t>
      </w:r>
      <w:r w:rsidR="00F060CE">
        <w:rPr>
          <w:rFonts w:ascii="Times New Roman" w:eastAsia="Times New Roman" w:hAnsi="Times New Roman"/>
          <w:sz w:val="24"/>
          <w:szCs w:val="24"/>
        </w:rPr>
        <w:t>March 21, 2019</w:t>
      </w:r>
      <w:r>
        <w:rPr>
          <w:rFonts w:ascii="Times New Roman" w:eastAsia="Times New Roman" w:hAnsi="Times New Roman"/>
          <w:sz w:val="24"/>
          <w:szCs w:val="24"/>
        </w:rPr>
        <w:t xml:space="preserve">.  </w:t>
      </w:r>
      <w:r w:rsidR="00F060CE">
        <w:rPr>
          <w:rFonts w:ascii="Times New Roman" w:eastAsia="Times New Roman" w:hAnsi="Times New Roman"/>
          <w:sz w:val="24"/>
          <w:szCs w:val="24"/>
        </w:rPr>
        <w:t>C</w:t>
      </w:r>
      <w:r w:rsidR="00F060CE" w:rsidRPr="00F060CE">
        <w:rPr>
          <w:rFonts w:ascii="Times New Roman" w:eastAsia="Times New Roman" w:hAnsi="Times New Roman"/>
          <w:sz w:val="24"/>
          <w:szCs w:val="24"/>
        </w:rPr>
        <w:t>onverts four Federal EDI Implementation Conventions (IC</w:t>
      </w:r>
      <w:r w:rsidR="00F060CE">
        <w:rPr>
          <w:rFonts w:ascii="Times New Roman" w:eastAsia="Times New Roman" w:hAnsi="Times New Roman"/>
          <w:sz w:val="24"/>
          <w:szCs w:val="24"/>
        </w:rPr>
        <w:t>s</w:t>
      </w:r>
      <w:r w:rsidR="00F060CE" w:rsidRPr="00F060CE">
        <w:rPr>
          <w:rFonts w:ascii="Times New Roman" w:eastAsia="Times New Roman" w:hAnsi="Times New Roman"/>
          <w:sz w:val="24"/>
          <w:szCs w:val="24"/>
        </w:rPr>
        <w:t xml:space="preserve">) to DLMS ICs and reposts them to the DLMS IC section of the EBSO Website. </w:t>
      </w:r>
      <w:r w:rsidR="00F060CE">
        <w:rPr>
          <w:rFonts w:ascii="Times New Roman" w:eastAsia="Times New Roman" w:hAnsi="Times New Roman"/>
          <w:sz w:val="24"/>
          <w:szCs w:val="24"/>
        </w:rPr>
        <w:t xml:space="preserve"> </w:t>
      </w:r>
      <w:r w:rsidR="00F060CE" w:rsidRPr="00F060CE">
        <w:rPr>
          <w:rFonts w:ascii="Times New Roman" w:eastAsia="Times New Roman" w:hAnsi="Times New Roman"/>
          <w:sz w:val="24"/>
          <w:szCs w:val="24"/>
        </w:rPr>
        <w:t xml:space="preserve">Revises Federal ICs: 856 Advance Ship Notice, 857 Shipment and Billing Notice, 861 Acceptance Report, and 997 Functional acknowledgement. No Changes to </w:t>
      </w:r>
      <w:r w:rsidR="00F060CE">
        <w:rPr>
          <w:rFonts w:ascii="Times New Roman" w:eastAsia="Times New Roman" w:hAnsi="Times New Roman"/>
          <w:sz w:val="24"/>
          <w:szCs w:val="24"/>
        </w:rPr>
        <w:t xml:space="preserve">the </w:t>
      </w:r>
      <w:r w:rsidR="00F060CE" w:rsidRPr="00F060CE">
        <w:rPr>
          <w:rFonts w:ascii="Times New Roman" w:eastAsia="Times New Roman" w:hAnsi="Times New Roman"/>
          <w:sz w:val="24"/>
          <w:szCs w:val="24"/>
        </w:rPr>
        <w:t>DLM</w:t>
      </w:r>
      <w:r w:rsidR="00F060CE">
        <w:rPr>
          <w:rFonts w:ascii="Times New Roman" w:eastAsia="Times New Roman" w:hAnsi="Times New Roman"/>
          <w:sz w:val="24"/>
          <w:szCs w:val="24"/>
        </w:rPr>
        <w:t>S manual</w:t>
      </w:r>
      <w:r w:rsidR="00F060CE" w:rsidRPr="00F060CE">
        <w:rPr>
          <w:rFonts w:ascii="Times New Roman" w:eastAsia="Times New Roman" w:hAnsi="Times New Roman"/>
          <w:sz w:val="24"/>
          <w:szCs w:val="24"/>
        </w:rPr>
        <w:t>.</w:t>
      </w:r>
      <w:r w:rsidRPr="00F060CE">
        <w:rPr>
          <w:rFonts w:ascii="Times New Roman" w:eastAsia="Times New Roman" w:hAnsi="Times New Roman"/>
          <w:sz w:val="24"/>
          <w:szCs w:val="24"/>
        </w:rPr>
        <w:t xml:space="preserve">  </w:t>
      </w:r>
    </w:p>
    <w:p w14:paraId="5248B034" w14:textId="01858BF9" w:rsidR="00080956" w:rsidRPr="008C60AB" w:rsidRDefault="00EE7319" w:rsidP="00A803CD">
      <w:pPr>
        <w:numPr>
          <w:ilvl w:val="0"/>
          <w:numId w:val="2"/>
        </w:numPr>
        <w:shd w:val="clear" w:color="auto" w:fill="FFFFFF" w:themeFill="background1"/>
        <w:tabs>
          <w:tab w:val="left" w:pos="540"/>
          <w:tab w:val="left" w:pos="900"/>
        </w:tabs>
        <w:spacing w:before="240" w:after="240"/>
        <w:ind w:left="0" w:firstLine="907"/>
      </w:pPr>
      <w:r w:rsidRPr="008C60AB">
        <w:t xml:space="preserve">  </w:t>
      </w:r>
      <w:r w:rsidR="00460036" w:rsidRPr="008C60AB">
        <w:t>ADC 13</w:t>
      </w:r>
      <w:r w:rsidR="00080956" w:rsidRPr="008C60AB">
        <w:t>46</w:t>
      </w:r>
      <w:r w:rsidR="00460036" w:rsidRPr="008C60AB">
        <w:t xml:space="preserve"> dated </w:t>
      </w:r>
      <w:r w:rsidR="00080956" w:rsidRPr="008C60AB">
        <w:t>June 18, 2019</w:t>
      </w:r>
      <w:r w:rsidR="00460036" w:rsidRPr="008C60AB">
        <w:t xml:space="preserve">.  </w:t>
      </w:r>
      <w:r w:rsidR="008C60AB" w:rsidRPr="008C60AB">
        <w:t xml:space="preserve">(Administrative Change) </w:t>
      </w:r>
      <w:r w:rsidR="00080956" w:rsidRPr="008C60AB">
        <w:t>Part of a series of DLMS changes to align DLM 4000.25.1, MILSTRIP and DLM 4000.25-2, MILSTRAP, with the companion procedures in DLM 4000.25, supporting the ongoing effort to sunset the MILSTRIP and MILSTRAP manuals.</w:t>
      </w:r>
      <w:r w:rsidR="008C60AB" w:rsidRPr="008C60AB">
        <w:t xml:space="preserve">  </w:t>
      </w:r>
      <w:r w:rsidR="008C60AB">
        <w:t xml:space="preserve">Moves MILSTRAP Appendices 1, 2, and 3 to DLMS Appendices 1, 2, and 3, and moves MILSTRIP Appendices 1, 2, and 3 to DLMS Appendices 6, 7, and 8.  </w:t>
      </w:r>
    </w:p>
    <w:p w14:paraId="0C480A8F" w14:textId="31E250F6" w:rsidR="00F92365" w:rsidRPr="00080956" w:rsidRDefault="00121259" w:rsidP="00080956">
      <w:pPr>
        <w:keepNext/>
        <w:keepLines/>
        <w:widowControl w:val="0"/>
        <w:shd w:val="clear" w:color="auto" w:fill="FFFFFF" w:themeFill="background1"/>
        <w:spacing w:after="240"/>
        <w:rPr>
          <w:color w:val="000000" w:themeColor="text1"/>
        </w:rPr>
      </w:pPr>
      <w:r w:rsidRPr="00121259">
        <w:lastRenderedPageBreak/>
        <w:t xml:space="preserve">III.  The list below identifies the chapters, appendices or other files from the manual that are added or </w:t>
      </w:r>
      <w:r w:rsidRPr="00080956">
        <w:rPr>
          <w:color w:val="000000" w:themeColor="text1"/>
        </w:rPr>
        <w:t>replaced by this change:</w:t>
      </w:r>
      <w:r w:rsidR="00F92365" w:rsidRPr="00080956">
        <w:rPr>
          <w:color w:val="000000" w:themeColor="text1"/>
        </w:rPr>
        <w:t xml:space="preserve"> </w:t>
      </w:r>
    </w:p>
    <w:tbl>
      <w:tblPr>
        <w:tblW w:w="0" w:type="auto"/>
        <w:jc w:val="center"/>
        <w:tblCellMar>
          <w:left w:w="0" w:type="dxa"/>
          <w:right w:w="0" w:type="dxa"/>
        </w:tblCellMar>
        <w:tblLook w:val="01E0" w:firstRow="1" w:lastRow="1" w:firstColumn="1" w:lastColumn="1" w:noHBand="0" w:noVBand="0"/>
        <w:tblDescription w:val="List of files added or replaced in this change"/>
      </w:tblPr>
      <w:tblGrid>
        <w:gridCol w:w="3015"/>
        <w:gridCol w:w="2970"/>
      </w:tblGrid>
      <w:tr w:rsidR="005B0C2F" w:rsidRPr="005B0C2F" w14:paraId="667D29AC" w14:textId="69CC31AA" w:rsidTr="00424B08">
        <w:trPr>
          <w:trHeight w:hRule="exact" w:val="460"/>
          <w:tblHeader/>
          <w:jc w:val="center"/>
        </w:trPr>
        <w:tc>
          <w:tcPr>
            <w:tcW w:w="3015" w:type="dxa"/>
          </w:tcPr>
          <w:p w14:paraId="667D29AA" w14:textId="77777777" w:rsidR="00F36366" w:rsidRPr="005B0C2F" w:rsidRDefault="00F36366" w:rsidP="00044BED">
            <w:pPr>
              <w:keepNext/>
              <w:keepLines/>
              <w:spacing w:after="240"/>
              <w:ind w:right="-14"/>
              <w:rPr>
                <w:b/>
                <w:color w:val="000000" w:themeColor="text1"/>
                <w:u w:val="single"/>
              </w:rPr>
            </w:pPr>
            <w:r w:rsidRPr="005B0C2F">
              <w:rPr>
                <w:b/>
                <w:bCs/>
                <w:color w:val="000000" w:themeColor="text1"/>
                <w:u w:val="single"/>
              </w:rPr>
              <w:t>Added or Replaced Files</w:t>
            </w:r>
          </w:p>
        </w:tc>
        <w:tc>
          <w:tcPr>
            <w:tcW w:w="2970" w:type="dxa"/>
          </w:tcPr>
          <w:p w14:paraId="599A3307" w14:textId="3DD4F97B" w:rsidR="00F36366" w:rsidRPr="005B0C2F" w:rsidRDefault="00F36366" w:rsidP="00044BED">
            <w:pPr>
              <w:keepNext/>
              <w:keepLines/>
              <w:spacing w:after="240"/>
              <w:ind w:right="-14"/>
              <w:rPr>
                <w:b/>
                <w:bCs/>
                <w:color w:val="000000" w:themeColor="text1"/>
                <w:u w:val="single"/>
              </w:rPr>
            </w:pPr>
            <w:r w:rsidRPr="005B0C2F">
              <w:rPr>
                <w:b/>
                <w:bCs/>
                <w:color w:val="000000" w:themeColor="text1"/>
                <w:u w:val="single"/>
              </w:rPr>
              <w:t>Added or Replaced Files</w:t>
            </w:r>
          </w:p>
        </w:tc>
      </w:tr>
      <w:tr w:rsidR="008C60AB" w:rsidRPr="005B0C2F" w14:paraId="667D29AF" w14:textId="0BA47F71" w:rsidTr="00424B08">
        <w:trPr>
          <w:trHeight w:hRule="exact" w:val="301"/>
          <w:tblHeader/>
          <w:jc w:val="center"/>
        </w:trPr>
        <w:tc>
          <w:tcPr>
            <w:tcW w:w="3015" w:type="dxa"/>
          </w:tcPr>
          <w:p w14:paraId="667D29AD" w14:textId="77777777" w:rsidR="008C60AB" w:rsidRPr="008C60AB" w:rsidRDefault="008C60AB" w:rsidP="008C60AB">
            <w:pPr>
              <w:keepNext/>
              <w:keepLines/>
              <w:spacing w:after="240"/>
              <w:ind w:right="-20"/>
              <w:rPr>
                <w:color w:val="000000" w:themeColor="text1"/>
              </w:rPr>
            </w:pPr>
            <w:r w:rsidRPr="008C60AB">
              <w:rPr>
                <w:color w:val="000000" w:themeColor="text1"/>
              </w:rPr>
              <w:t>Change History Page</w:t>
            </w:r>
          </w:p>
        </w:tc>
        <w:tc>
          <w:tcPr>
            <w:tcW w:w="2970" w:type="dxa"/>
          </w:tcPr>
          <w:p w14:paraId="40B9DB1B" w14:textId="6F89F466" w:rsidR="008C60AB" w:rsidRPr="008C60AB" w:rsidRDefault="008C60AB" w:rsidP="008C60AB">
            <w:pPr>
              <w:keepNext/>
              <w:keepLines/>
              <w:spacing w:after="240"/>
              <w:ind w:right="-20"/>
              <w:rPr>
                <w:color w:val="000000" w:themeColor="text1"/>
              </w:rPr>
            </w:pPr>
            <w:r w:rsidRPr="008C60AB">
              <w:rPr>
                <w:color w:val="000000" w:themeColor="text1"/>
              </w:rPr>
              <w:t>Appendix 7 (all files)</w:t>
            </w:r>
          </w:p>
        </w:tc>
      </w:tr>
      <w:tr w:rsidR="008C60AB" w:rsidRPr="005B0C2F" w14:paraId="667D29B2" w14:textId="35177878" w:rsidTr="00424B08">
        <w:trPr>
          <w:trHeight w:hRule="exact" w:val="301"/>
          <w:tblHeader/>
          <w:jc w:val="center"/>
        </w:trPr>
        <w:tc>
          <w:tcPr>
            <w:tcW w:w="3015" w:type="dxa"/>
          </w:tcPr>
          <w:p w14:paraId="667D29B0" w14:textId="450A18C1" w:rsidR="008C60AB" w:rsidRPr="008C60AB" w:rsidRDefault="008C60AB" w:rsidP="008C60AB">
            <w:pPr>
              <w:spacing w:after="240"/>
              <w:ind w:right="-20"/>
              <w:rPr>
                <w:color w:val="000000" w:themeColor="text1"/>
              </w:rPr>
            </w:pPr>
            <w:r w:rsidRPr="008C60AB">
              <w:rPr>
                <w:color w:val="000000" w:themeColor="text1"/>
              </w:rPr>
              <w:t xml:space="preserve">Table of Contents </w:t>
            </w:r>
          </w:p>
        </w:tc>
        <w:tc>
          <w:tcPr>
            <w:tcW w:w="2970" w:type="dxa"/>
          </w:tcPr>
          <w:p w14:paraId="60756F61" w14:textId="1A71DCDA" w:rsidR="008C60AB" w:rsidRPr="008C60AB" w:rsidRDefault="008C60AB" w:rsidP="008C60AB">
            <w:pPr>
              <w:spacing w:after="240"/>
              <w:ind w:right="-20"/>
              <w:rPr>
                <w:color w:val="000000" w:themeColor="text1"/>
              </w:rPr>
            </w:pPr>
            <w:r w:rsidRPr="008C60AB">
              <w:rPr>
                <w:color w:val="000000" w:themeColor="text1"/>
              </w:rPr>
              <w:t>Appendix 8 (all files)</w:t>
            </w:r>
          </w:p>
        </w:tc>
      </w:tr>
      <w:tr w:rsidR="008C60AB" w:rsidRPr="005B0C2F" w14:paraId="667D29B6" w14:textId="143EC9A3" w:rsidTr="00424B08">
        <w:trPr>
          <w:trHeight w:hRule="exact" w:val="301"/>
          <w:tblHeader/>
          <w:jc w:val="center"/>
        </w:trPr>
        <w:tc>
          <w:tcPr>
            <w:tcW w:w="3015" w:type="dxa"/>
          </w:tcPr>
          <w:p w14:paraId="667D29B4" w14:textId="549AC608" w:rsidR="008C60AB" w:rsidRPr="008C60AB" w:rsidRDefault="008C60AB" w:rsidP="008C60AB">
            <w:pPr>
              <w:spacing w:after="240"/>
              <w:ind w:right="-20"/>
              <w:rPr>
                <w:color w:val="000000" w:themeColor="text1"/>
              </w:rPr>
            </w:pPr>
            <w:r w:rsidRPr="008C60AB">
              <w:rPr>
                <w:color w:val="000000" w:themeColor="text1"/>
              </w:rPr>
              <w:t>Appendix 1 (all files)</w:t>
            </w:r>
          </w:p>
        </w:tc>
        <w:tc>
          <w:tcPr>
            <w:tcW w:w="2970" w:type="dxa"/>
          </w:tcPr>
          <w:p w14:paraId="47CA2D2F" w14:textId="1D324AF9" w:rsidR="008C60AB" w:rsidRPr="008C60AB" w:rsidRDefault="008C60AB" w:rsidP="008C60AB">
            <w:pPr>
              <w:spacing w:after="240"/>
              <w:ind w:right="-20"/>
              <w:rPr>
                <w:color w:val="000000" w:themeColor="text1"/>
              </w:rPr>
            </w:pPr>
            <w:r w:rsidRPr="008C60AB">
              <w:rPr>
                <w:color w:val="000000" w:themeColor="text1"/>
              </w:rPr>
              <w:t>Chapter 10</w:t>
            </w:r>
          </w:p>
        </w:tc>
      </w:tr>
      <w:tr w:rsidR="008C60AB" w:rsidRPr="005B0C2F" w14:paraId="0E1D5F36" w14:textId="77777777" w:rsidTr="00424B08">
        <w:trPr>
          <w:trHeight w:hRule="exact" w:val="301"/>
          <w:tblHeader/>
          <w:jc w:val="center"/>
        </w:trPr>
        <w:tc>
          <w:tcPr>
            <w:tcW w:w="3015" w:type="dxa"/>
          </w:tcPr>
          <w:p w14:paraId="3E9E4C58" w14:textId="3DE9B4A0" w:rsidR="008C60AB" w:rsidRPr="008C60AB" w:rsidRDefault="008C60AB" w:rsidP="008C60AB">
            <w:pPr>
              <w:spacing w:after="240"/>
              <w:ind w:right="-20"/>
              <w:rPr>
                <w:color w:val="000000" w:themeColor="text1"/>
              </w:rPr>
            </w:pPr>
            <w:r w:rsidRPr="008C60AB">
              <w:rPr>
                <w:color w:val="000000" w:themeColor="text1"/>
              </w:rPr>
              <w:t>Appendix 2 (all files)</w:t>
            </w:r>
          </w:p>
        </w:tc>
        <w:tc>
          <w:tcPr>
            <w:tcW w:w="2970" w:type="dxa"/>
          </w:tcPr>
          <w:p w14:paraId="59E3AAD4" w14:textId="2D72F9A4" w:rsidR="008C60AB" w:rsidRPr="008C60AB" w:rsidRDefault="008C60AB" w:rsidP="008C60AB">
            <w:pPr>
              <w:spacing w:after="240"/>
              <w:ind w:right="-20"/>
              <w:rPr>
                <w:color w:val="000000" w:themeColor="text1"/>
              </w:rPr>
            </w:pPr>
            <w:r w:rsidRPr="008C60AB">
              <w:rPr>
                <w:color w:val="000000" w:themeColor="text1"/>
              </w:rPr>
              <w:t>Chapter 16</w:t>
            </w:r>
          </w:p>
        </w:tc>
      </w:tr>
      <w:tr w:rsidR="008C60AB" w:rsidRPr="005B0C2F" w14:paraId="60191D9C" w14:textId="77777777" w:rsidTr="00424B08">
        <w:trPr>
          <w:trHeight w:hRule="exact" w:val="301"/>
          <w:tblHeader/>
          <w:jc w:val="center"/>
        </w:trPr>
        <w:tc>
          <w:tcPr>
            <w:tcW w:w="3015" w:type="dxa"/>
          </w:tcPr>
          <w:p w14:paraId="780AD3D8" w14:textId="3287F14D" w:rsidR="008C60AB" w:rsidRPr="008C60AB" w:rsidRDefault="008C60AB" w:rsidP="008C60AB">
            <w:pPr>
              <w:spacing w:after="240"/>
              <w:ind w:right="-20"/>
              <w:rPr>
                <w:color w:val="000000" w:themeColor="text1"/>
              </w:rPr>
            </w:pPr>
            <w:r w:rsidRPr="008C60AB">
              <w:rPr>
                <w:color w:val="000000" w:themeColor="text1"/>
              </w:rPr>
              <w:t>Appendix 3 (all files</w:t>
            </w:r>
          </w:p>
        </w:tc>
        <w:tc>
          <w:tcPr>
            <w:tcW w:w="2970" w:type="dxa"/>
          </w:tcPr>
          <w:p w14:paraId="526DF9E8" w14:textId="2EDFD17C" w:rsidR="008C60AB" w:rsidRPr="008C60AB" w:rsidRDefault="008C60AB" w:rsidP="008C60AB">
            <w:pPr>
              <w:spacing w:after="240"/>
              <w:ind w:right="-20"/>
              <w:rPr>
                <w:color w:val="000000" w:themeColor="text1"/>
              </w:rPr>
            </w:pPr>
            <w:r w:rsidRPr="008C60AB">
              <w:rPr>
                <w:color w:val="000000" w:themeColor="text1"/>
              </w:rPr>
              <w:t>Chapter 17</w:t>
            </w:r>
          </w:p>
        </w:tc>
      </w:tr>
      <w:tr w:rsidR="008C60AB" w:rsidRPr="005B0C2F" w14:paraId="2BCCA1AA" w14:textId="77777777" w:rsidTr="00424B08">
        <w:trPr>
          <w:trHeight w:hRule="exact" w:val="301"/>
          <w:tblHeader/>
          <w:jc w:val="center"/>
        </w:trPr>
        <w:tc>
          <w:tcPr>
            <w:tcW w:w="3015" w:type="dxa"/>
          </w:tcPr>
          <w:p w14:paraId="7A1B26E1" w14:textId="6C8339A6" w:rsidR="008C60AB" w:rsidRPr="008C60AB" w:rsidRDefault="008C60AB" w:rsidP="008C60AB">
            <w:pPr>
              <w:spacing w:after="240"/>
              <w:ind w:right="-20"/>
              <w:rPr>
                <w:color w:val="000000" w:themeColor="text1"/>
              </w:rPr>
            </w:pPr>
            <w:r w:rsidRPr="008C60AB">
              <w:rPr>
                <w:color w:val="000000" w:themeColor="text1"/>
              </w:rPr>
              <w:t>Appendix 6 (all files)</w:t>
            </w:r>
          </w:p>
        </w:tc>
        <w:tc>
          <w:tcPr>
            <w:tcW w:w="2970" w:type="dxa"/>
          </w:tcPr>
          <w:p w14:paraId="7EAF729B" w14:textId="07157F33" w:rsidR="008C60AB" w:rsidRPr="008C60AB" w:rsidRDefault="008C60AB" w:rsidP="008C60AB">
            <w:pPr>
              <w:spacing w:after="240"/>
              <w:ind w:right="-20"/>
              <w:rPr>
                <w:color w:val="000000" w:themeColor="text1"/>
              </w:rPr>
            </w:pPr>
          </w:p>
        </w:tc>
      </w:tr>
    </w:tbl>
    <w:p w14:paraId="5148689A" w14:textId="77777777" w:rsidR="00B17826" w:rsidRPr="005B0C2F" w:rsidRDefault="00B17826" w:rsidP="009E0AED">
      <w:pPr>
        <w:rPr>
          <w:color w:val="000000" w:themeColor="text1"/>
        </w:rPr>
      </w:pPr>
    </w:p>
    <w:p w14:paraId="003B4F4D" w14:textId="6A284961" w:rsidR="00EE7319" w:rsidRPr="003B09AC" w:rsidRDefault="009E0AED" w:rsidP="003B09AC">
      <w:pPr>
        <w:rPr>
          <w:color w:val="1F497D"/>
          <w:sz w:val="22"/>
          <w:szCs w:val="22"/>
        </w:rPr>
      </w:pPr>
      <w:r w:rsidRPr="005B0C2F">
        <w:rPr>
          <w:color w:val="000000" w:themeColor="text1"/>
        </w:rPr>
        <w:t xml:space="preserve">IV.  </w:t>
      </w:r>
      <w:r w:rsidR="00EE7319" w:rsidRPr="005B0C2F">
        <w:rPr>
          <w:color w:val="000000" w:themeColor="text1"/>
        </w:rPr>
        <w:t xml:space="preserve">This change is incorporated into the on-line </w:t>
      </w:r>
      <w:r w:rsidR="00EE7319" w:rsidRPr="00E45443">
        <w:t>DLM 4000.25 series of manuals and the PDF file</w:t>
      </w:r>
      <w:r w:rsidR="00EE7319">
        <w:t>s</w:t>
      </w:r>
      <w:r w:rsidR="00EE7319" w:rsidRPr="00E45443">
        <w:t xml:space="preserve"> containing the entire set of change files on the publications page of the </w:t>
      </w:r>
      <w:r w:rsidR="00EE7319">
        <w:t>Enterprise Business Standards Office</w:t>
      </w:r>
      <w:r w:rsidR="00EE7319" w:rsidRPr="00E45443">
        <w:t xml:space="preserve"> Website</w:t>
      </w:r>
      <w:r w:rsidR="00EE7319">
        <w:t>:</w:t>
      </w:r>
      <w:r w:rsidR="00EE7319" w:rsidRPr="00E45443">
        <w:t xml:space="preserve"> </w:t>
      </w:r>
      <w:hyperlink r:id="rId12" w:tooltip="DLMS Publications page" w:history="1">
        <w:r w:rsidR="00EE7319">
          <w:rPr>
            <w:rStyle w:val="Hyperlink"/>
          </w:rPr>
          <w:t>www.dla.mil/does/dlms-pubs</w:t>
        </w:r>
      </w:hyperlink>
    </w:p>
    <w:p w14:paraId="7E5DE55B" w14:textId="77777777" w:rsidR="00EE7319" w:rsidRDefault="00EE7319" w:rsidP="00EE7319">
      <w:pPr>
        <w:keepNext/>
        <w:keepLines/>
      </w:pPr>
    </w:p>
    <w:p w14:paraId="4C179A11" w14:textId="797A9BD7" w:rsidR="00196B28" w:rsidRPr="00D31BD3" w:rsidRDefault="003B09AC" w:rsidP="003B09AC">
      <w:pPr>
        <w:keepNext/>
        <w:keepLines/>
        <w:ind w:left="2160" w:firstLine="720"/>
      </w:pPr>
      <w:r>
        <w:rPr>
          <w:noProof/>
        </w:rPr>
        <w:drawing>
          <wp:inline distT="0" distB="0" distL="0" distR="0" wp14:anchorId="6FB98C53" wp14:editId="5B670C88">
            <wp:extent cx="3831405" cy="170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7923" cy="1725676"/>
                    </a:xfrm>
                    <a:prstGeom prst="rect">
                      <a:avLst/>
                    </a:prstGeom>
                    <a:noFill/>
                    <a:ln>
                      <a:noFill/>
                    </a:ln>
                  </pic:spPr>
                </pic:pic>
              </a:graphicData>
            </a:graphic>
          </wp:inline>
        </w:drawing>
      </w:r>
      <w:bookmarkStart w:id="0" w:name="_GoBack"/>
      <w:bookmarkEnd w:id="0"/>
    </w:p>
    <w:sectPr w:rsidR="00196B28" w:rsidRPr="00D31BD3" w:rsidSect="008232A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832D2" w14:textId="77777777" w:rsidR="00FD1D25" w:rsidRDefault="00FD1D25">
      <w:r>
        <w:separator/>
      </w:r>
    </w:p>
  </w:endnote>
  <w:endnote w:type="continuationSeparator" w:id="0">
    <w:p w14:paraId="780B2CC6" w14:textId="77777777" w:rsidR="00FD1D25" w:rsidRDefault="00FD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97E47" w14:textId="77777777" w:rsidR="00FD1D25" w:rsidRDefault="00FD1D25">
      <w:r>
        <w:separator/>
      </w:r>
    </w:p>
  </w:footnote>
  <w:footnote w:type="continuationSeparator" w:id="0">
    <w:p w14:paraId="18EA3682" w14:textId="77777777" w:rsidR="00FD1D25" w:rsidRDefault="00FD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6911"/>
    <w:multiLevelType w:val="multilevel"/>
    <w:tmpl w:val="E93C3986"/>
    <w:lvl w:ilvl="0">
      <w:start w:val="1"/>
      <w:numFmt w:val="bullet"/>
      <w:lvlText w:val=""/>
      <w:lvlJc w:val="left"/>
      <w:pPr>
        <w:tabs>
          <w:tab w:val="num" w:pos="360"/>
        </w:tabs>
        <w:ind w:left="360" w:hanging="360"/>
      </w:pPr>
      <w:rPr>
        <w:rFonts w:ascii="Symbol" w:hAnsi="Symbol" w:hint="default"/>
        <w:b/>
        <w:i w:val="0"/>
        <w:sz w:val="24"/>
      </w:rPr>
    </w:lvl>
    <w:lvl w:ilvl="1">
      <w:start w:val="1"/>
      <w:numFmt w:val="lowerLetter"/>
      <w:lvlText w:val="%2."/>
      <w:lvlJc w:val="left"/>
      <w:pPr>
        <w:tabs>
          <w:tab w:val="num" w:pos="1080"/>
        </w:tabs>
        <w:ind w:left="0" w:firstLine="547"/>
      </w:pPr>
    </w:lvl>
    <w:lvl w:ilvl="2">
      <w:start w:val="1"/>
      <w:numFmt w:val="decimal"/>
      <w:lvlText w:val="%3)"/>
      <w:lvlJc w:val="left"/>
      <w:pPr>
        <w:tabs>
          <w:tab w:val="num" w:pos="1440"/>
        </w:tabs>
        <w:ind w:left="0" w:firstLine="1080"/>
      </w:pPr>
    </w:lvl>
    <w:lvl w:ilvl="3">
      <w:start w:val="1"/>
      <w:numFmt w:val="lowerLetter"/>
      <w:lvlText w:val="(%4)"/>
      <w:lvlJc w:val="left"/>
      <w:pPr>
        <w:tabs>
          <w:tab w:val="num" w:pos="2160"/>
        </w:tabs>
        <w:ind w:left="0" w:firstLine="1440"/>
      </w:pPr>
    </w:lvl>
    <w:lvl w:ilvl="4">
      <w:start w:val="1"/>
      <w:numFmt w:val="lowerRoman"/>
      <w:lvlText w:val="(%5)"/>
      <w:lvlJc w:val="left"/>
      <w:pPr>
        <w:tabs>
          <w:tab w:val="num" w:pos="2707"/>
        </w:tabs>
        <w:ind w:left="0" w:firstLine="21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 w15:restartNumberingAfterBreak="0">
    <w:nsid w:val="19407196"/>
    <w:multiLevelType w:val="multilevel"/>
    <w:tmpl w:val="4A9CD1DC"/>
    <w:numStyleLink w:val="Style1"/>
  </w:abstractNum>
  <w:abstractNum w:abstractNumId="2" w15:restartNumberingAfterBreak="0">
    <w:nsid w:val="1FD448BB"/>
    <w:multiLevelType w:val="hybridMultilevel"/>
    <w:tmpl w:val="EE84CB6A"/>
    <w:lvl w:ilvl="0" w:tplc="3EC22BA4">
      <w:start w:val="1"/>
      <w:numFmt w:val="upperLetter"/>
      <w:suff w:val="nothing"/>
      <w:lvlText w:val="%1."/>
      <w:lvlJc w:val="left"/>
      <w:pPr>
        <w:ind w:left="1176" w:hanging="96"/>
      </w:pPr>
      <w:rPr>
        <w:rFonts w:ascii="Times New Roman" w:hAnsi="Times New Roman" w:cs="Times New Roman" w:hint="default"/>
        <w:b w:val="0"/>
        <w:sz w:val="22"/>
        <w:szCs w:val="22"/>
      </w:r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 w15:restartNumberingAfterBreak="0">
    <w:nsid w:val="29473329"/>
    <w:multiLevelType w:val="hybridMultilevel"/>
    <w:tmpl w:val="CE9E1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247F1"/>
    <w:multiLevelType w:val="hybridMultilevel"/>
    <w:tmpl w:val="2CC247F1"/>
    <w:lvl w:ilvl="0" w:tplc="FFFFFFFF">
      <w:start w:val="1"/>
      <w:numFmt w:val="bullet"/>
      <w:lvlText w:val="l"/>
      <w:lvlJc w:val="left"/>
      <w:pPr>
        <w:tabs>
          <w:tab w:val="num" w:pos="360"/>
        </w:tabs>
        <w:ind w:left="360" w:hanging="360"/>
      </w:pPr>
      <w:rPr>
        <w:rFonts w:ascii="Wingdings" w:eastAsia="Wingdings" w:hAnsi="Wingdings" w:cs="Wingdings"/>
        <w:color w:val="000000"/>
        <w:sz w:val="16"/>
      </w:rPr>
    </w:lvl>
    <w:lvl w:ilvl="1" w:tplc="FFFFFFFF">
      <w:start w:val="1"/>
      <w:numFmt w:val="bullet"/>
      <w:lvlText w:val="¡"/>
      <w:lvlJc w:val="left"/>
      <w:pPr>
        <w:tabs>
          <w:tab w:val="num" w:pos="720"/>
        </w:tabs>
        <w:ind w:left="720" w:hanging="360"/>
      </w:pPr>
      <w:rPr>
        <w:rFonts w:ascii="Wingdings" w:eastAsia="Wingdings" w:hAnsi="Wingdings" w:cs="Wingdings"/>
        <w:color w:val="000000"/>
        <w:sz w:val="16"/>
      </w:rPr>
    </w:lvl>
    <w:lvl w:ilvl="2" w:tplc="FFFFFFFF">
      <w:start w:val="1"/>
      <w:numFmt w:val="bullet"/>
      <w:lvlText w:val="¡"/>
      <w:lvlJc w:val="left"/>
      <w:pPr>
        <w:tabs>
          <w:tab w:val="num" w:pos="1080"/>
        </w:tabs>
        <w:ind w:left="1080" w:hanging="360"/>
      </w:pPr>
      <w:rPr>
        <w:rFonts w:ascii="Wingdings" w:eastAsia="Wingdings" w:hAnsi="Wingdings" w:cs="Wingdings"/>
        <w:color w:val="000000"/>
        <w:sz w:val="16"/>
      </w:rPr>
    </w:lvl>
    <w:lvl w:ilvl="3" w:tplc="FFFFFFFF">
      <w:start w:val="1"/>
      <w:numFmt w:val="bullet"/>
      <w:lvlText w:val="¡"/>
      <w:lvlJc w:val="left"/>
      <w:pPr>
        <w:tabs>
          <w:tab w:val="num" w:pos="1440"/>
        </w:tabs>
        <w:ind w:left="1440" w:hanging="360"/>
      </w:pPr>
      <w:rPr>
        <w:rFonts w:ascii="Wingdings" w:eastAsia="Wingdings" w:hAnsi="Wingdings" w:cs="Wingdings"/>
        <w:color w:val="000000"/>
        <w:sz w:val="16"/>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507E36A9"/>
    <w:multiLevelType w:val="hybridMultilevel"/>
    <w:tmpl w:val="DE562064"/>
    <w:lvl w:ilvl="0" w:tplc="F2F42124">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6" w15:restartNumberingAfterBreak="0">
    <w:nsid w:val="50B75569"/>
    <w:multiLevelType w:val="hybridMultilevel"/>
    <w:tmpl w:val="8D5697F6"/>
    <w:lvl w:ilvl="0" w:tplc="B2EA5EE2">
      <w:start w:val="1"/>
      <w:numFmt w:val="upperLetter"/>
      <w:suff w:val="nothing"/>
      <w:lvlText w:val="%1."/>
      <w:lvlJc w:val="left"/>
      <w:pPr>
        <w:ind w:left="1176" w:hanging="96"/>
      </w:pPr>
      <w:rPr>
        <w:rFonts w:ascii="Times New Roman" w:hAnsi="Times New Roman" w:cs="Times New Roman" w:hint="default"/>
        <w:b w:val="0"/>
        <w:sz w:val="22"/>
        <w:szCs w:val="22"/>
      </w:r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7" w15:restartNumberingAfterBreak="0">
    <w:nsid w:val="5AB21FCC"/>
    <w:multiLevelType w:val="hybridMultilevel"/>
    <w:tmpl w:val="23943E60"/>
    <w:lvl w:ilvl="0" w:tplc="1744DCAA">
      <w:start w:val="1"/>
      <w:numFmt w:val="upperLetter"/>
      <w:suff w:val="nothing"/>
      <w:lvlText w:val="%1."/>
      <w:lvlJc w:val="left"/>
      <w:pPr>
        <w:ind w:left="1176" w:hanging="96"/>
      </w:pPr>
      <w:rPr>
        <w:rFonts w:ascii="Times New Roman" w:hAnsi="Times New Roman" w:cs="Times New Roman" w:hint="default"/>
        <w:b w:val="0"/>
        <w:sz w:val="22"/>
        <w:szCs w:val="22"/>
      </w:r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8" w15:restartNumberingAfterBreak="0">
    <w:nsid w:val="5D635919"/>
    <w:multiLevelType w:val="multilevel"/>
    <w:tmpl w:val="4A9CD1DC"/>
    <w:styleLink w:val="Style1"/>
    <w:lvl w:ilvl="0">
      <w:start w:val="1"/>
      <w:numFmt w:val="decimal"/>
      <w:suff w:val="space"/>
      <w:lvlText w:val="%1. "/>
      <w:lvlJc w:val="left"/>
      <w:pPr>
        <w:ind w:left="0" w:firstLine="0"/>
      </w:pPr>
      <w:rPr>
        <w:b/>
      </w:rPr>
    </w:lvl>
    <w:lvl w:ilvl="1">
      <w:start w:val="1"/>
      <w:numFmt w:val="lowerLetter"/>
      <w:suff w:val="space"/>
      <w:lvlText w:val="%2. "/>
      <w:lvlJc w:val="left"/>
      <w:pPr>
        <w:ind w:left="0" w:firstLine="720"/>
      </w:pPr>
      <w:rPr>
        <w:b/>
      </w:rPr>
    </w:lvl>
    <w:lvl w:ilvl="2">
      <w:start w:val="1"/>
      <w:numFmt w:val="decimal"/>
      <w:suff w:val="space"/>
      <w:lvlText w:val="(%3) "/>
      <w:lvlJc w:val="left"/>
      <w:pPr>
        <w:ind w:left="0" w:firstLine="1440"/>
      </w:pPr>
      <w:rPr>
        <w:b/>
      </w:rPr>
    </w:lvl>
    <w:lvl w:ilvl="3">
      <w:start w:val="1"/>
      <w:numFmt w:val="lowerLetter"/>
      <w:suff w:val="space"/>
      <w:lvlText w:val="(%4) "/>
      <w:lvlJc w:val="left"/>
      <w:pPr>
        <w:ind w:left="0" w:firstLine="2160"/>
      </w:pPr>
      <w:rPr>
        <w:b/>
      </w:rPr>
    </w:lvl>
    <w:lvl w:ilvl="4">
      <w:start w:val="1"/>
      <w:numFmt w:val="decimal"/>
      <w:suff w:val="space"/>
      <w:lvlText w:val="%5. "/>
      <w:lvlJc w:val="left"/>
      <w:pPr>
        <w:ind w:left="0" w:firstLine="2880"/>
      </w:pPr>
      <w:rPr>
        <w:b/>
        <w:u w:val="words"/>
      </w:rPr>
    </w:lvl>
    <w:lvl w:ilvl="5">
      <w:start w:val="1"/>
      <w:numFmt w:val="lowerLetter"/>
      <w:suff w:val="space"/>
      <w:lvlText w:val="%6. "/>
      <w:lvlJc w:val="left"/>
      <w:pPr>
        <w:ind w:left="0" w:firstLine="3600"/>
      </w:pPr>
      <w:rPr>
        <w:b/>
        <w:u w:val="words"/>
      </w:rPr>
    </w:lvl>
    <w:lvl w:ilvl="6">
      <w:start w:val="1"/>
      <w:numFmt w:val="decimal"/>
      <w:lvlText w:val="%7."/>
      <w:lvlJc w:val="left"/>
      <w:pPr>
        <w:ind w:left="2160" w:firstLine="360"/>
      </w:pPr>
    </w:lvl>
    <w:lvl w:ilvl="7">
      <w:start w:val="1"/>
      <w:numFmt w:val="lowerLetter"/>
      <w:lvlText w:val="%8."/>
      <w:lvlJc w:val="left"/>
      <w:pPr>
        <w:ind w:left="2520" w:firstLine="360"/>
      </w:pPr>
    </w:lvl>
    <w:lvl w:ilvl="8">
      <w:start w:val="1"/>
      <w:numFmt w:val="lowerRoman"/>
      <w:lvlText w:val="%9."/>
      <w:lvlJc w:val="left"/>
      <w:pPr>
        <w:ind w:left="2880" w:firstLine="360"/>
      </w:pPr>
    </w:lvl>
  </w:abstractNum>
  <w:num w:numId="1">
    <w:abstractNumId w:val="4"/>
  </w:num>
  <w:num w:numId="2">
    <w:abstractNumId w:val="6"/>
  </w:num>
  <w:num w:numId="3">
    <w:abstractNumId w:val="6"/>
  </w:num>
  <w:num w:numId="4">
    <w:abstractNumId w:val="5"/>
  </w:num>
  <w:num w:numId="5">
    <w:abstractNumId w:val="1"/>
    <w:lvlOverride w:ilvl="0">
      <w:startOverride w:val="1"/>
      <w:lvl w:ilvl="0">
        <w:start w:val="1"/>
        <w:numFmt w:val="decimal"/>
        <w:lvlText w:val=""/>
        <w:lvlJc w:val="left"/>
      </w:lvl>
    </w:lvlOverride>
    <w:lvlOverride w:ilvl="1">
      <w:startOverride w:val="1"/>
      <w:lvl w:ilvl="1">
        <w:start w:val="1"/>
        <w:numFmt w:val="lowerLetter"/>
        <w:suff w:val="space"/>
        <w:lvlText w:val="%2. "/>
        <w:lvlJc w:val="left"/>
        <w:pPr>
          <w:ind w:left="0" w:firstLine="720"/>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suff w:val="space"/>
        <w:lvlText w:val="%5. "/>
        <w:lvlJc w:val="left"/>
        <w:pPr>
          <w:ind w:left="0" w:firstLine="2880"/>
        </w:pPr>
        <w:rPr>
          <w:b/>
          <w:u w:val="words"/>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8"/>
  </w:num>
  <w:num w:numId="7">
    <w:abstractNumId w:val="3"/>
  </w:num>
  <w:num w:numId="8">
    <w:abstractNumId w:val="1"/>
  </w:num>
  <w:num w:numId="9">
    <w:abstractNumId w:val="2"/>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E6"/>
    <w:rsid w:val="000010FB"/>
    <w:rsid w:val="00002A14"/>
    <w:rsid w:val="00002C68"/>
    <w:rsid w:val="00006915"/>
    <w:rsid w:val="00011BB7"/>
    <w:rsid w:val="00013226"/>
    <w:rsid w:val="00016407"/>
    <w:rsid w:val="00044BED"/>
    <w:rsid w:val="000537CD"/>
    <w:rsid w:val="00053DA7"/>
    <w:rsid w:val="00055220"/>
    <w:rsid w:val="00065F69"/>
    <w:rsid w:val="00070D96"/>
    <w:rsid w:val="00075659"/>
    <w:rsid w:val="00075C36"/>
    <w:rsid w:val="00077D52"/>
    <w:rsid w:val="000808E1"/>
    <w:rsid w:val="00080956"/>
    <w:rsid w:val="0008430A"/>
    <w:rsid w:val="0008687E"/>
    <w:rsid w:val="00093328"/>
    <w:rsid w:val="000A197F"/>
    <w:rsid w:val="000B0C3A"/>
    <w:rsid w:val="000B67BD"/>
    <w:rsid w:val="000C775C"/>
    <w:rsid w:val="000D1ADE"/>
    <w:rsid w:val="000D4E32"/>
    <w:rsid w:val="000E7321"/>
    <w:rsid w:val="000F0AF7"/>
    <w:rsid w:val="000F2EB4"/>
    <w:rsid w:val="000F60B0"/>
    <w:rsid w:val="000F7226"/>
    <w:rsid w:val="001044A8"/>
    <w:rsid w:val="00105D78"/>
    <w:rsid w:val="00115DC9"/>
    <w:rsid w:val="00117B4F"/>
    <w:rsid w:val="00121259"/>
    <w:rsid w:val="00122D74"/>
    <w:rsid w:val="00140432"/>
    <w:rsid w:val="00141F17"/>
    <w:rsid w:val="00142408"/>
    <w:rsid w:val="00154B07"/>
    <w:rsid w:val="00162497"/>
    <w:rsid w:val="001822BB"/>
    <w:rsid w:val="001826B8"/>
    <w:rsid w:val="001843A8"/>
    <w:rsid w:val="001852EC"/>
    <w:rsid w:val="00191014"/>
    <w:rsid w:val="00191A05"/>
    <w:rsid w:val="00194ED7"/>
    <w:rsid w:val="00196B28"/>
    <w:rsid w:val="001A1CDB"/>
    <w:rsid w:val="001A1D81"/>
    <w:rsid w:val="001A4B11"/>
    <w:rsid w:val="001B27E6"/>
    <w:rsid w:val="001B4283"/>
    <w:rsid w:val="001C1305"/>
    <w:rsid w:val="001C2145"/>
    <w:rsid w:val="001C25D2"/>
    <w:rsid w:val="001D1F76"/>
    <w:rsid w:val="001D36CA"/>
    <w:rsid w:val="001D57DB"/>
    <w:rsid w:val="001D7BC8"/>
    <w:rsid w:val="001E7833"/>
    <w:rsid w:val="001F1735"/>
    <w:rsid w:val="001F352F"/>
    <w:rsid w:val="00212DD0"/>
    <w:rsid w:val="00216F80"/>
    <w:rsid w:val="00223A4A"/>
    <w:rsid w:val="00230047"/>
    <w:rsid w:val="002350B5"/>
    <w:rsid w:val="00236D04"/>
    <w:rsid w:val="002370BD"/>
    <w:rsid w:val="00237203"/>
    <w:rsid w:val="00237887"/>
    <w:rsid w:val="0024097C"/>
    <w:rsid w:val="00242814"/>
    <w:rsid w:val="00244745"/>
    <w:rsid w:val="00261294"/>
    <w:rsid w:val="00263517"/>
    <w:rsid w:val="00265C73"/>
    <w:rsid w:val="002705A3"/>
    <w:rsid w:val="00270796"/>
    <w:rsid w:val="00271443"/>
    <w:rsid w:val="00271F23"/>
    <w:rsid w:val="0028500E"/>
    <w:rsid w:val="00286745"/>
    <w:rsid w:val="002875AB"/>
    <w:rsid w:val="002875AC"/>
    <w:rsid w:val="00291693"/>
    <w:rsid w:val="00297C9D"/>
    <w:rsid w:val="002A2DA4"/>
    <w:rsid w:val="002A2F90"/>
    <w:rsid w:val="002A381C"/>
    <w:rsid w:val="002A43DE"/>
    <w:rsid w:val="002A733B"/>
    <w:rsid w:val="002A76F1"/>
    <w:rsid w:val="002B3F9C"/>
    <w:rsid w:val="002B71DC"/>
    <w:rsid w:val="002B7579"/>
    <w:rsid w:val="002B762A"/>
    <w:rsid w:val="002D07FC"/>
    <w:rsid w:val="002D0ECE"/>
    <w:rsid w:val="002D3535"/>
    <w:rsid w:val="002D36F3"/>
    <w:rsid w:val="002D4D61"/>
    <w:rsid w:val="002E3CC2"/>
    <w:rsid w:val="002E454F"/>
    <w:rsid w:val="002E5427"/>
    <w:rsid w:val="002E5B06"/>
    <w:rsid w:val="002E5DB2"/>
    <w:rsid w:val="002F19AC"/>
    <w:rsid w:val="002F3A15"/>
    <w:rsid w:val="002F6167"/>
    <w:rsid w:val="00316DA3"/>
    <w:rsid w:val="00320B37"/>
    <w:rsid w:val="00322199"/>
    <w:rsid w:val="003222C9"/>
    <w:rsid w:val="003259B7"/>
    <w:rsid w:val="00327A0E"/>
    <w:rsid w:val="00327E5C"/>
    <w:rsid w:val="0033113E"/>
    <w:rsid w:val="00333B11"/>
    <w:rsid w:val="00334B99"/>
    <w:rsid w:val="003513C0"/>
    <w:rsid w:val="00360B69"/>
    <w:rsid w:val="00361930"/>
    <w:rsid w:val="00361B2D"/>
    <w:rsid w:val="003623B7"/>
    <w:rsid w:val="00363668"/>
    <w:rsid w:val="003639BE"/>
    <w:rsid w:val="00367EA4"/>
    <w:rsid w:val="0037154B"/>
    <w:rsid w:val="00375AD0"/>
    <w:rsid w:val="00377E80"/>
    <w:rsid w:val="00381C22"/>
    <w:rsid w:val="00382BB6"/>
    <w:rsid w:val="0038395B"/>
    <w:rsid w:val="0038439B"/>
    <w:rsid w:val="00387006"/>
    <w:rsid w:val="00391A19"/>
    <w:rsid w:val="00393A67"/>
    <w:rsid w:val="003A0F05"/>
    <w:rsid w:val="003A34A2"/>
    <w:rsid w:val="003A7968"/>
    <w:rsid w:val="003B09AC"/>
    <w:rsid w:val="003B4051"/>
    <w:rsid w:val="003B6219"/>
    <w:rsid w:val="003B6CC9"/>
    <w:rsid w:val="003C540D"/>
    <w:rsid w:val="003C5AA2"/>
    <w:rsid w:val="003C707E"/>
    <w:rsid w:val="003D1141"/>
    <w:rsid w:val="003F3ED1"/>
    <w:rsid w:val="003F651F"/>
    <w:rsid w:val="003F6A18"/>
    <w:rsid w:val="00402B23"/>
    <w:rsid w:val="00403587"/>
    <w:rsid w:val="004052AC"/>
    <w:rsid w:val="00405989"/>
    <w:rsid w:val="00410FC9"/>
    <w:rsid w:val="00420F6D"/>
    <w:rsid w:val="00423AAC"/>
    <w:rsid w:val="00424B08"/>
    <w:rsid w:val="00434E03"/>
    <w:rsid w:val="00436C4F"/>
    <w:rsid w:val="0043707C"/>
    <w:rsid w:val="00437789"/>
    <w:rsid w:val="00440C7E"/>
    <w:rsid w:val="0045038D"/>
    <w:rsid w:val="00455CBC"/>
    <w:rsid w:val="00460036"/>
    <w:rsid w:val="0046546A"/>
    <w:rsid w:val="00470AA5"/>
    <w:rsid w:val="00477495"/>
    <w:rsid w:val="00485EE9"/>
    <w:rsid w:val="00491A8C"/>
    <w:rsid w:val="00492611"/>
    <w:rsid w:val="004935A8"/>
    <w:rsid w:val="004A2D45"/>
    <w:rsid w:val="004A70AD"/>
    <w:rsid w:val="004B0E1B"/>
    <w:rsid w:val="004B159D"/>
    <w:rsid w:val="004B634F"/>
    <w:rsid w:val="004D0C23"/>
    <w:rsid w:val="004D1166"/>
    <w:rsid w:val="004D1BA3"/>
    <w:rsid w:val="004D2742"/>
    <w:rsid w:val="004D750D"/>
    <w:rsid w:val="004E18C1"/>
    <w:rsid w:val="004E1FFF"/>
    <w:rsid w:val="004E2611"/>
    <w:rsid w:val="004E4084"/>
    <w:rsid w:val="004E722F"/>
    <w:rsid w:val="004E7278"/>
    <w:rsid w:val="004F11F8"/>
    <w:rsid w:val="004F2F1D"/>
    <w:rsid w:val="004F3B6E"/>
    <w:rsid w:val="005001FC"/>
    <w:rsid w:val="0050075E"/>
    <w:rsid w:val="00501A8F"/>
    <w:rsid w:val="0050336C"/>
    <w:rsid w:val="00506C02"/>
    <w:rsid w:val="0051125A"/>
    <w:rsid w:val="0051223E"/>
    <w:rsid w:val="00515687"/>
    <w:rsid w:val="00517E7B"/>
    <w:rsid w:val="00520ACE"/>
    <w:rsid w:val="00522729"/>
    <w:rsid w:val="00526952"/>
    <w:rsid w:val="00527332"/>
    <w:rsid w:val="00527E1F"/>
    <w:rsid w:val="00535067"/>
    <w:rsid w:val="005446EC"/>
    <w:rsid w:val="00546FF6"/>
    <w:rsid w:val="00554C0D"/>
    <w:rsid w:val="005610D7"/>
    <w:rsid w:val="00563006"/>
    <w:rsid w:val="0056753C"/>
    <w:rsid w:val="00573575"/>
    <w:rsid w:val="00577EA1"/>
    <w:rsid w:val="00581D38"/>
    <w:rsid w:val="005868BE"/>
    <w:rsid w:val="00591666"/>
    <w:rsid w:val="0059265A"/>
    <w:rsid w:val="00594F11"/>
    <w:rsid w:val="00595CA8"/>
    <w:rsid w:val="005B055D"/>
    <w:rsid w:val="005B0C2F"/>
    <w:rsid w:val="005B0E04"/>
    <w:rsid w:val="005B4C9B"/>
    <w:rsid w:val="005C23BB"/>
    <w:rsid w:val="005C38B6"/>
    <w:rsid w:val="005C7C87"/>
    <w:rsid w:val="005D0C2A"/>
    <w:rsid w:val="005E65F5"/>
    <w:rsid w:val="005F09C9"/>
    <w:rsid w:val="005F402A"/>
    <w:rsid w:val="00603264"/>
    <w:rsid w:val="00605FF1"/>
    <w:rsid w:val="006100E4"/>
    <w:rsid w:val="00610281"/>
    <w:rsid w:val="00614AD3"/>
    <w:rsid w:val="006153D6"/>
    <w:rsid w:val="00616A4E"/>
    <w:rsid w:val="006204EF"/>
    <w:rsid w:val="0062781F"/>
    <w:rsid w:val="006346C6"/>
    <w:rsid w:val="00636CEB"/>
    <w:rsid w:val="00641897"/>
    <w:rsid w:val="00643D98"/>
    <w:rsid w:val="00647078"/>
    <w:rsid w:val="00647667"/>
    <w:rsid w:val="0066272C"/>
    <w:rsid w:val="00664AB0"/>
    <w:rsid w:val="00670064"/>
    <w:rsid w:val="00674626"/>
    <w:rsid w:val="006808D4"/>
    <w:rsid w:val="006A2309"/>
    <w:rsid w:val="006A5DC0"/>
    <w:rsid w:val="006A76E3"/>
    <w:rsid w:val="006A7E74"/>
    <w:rsid w:val="006B149D"/>
    <w:rsid w:val="006B28AA"/>
    <w:rsid w:val="006B3C3D"/>
    <w:rsid w:val="006C31F3"/>
    <w:rsid w:val="006D023F"/>
    <w:rsid w:val="006D1171"/>
    <w:rsid w:val="006E2851"/>
    <w:rsid w:val="006E6D38"/>
    <w:rsid w:val="006F1C52"/>
    <w:rsid w:val="006F371B"/>
    <w:rsid w:val="006F3A4C"/>
    <w:rsid w:val="006F40BD"/>
    <w:rsid w:val="006F6A11"/>
    <w:rsid w:val="006F7EB4"/>
    <w:rsid w:val="007015DF"/>
    <w:rsid w:val="00705AC4"/>
    <w:rsid w:val="00711BF3"/>
    <w:rsid w:val="00711BF8"/>
    <w:rsid w:val="007147FE"/>
    <w:rsid w:val="0071785D"/>
    <w:rsid w:val="007243FF"/>
    <w:rsid w:val="00726F50"/>
    <w:rsid w:val="00736737"/>
    <w:rsid w:val="00737225"/>
    <w:rsid w:val="0074708A"/>
    <w:rsid w:val="00753244"/>
    <w:rsid w:val="00760E6B"/>
    <w:rsid w:val="00763BE5"/>
    <w:rsid w:val="00767938"/>
    <w:rsid w:val="007719D9"/>
    <w:rsid w:val="00771D61"/>
    <w:rsid w:val="007744E3"/>
    <w:rsid w:val="007808AB"/>
    <w:rsid w:val="00785558"/>
    <w:rsid w:val="00786598"/>
    <w:rsid w:val="007939FE"/>
    <w:rsid w:val="00793EA4"/>
    <w:rsid w:val="007A3E76"/>
    <w:rsid w:val="007A4606"/>
    <w:rsid w:val="007A49B6"/>
    <w:rsid w:val="007A5F49"/>
    <w:rsid w:val="007B013C"/>
    <w:rsid w:val="007B1E06"/>
    <w:rsid w:val="007B5E6E"/>
    <w:rsid w:val="007C1A3B"/>
    <w:rsid w:val="007C1C4A"/>
    <w:rsid w:val="007C3AD4"/>
    <w:rsid w:val="007D1054"/>
    <w:rsid w:val="007F4091"/>
    <w:rsid w:val="00801853"/>
    <w:rsid w:val="008020D9"/>
    <w:rsid w:val="00803592"/>
    <w:rsid w:val="008115E5"/>
    <w:rsid w:val="008121AB"/>
    <w:rsid w:val="0082193B"/>
    <w:rsid w:val="00822AD3"/>
    <w:rsid w:val="008232A7"/>
    <w:rsid w:val="00835C96"/>
    <w:rsid w:val="00844B7B"/>
    <w:rsid w:val="008539DE"/>
    <w:rsid w:val="00857349"/>
    <w:rsid w:val="008613EA"/>
    <w:rsid w:val="00875829"/>
    <w:rsid w:val="0088216B"/>
    <w:rsid w:val="00882FDC"/>
    <w:rsid w:val="00884A0E"/>
    <w:rsid w:val="0088714A"/>
    <w:rsid w:val="008910B8"/>
    <w:rsid w:val="008943DF"/>
    <w:rsid w:val="008944F8"/>
    <w:rsid w:val="008A063C"/>
    <w:rsid w:val="008A1C50"/>
    <w:rsid w:val="008B53C4"/>
    <w:rsid w:val="008C4A2F"/>
    <w:rsid w:val="008C4D6E"/>
    <w:rsid w:val="008C60AB"/>
    <w:rsid w:val="008D1156"/>
    <w:rsid w:val="008D2281"/>
    <w:rsid w:val="008E0970"/>
    <w:rsid w:val="008E57C9"/>
    <w:rsid w:val="008F1CEE"/>
    <w:rsid w:val="008F6370"/>
    <w:rsid w:val="008F76AB"/>
    <w:rsid w:val="008F7B89"/>
    <w:rsid w:val="0090384D"/>
    <w:rsid w:val="009217DD"/>
    <w:rsid w:val="009230EE"/>
    <w:rsid w:val="009249CD"/>
    <w:rsid w:val="0092525D"/>
    <w:rsid w:val="00926046"/>
    <w:rsid w:val="0093221F"/>
    <w:rsid w:val="00941707"/>
    <w:rsid w:val="00942E21"/>
    <w:rsid w:val="00953E77"/>
    <w:rsid w:val="009540F8"/>
    <w:rsid w:val="00964EFE"/>
    <w:rsid w:val="009738C5"/>
    <w:rsid w:val="00974B63"/>
    <w:rsid w:val="00975EBA"/>
    <w:rsid w:val="00980E9A"/>
    <w:rsid w:val="009813CB"/>
    <w:rsid w:val="009830AD"/>
    <w:rsid w:val="009A10AC"/>
    <w:rsid w:val="009A31D7"/>
    <w:rsid w:val="009A5288"/>
    <w:rsid w:val="009A6BDD"/>
    <w:rsid w:val="009B2F79"/>
    <w:rsid w:val="009B3250"/>
    <w:rsid w:val="009B5EAD"/>
    <w:rsid w:val="009C79C2"/>
    <w:rsid w:val="009D434C"/>
    <w:rsid w:val="009D6800"/>
    <w:rsid w:val="009D72DB"/>
    <w:rsid w:val="009D7C49"/>
    <w:rsid w:val="009E0AED"/>
    <w:rsid w:val="009E203B"/>
    <w:rsid w:val="009E3A69"/>
    <w:rsid w:val="009E4A3B"/>
    <w:rsid w:val="009E4DE3"/>
    <w:rsid w:val="009E65AE"/>
    <w:rsid w:val="009F33CE"/>
    <w:rsid w:val="009F5C7C"/>
    <w:rsid w:val="009F7CEA"/>
    <w:rsid w:val="00A03319"/>
    <w:rsid w:val="00A27E33"/>
    <w:rsid w:val="00A30BE7"/>
    <w:rsid w:val="00A43E89"/>
    <w:rsid w:val="00A461E1"/>
    <w:rsid w:val="00A50B57"/>
    <w:rsid w:val="00A61B8E"/>
    <w:rsid w:val="00A66CCE"/>
    <w:rsid w:val="00A71BDB"/>
    <w:rsid w:val="00A7327C"/>
    <w:rsid w:val="00A7515E"/>
    <w:rsid w:val="00A803CD"/>
    <w:rsid w:val="00A83221"/>
    <w:rsid w:val="00A864D2"/>
    <w:rsid w:val="00A93822"/>
    <w:rsid w:val="00A977E9"/>
    <w:rsid w:val="00A97A4A"/>
    <w:rsid w:val="00AA036C"/>
    <w:rsid w:val="00AA574E"/>
    <w:rsid w:val="00AA6C96"/>
    <w:rsid w:val="00AB05D4"/>
    <w:rsid w:val="00AC1D06"/>
    <w:rsid w:val="00AC2D0F"/>
    <w:rsid w:val="00AC31C5"/>
    <w:rsid w:val="00AC5DD9"/>
    <w:rsid w:val="00AE2684"/>
    <w:rsid w:val="00AE33F6"/>
    <w:rsid w:val="00AE5E0B"/>
    <w:rsid w:val="00AF12BC"/>
    <w:rsid w:val="00AF39D8"/>
    <w:rsid w:val="00B07225"/>
    <w:rsid w:val="00B11257"/>
    <w:rsid w:val="00B14755"/>
    <w:rsid w:val="00B17826"/>
    <w:rsid w:val="00B2540D"/>
    <w:rsid w:val="00B25DE9"/>
    <w:rsid w:val="00B349F8"/>
    <w:rsid w:val="00B4508F"/>
    <w:rsid w:val="00B474A1"/>
    <w:rsid w:val="00B50BF8"/>
    <w:rsid w:val="00B54A71"/>
    <w:rsid w:val="00B6289D"/>
    <w:rsid w:val="00B643E9"/>
    <w:rsid w:val="00B7245D"/>
    <w:rsid w:val="00B7400C"/>
    <w:rsid w:val="00B815D6"/>
    <w:rsid w:val="00B85CB0"/>
    <w:rsid w:val="00B85FC4"/>
    <w:rsid w:val="00B95B19"/>
    <w:rsid w:val="00BA6237"/>
    <w:rsid w:val="00BA6D96"/>
    <w:rsid w:val="00BA6E8C"/>
    <w:rsid w:val="00BA7080"/>
    <w:rsid w:val="00BB4E9A"/>
    <w:rsid w:val="00BB5E75"/>
    <w:rsid w:val="00BD2F9C"/>
    <w:rsid w:val="00BD3AEB"/>
    <w:rsid w:val="00BD59D5"/>
    <w:rsid w:val="00BD7FD6"/>
    <w:rsid w:val="00BE45B6"/>
    <w:rsid w:val="00BF76E8"/>
    <w:rsid w:val="00C05A94"/>
    <w:rsid w:val="00C06F28"/>
    <w:rsid w:val="00C106C9"/>
    <w:rsid w:val="00C12245"/>
    <w:rsid w:val="00C147F5"/>
    <w:rsid w:val="00C17231"/>
    <w:rsid w:val="00C31DC6"/>
    <w:rsid w:val="00C35072"/>
    <w:rsid w:val="00C3738E"/>
    <w:rsid w:val="00C41865"/>
    <w:rsid w:val="00C46147"/>
    <w:rsid w:val="00C508F9"/>
    <w:rsid w:val="00C523A3"/>
    <w:rsid w:val="00C575AB"/>
    <w:rsid w:val="00C6083F"/>
    <w:rsid w:val="00C60EA5"/>
    <w:rsid w:val="00C628BC"/>
    <w:rsid w:val="00C77712"/>
    <w:rsid w:val="00C83CE6"/>
    <w:rsid w:val="00C85F7E"/>
    <w:rsid w:val="00C87113"/>
    <w:rsid w:val="00CA200C"/>
    <w:rsid w:val="00CB2C61"/>
    <w:rsid w:val="00CB2D13"/>
    <w:rsid w:val="00CB3672"/>
    <w:rsid w:val="00CB693F"/>
    <w:rsid w:val="00CD11A6"/>
    <w:rsid w:val="00CD5492"/>
    <w:rsid w:val="00CE6673"/>
    <w:rsid w:val="00D02C8F"/>
    <w:rsid w:val="00D04F98"/>
    <w:rsid w:val="00D127B0"/>
    <w:rsid w:val="00D12E60"/>
    <w:rsid w:val="00D141E2"/>
    <w:rsid w:val="00D2166F"/>
    <w:rsid w:val="00D2194E"/>
    <w:rsid w:val="00D23C3D"/>
    <w:rsid w:val="00D250E4"/>
    <w:rsid w:val="00D30090"/>
    <w:rsid w:val="00D31BD3"/>
    <w:rsid w:val="00D32213"/>
    <w:rsid w:val="00D32219"/>
    <w:rsid w:val="00D3484C"/>
    <w:rsid w:val="00D363BF"/>
    <w:rsid w:val="00D4001F"/>
    <w:rsid w:val="00D46A05"/>
    <w:rsid w:val="00D46C4D"/>
    <w:rsid w:val="00D475B1"/>
    <w:rsid w:val="00D554F1"/>
    <w:rsid w:val="00D64920"/>
    <w:rsid w:val="00D64EBC"/>
    <w:rsid w:val="00D662BE"/>
    <w:rsid w:val="00D76590"/>
    <w:rsid w:val="00D81D0D"/>
    <w:rsid w:val="00D868E7"/>
    <w:rsid w:val="00D976C3"/>
    <w:rsid w:val="00D97980"/>
    <w:rsid w:val="00DA2618"/>
    <w:rsid w:val="00DA4DF7"/>
    <w:rsid w:val="00DA5E89"/>
    <w:rsid w:val="00DB0EA0"/>
    <w:rsid w:val="00DB4BA8"/>
    <w:rsid w:val="00DC3EA2"/>
    <w:rsid w:val="00DC5E1E"/>
    <w:rsid w:val="00DC6658"/>
    <w:rsid w:val="00DD220B"/>
    <w:rsid w:val="00DD4C70"/>
    <w:rsid w:val="00DD5563"/>
    <w:rsid w:val="00DE50B0"/>
    <w:rsid w:val="00E060EF"/>
    <w:rsid w:val="00E07405"/>
    <w:rsid w:val="00E14F37"/>
    <w:rsid w:val="00E15130"/>
    <w:rsid w:val="00E3003E"/>
    <w:rsid w:val="00E309EC"/>
    <w:rsid w:val="00E345A4"/>
    <w:rsid w:val="00E34EA7"/>
    <w:rsid w:val="00E402E1"/>
    <w:rsid w:val="00E41B3D"/>
    <w:rsid w:val="00E431D2"/>
    <w:rsid w:val="00E44097"/>
    <w:rsid w:val="00E45A3D"/>
    <w:rsid w:val="00E50AC6"/>
    <w:rsid w:val="00E51073"/>
    <w:rsid w:val="00E569C8"/>
    <w:rsid w:val="00E63B18"/>
    <w:rsid w:val="00E70CCC"/>
    <w:rsid w:val="00E715E3"/>
    <w:rsid w:val="00E7790B"/>
    <w:rsid w:val="00E77A19"/>
    <w:rsid w:val="00E77BC6"/>
    <w:rsid w:val="00E839DC"/>
    <w:rsid w:val="00E92E44"/>
    <w:rsid w:val="00E9701D"/>
    <w:rsid w:val="00E97865"/>
    <w:rsid w:val="00EA0D89"/>
    <w:rsid w:val="00EA1789"/>
    <w:rsid w:val="00EA1F41"/>
    <w:rsid w:val="00EA23BF"/>
    <w:rsid w:val="00EA2932"/>
    <w:rsid w:val="00EA3822"/>
    <w:rsid w:val="00EA46AB"/>
    <w:rsid w:val="00EB5D65"/>
    <w:rsid w:val="00EC4B87"/>
    <w:rsid w:val="00EE4FF3"/>
    <w:rsid w:val="00EE7319"/>
    <w:rsid w:val="00EF061D"/>
    <w:rsid w:val="00F00FA0"/>
    <w:rsid w:val="00F03AE3"/>
    <w:rsid w:val="00F060CE"/>
    <w:rsid w:val="00F07173"/>
    <w:rsid w:val="00F071A1"/>
    <w:rsid w:val="00F12680"/>
    <w:rsid w:val="00F131FC"/>
    <w:rsid w:val="00F14CC3"/>
    <w:rsid w:val="00F16EC3"/>
    <w:rsid w:val="00F30EF4"/>
    <w:rsid w:val="00F31163"/>
    <w:rsid w:val="00F3452D"/>
    <w:rsid w:val="00F35CA8"/>
    <w:rsid w:val="00F36366"/>
    <w:rsid w:val="00F50797"/>
    <w:rsid w:val="00F54E05"/>
    <w:rsid w:val="00F6360A"/>
    <w:rsid w:val="00F65DE3"/>
    <w:rsid w:val="00F7513E"/>
    <w:rsid w:val="00F81CF6"/>
    <w:rsid w:val="00F823C4"/>
    <w:rsid w:val="00F86394"/>
    <w:rsid w:val="00F92365"/>
    <w:rsid w:val="00F93F0E"/>
    <w:rsid w:val="00FA0F77"/>
    <w:rsid w:val="00FA1734"/>
    <w:rsid w:val="00FA3057"/>
    <w:rsid w:val="00FA51F6"/>
    <w:rsid w:val="00FA5282"/>
    <w:rsid w:val="00FB49F6"/>
    <w:rsid w:val="00FC6AC9"/>
    <w:rsid w:val="00FD1D25"/>
    <w:rsid w:val="00FD3784"/>
    <w:rsid w:val="00FE0200"/>
    <w:rsid w:val="00FE1545"/>
    <w:rsid w:val="00FE6BE2"/>
    <w:rsid w:val="00FE7889"/>
    <w:rsid w:val="00FF3F40"/>
    <w:rsid w:val="00FF75D1"/>
    <w:rsid w:val="00FF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667D2998"/>
  <w15:docId w15:val="{27BF2DF3-6451-4261-8233-4874B6BF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E6"/>
    <w:rPr>
      <w:sz w:val="24"/>
      <w:szCs w:val="24"/>
    </w:rPr>
  </w:style>
  <w:style w:type="paragraph" w:styleId="Heading2">
    <w:name w:val="heading 2"/>
    <w:basedOn w:val="Normal"/>
    <w:next w:val="Normal"/>
    <w:link w:val="Heading2Char"/>
    <w:uiPriority w:val="9"/>
    <w:qFormat/>
    <w:rsid w:val="008C60AB"/>
    <w:pPr>
      <w:keepNext/>
      <w:jc w:val="center"/>
      <w:outlineLvl w:val="1"/>
    </w:pPr>
    <w:rPr>
      <w:rFonts w:ascii="Courier New" w:eastAsiaTheme="minorEastAsia"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CE6"/>
    <w:pPr>
      <w:tabs>
        <w:tab w:val="center" w:pos="4320"/>
        <w:tab w:val="right" w:pos="8640"/>
      </w:tabs>
    </w:pPr>
  </w:style>
  <w:style w:type="paragraph" w:styleId="Footer">
    <w:name w:val="footer"/>
    <w:basedOn w:val="Normal"/>
    <w:link w:val="FooterChar"/>
    <w:uiPriority w:val="99"/>
    <w:rsid w:val="00C83CE6"/>
    <w:pPr>
      <w:tabs>
        <w:tab w:val="center" w:pos="4320"/>
        <w:tab w:val="right" w:pos="8640"/>
      </w:tabs>
    </w:pPr>
  </w:style>
  <w:style w:type="character" w:styleId="Hyperlink">
    <w:name w:val="Hyperlink"/>
    <w:uiPriority w:val="99"/>
    <w:unhideWhenUsed/>
    <w:rsid w:val="007A4606"/>
    <w:rPr>
      <w:color w:val="0000FF"/>
      <w:u w:val="single"/>
    </w:rPr>
  </w:style>
  <w:style w:type="paragraph" w:styleId="ListParagraph">
    <w:name w:val="List Paragraph"/>
    <w:basedOn w:val="Normal"/>
    <w:uiPriority w:val="34"/>
    <w:qFormat/>
    <w:rsid w:val="007A46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47078"/>
    <w:rPr>
      <w:rFonts w:ascii="Tahoma" w:hAnsi="Tahoma" w:cs="Tahoma"/>
      <w:sz w:val="16"/>
      <w:szCs w:val="16"/>
    </w:rPr>
  </w:style>
  <w:style w:type="character" w:customStyle="1" w:styleId="BalloonTextChar">
    <w:name w:val="Balloon Text Char"/>
    <w:link w:val="BalloonText"/>
    <w:rsid w:val="00647078"/>
    <w:rPr>
      <w:rFonts w:ascii="Tahoma" w:hAnsi="Tahoma" w:cs="Tahoma"/>
      <w:sz w:val="16"/>
      <w:szCs w:val="16"/>
    </w:rPr>
  </w:style>
  <w:style w:type="character" w:styleId="CommentReference">
    <w:name w:val="annotation reference"/>
    <w:basedOn w:val="DefaultParagraphFont"/>
    <w:rsid w:val="002D3535"/>
    <w:rPr>
      <w:sz w:val="16"/>
      <w:szCs w:val="16"/>
    </w:rPr>
  </w:style>
  <w:style w:type="paragraph" w:styleId="CommentText">
    <w:name w:val="annotation text"/>
    <w:basedOn w:val="Normal"/>
    <w:link w:val="CommentTextChar"/>
    <w:rsid w:val="002D3535"/>
    <w:rPr>
      <w:sz w:val="20"/>
      <w:szCs w:val="20"/>
    </w:rPr>
  </w:style>
  <w:style w:type="character" w:customStyle="1" w:styleId="CommentTextChar">
    <w:name w:val="Comment Text Char"/>
    <w:basedOn w:val="DefaultParagraphFont"/>
    <w:link w:val="CommentText"/>
    <w:rsid w:val="002D3535"/>
  </w:style>
  <w:style w:type="paragraph" w:styleId="CommentSubject">
    <w:name w:val="annotation subject"/>
    <w:basedOn w:val="CommentText"/>
    <w:next w:val="CommentText"/>
    <w:link w:val="CommentSubjectChar"/>
    <w:rsid w:val="002D3535"/>
    <w:rPr>
      <w:b/>
      <w:bCs/>
    </w:rPr>
  </w:style>
  <w:style w:type="character" w:customStyle="1" w:styleId="CommentSubjectChar">
    <w:name w:val="Comment Subject Char"/>
    <w:basedOn w:val="CommentTextChar"/>
    <w:link w:val="CommentSubject"/>
    <w:rsid w:val="002D3535"/>
    <w:rPr>
      <w:b/>
      <w:bCs/>
    </w:rPr>
  </w:style>
  <w:style w:type="numbering" w:customStyle="1" w:styleId="Style1">
    <w:name w:val="Style1"/>
    <w:uiPriority w:val="99"/>
    <w:rsid w:val="0050336C"/>
    <w:pPr>
      <w:numPr>
        <w:numId w:val="6"/>
      </w:numPr>
    </w:pPr>
  </w:style>
  <w:style w:type="character" w:styleId="FollowedHyperlink">
    <w:name w:val="FollowedHyperlink"/>
    <w:basedOn w:val="DefaultParagraphFont"/>
    <w:rsid w:val="006F371B"/>
    <w:rPr>
      <w:color w:val="800080" w:themeColor="followedHyperlink"/>
      <w:u w:val="single"/>
    </w:rPr>
  </w:style>
  <w:style w:type="character" w:customStyle="1" w:styleId="FooterChar">
    <w:name w:val="Footer Char"/>
    <w:basedOn w:val="DefaultParagraphFont"/>
    <w:link w:val="Footer"/>
    <w:uiPriority w:val="99"/>
    <w:rsid w:val="006C31F3"/>
    <w:rPr>
      <w:sz w:val="24"/>
      <w:szCs w:val="24"/>
    </w:rPr>
  </w:style>
  <w:style w:type="paragraph" w:customStyle="1" w:styleId="Default">
    <w:name w:val="Default"/>
    <w:rsid w:val="00316DA3"/>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367EA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67EA4"/>
    <w:rPr>
      <w:rFonts w:ascii="Calibri" w:eastAsiaTheme="minorHAnsi" w:hAnsi="Calibri" w:cstheme="minorBidi"/>
      <w:sz w:val="22"/>
      <w:szCs w:val="21"/>
    </w:rPr>
  </w:style>
  <w:style w:type="character" w:customStyle="1" w:styleId="Heading2Char">
    <w:name w:val="Heading 2 Char"/>
    <w:basedOn w:val="DefaultParagraphFont"/>
    <w:link w:val="Heading2"/>
    <w:uiPriority w:val="9"/>
    <w:rsid w:val="008C60AB"/>
    <w:rPr>
      <w:rFonts w:ascii="Courier New" w:eastAsiaTheme="minorEastAsia" w:hAnsi="Courier New"/>
      <w:b/>
      <w:sz w:val="24"/>
    </w:rPr>
  </w:style>
  <w:style w:type="paragraph" w:customStyle="1" w:styleId="Heading10">
    <w:name w:val="Heading 10"/>
    <w:basedOn w:val="Normal"/>
    <w:qFormat/>
    <w:rsid w:val="008C60AB"/>
    <w:pPr>
      <w:tabs>
        <w:tab w:val="left" w:pos="540"/>
        <w:tab w:val="left" w:pos="90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7264">
      <w:bodyDiv w:val="1"/>
      <w:marLeft w:val="0"/>
      <w:marRight w:val="0"/>
      <w:marTop w:val="0"/>
      <w:marBottom w:val="0"/>
      <w:divBdr>
        <w:top w:val="none" w:sz="0" w:space="0" w:color="auto"/>
        <w:left w:val="none" w:sz="0" w:space="0" w:color="auto"/>
        <w:bottom w:val="none" w:sz="0" w:space="0" w:color="auto"/>
        <w:right w:val="none" w:sz="0" w:space="0" w:color="auto"/>
      </w:divBdr>
    </w:div>
    <w:div w:id="1139112888">
      <w:bodyDiv w:val="1"/>
      <w:marLeft w:val="0"/>
      <w:marRight w:val="0"/>
      <w:marTop w:val="0"/>
      <w:marBottom w:val="0"/>
      <w:divBdr>
        <w:top w:val="none" w:sz="0" w:space="0" w:color="auto"/>
        <w:left w:val="none" w:sz="0" w:space="0" w:color="auto"/>
        <w:bottom w:val="none" w:sz="0" w:space="0" w:color="auto"/>
        <w:right w:val="none" w:sz="0" w:space="0" w:color="auto"/>
      </w:divBdr>
    </w:div>
    <w:div w:id="1440028076">
      <w:bodyDiv w:val="1"/>
      <w:marLeft w:val="0"/>
      <w:marRight w:val="0"/>
      <w:marTop w:val="0"/>
      <w:marBottom w:val="0"/>
      <w:divBdr>
        <w:top w:val="none" w:sz="0" w:space="0" w:color="auto"/>
        <w:left w:val="none" w:sz="0" w:space="0" w:color="auto"/>
        <w:bottom w:val="none" w:sz="0" w:space="0" w:color="auto"/>
        <w:right w:val="none" w:sz="0" w:space="0" w:color="auto"/>
      </w:divBdr>
    </w:div>
    <w:div w:id="17441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la.mil/does/dlms-pu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9318-5B42-4DF7-86F5-E4B564B90F18}"/>
</file>

<file path=customXml/itemProps2.xml><?xml version="1.0" encoding="utf-8"?>
<ds:datastoreItem xmlns:ds="http://schemas.openxmlformats.org/officeDocument/2006/customXml" ds:itemID="{9437E2D2-3377-49CF-ACBB-8CE6926F3E39}">
  <ds:schemaRefs>
    <ds:schemaRef ds:uri="http://schemas.microsoft.com/sharepoint/v3"/>
    <ds:schemaRef ds:uri="http://schemas.microsoft.com/sharepoint/v4"/>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0830DF4-C9CE-49BD-9A08-9B1A7562B751}">
  <ds:schemaRefs>
    <ds:schemaRef ds:uri="http://schemas.microsoft.com/sharepoint/v3/contenttype/forms"/>
  </ds:schemaRefs>
</ds:datastoreItem>
</file>

<file path=customXml/itemProps4.xml><?xml version="1.0" encoding="utf-8"?>
<ds:datastoreItem xmlns:ds="http://schemas.openxmlformats.org/officeDocument/2006/customXml" ds:itemID="{3DDD7DA9-7CE5-49B6-A7E1-9440DD2F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1ADF016F.dotm</Template>
  <TotalTime>155</TotalTime>
  <Pages>3</Pages>
  <Words>940</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DLMS V2 Change11 Letter</vt:lpstr>
    </vt:vector>
  </TitlesOfParts>
  <Company>DoD</Company>
  <LinksUpToDate>false</LinksUpToDate>
  <CharactersWithSpaces>6215</CharactersWithSpaces>
  <SharedDoc>false</SharedDoc>
  <HLinks>
    <vt:vector size="12" baseType="variant">
      <vt:variant>
        <vt:i4>6946910</vt:i4>
      </vt:variant>
      <vt:variant>
        <vt:i4>3</vt:i4>
      </vt:variant>
      <vt:variant>
        <vt:i4>0</vt:i4>
      </vt:variant>
      <vt:variant>
        <vt:i4>5</vt:i4>
      </vt:variant>
      <vt:variant>
        <vt:lpwstr>http://www.dla.mil/j-6/dlmso/eLibrary/Manuals/DLMS/formal_changes.asp</vt:lpwstr>
      </vt:variant>
      <vt:variant>
        <vt:lpwstr/>
      </vt:variant>
      <vt:variant>
        <vt:i4>8060945</vt:i4>
      </vt:variant>
      <vt:variant>
        <vt:i4>0</vt:i4>
      </vt:variant>
      <vt:variant>
        <vt:i4>0</vt:i4>
      </vt:variant>
      <vt:variant>
        <vt:i4>5</vt:i4>
      </vt:variant>
      <vt:variant>
        <vt:lpwstr>http://www2.dla.mil/j-6/dlmso/elibrary/manuals/dlm/dlm_pubs.asp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DLMS V2 Change13 Letter</dc:title>
  <dc:creator>prezzysm</dc:creator>
  <cp:lastModifiedBy>Nguyen, Bao X CTR DLA INFO OPERATIONS (USA)</cp:lastModifiedBy>
  <cp:revision>20</cp:revision>
  <cp:lastPrinted>2015-08-18T11:32:00Z</cp:lastPrinted>
  <dcterms:created xsi:type="dcterms:W3CDTF">2019-10-20T19:04:00Z</dcterms:created>
  <dcterms:modified xsi:type="dcterms:W3CDTF">2019-11-27T16:06:00Z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Order">
    <vt:r8>30800</vt:r8>
  </property>
  <property fmtid="{D5CDD505-2E9C-101B-9397-08002B2CF9AE}" pid="4" name="xd_ProgID">
    <vt:lpwstr/>
  </property>
  <property fmtid="{D5CDD505-2E9C-101B-9397-08002B2CF9AE}" pid="5" name="TemplateUrl">
    <vt:lpwstr/>
  </property>
</Properties>
</file>