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D2998" w14:textId="77777777" w:rsidR="00EA1F41" w:rsidRPr="002F761A" w:rsidRDefault="00D3484C" w:rsidP="00EA1F41">
      <w:pPr>
        <w:pStyle w:val="Header"/>
        <w:spacing w:after="40" w:line="240" w:lineRule="exact"/>
        <w:jc w:val="center"/>
        <w:rPr>
          <w:rFonts w:ascii="Arial Unicode MS" w:eastAsia="Arial Unicode MS" w:hAnsi="Arial Unicode MS" w:cs="Arial Unicode MS"/>
          <w:sz w:val="22"/>
          <w:szCs w:val="22"/>
        </w:rPr>
      </w:pPr>
      <w:r>
        <w:rPr>
          <w:rFonts w:ascii="Arial Unicode MS" w:eastAsia="Arial Unicode MS" w:hAnsi="Arial Unicode MS" w:cs="Arial Unicode MS"/>
          <w:noProof/>
          <w:sz w:val="22"/>
          <w:szCs w:val="22"/>
        </w:rPr>
        <w:drawing>
          <wp:anchor distT="0" distB="0" distL="114300" distR="114300" simplePos="0" relativeHeight="251658240" behindDoc="0" locked="0" layoutInCell="1" allowOverlap="1" wp14:anchorId="667D29EF" wp14:editId="667D29F0">
            <wp:simplePos x="0" y="0"/>
            <wp:positionH relativeFrom="column">
              <wp:posOffset>-457200</wp:posOffset>
            </wp:positionH>
            <wp:positionV relativeFrom="page">
              <wp:posOffset>347345</wp:posOffset>
            </wp:positionV>
            <wp:extent cx="941705" cy="941705"/>
            <wp:effectExtent l="0" t="0" r="0" b="0"/>
            <wp:wrapThrough wrapText="bothSides">
              <wp:wrapPolygon edited="0">
                <wp:start x="0" y="0"/>
                <wp:lineTo x="0" y="20974"/>
                <wp:lineTo x="20974" y="20974"/>
                <wp:lineTo x="2097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705" cy="941705"/>
                    </a:xfrm>
                    <a:prstGeom prst="rect">
                      <a:avLst/>
                    </a:prstGeom>
                    <a:noFill/>
                  </pic:spPr>
                </pic:pic>
              </a:graphicData>
            </a:graphic>
          </wp:anchor>
        </w:drawing>
      </w:r>
      <w:r w:rsidR="00D250E4">
        <w:rPr>
          <w:rFonts w:ascii="Copperplate Gothic Bold" w:eastAsia="Copperplate Gothic Bold" w:hAnsi="Copperplate Gothic Bold" w:cs="Copperplate Gothic Bold"/>
          <w:color w:val="295694"/>
          <w:sz w:val="22"/>
          <w:szCs w:val="22"/>
        </w:rPr>
        <w:t xml:space="preserve">OFFICE OF THE </w:t>
      </w:r>
      <w:r w:rsidR="00EA1F41">
        <w:rPr>
          <w:rFonts w:ascii="Copperplate Gothic Bold" w:eastAsia="Copperplate Gothic Bold" w:hAnsi="Copperplate Gothic Bold" w:cs="Copperplate Gothic Bold"/>
          <w:color w:val="295694"/>
          <w:sz w:val="22"/>
          <w:szCs w:val="22"/>
        </w:rPr>
        <w:t xml:space="preserve">ASSISTANT </w:t>
      </w:r>
      <w:r w:rsidR="00EA1F41" w:rsidRPr="002F761A">
        <w:rPr>
          <w:rFonts w:ascii="Copperplate Gothic Bold" w:eastAsia="Copperplate Gothic Bold" w:hAnsi="Copperplate Gothic Bold" w:cs="Copperplate Gothic Bold"/>
          <w:color w:val="295694"/>
          <w:sz w:val="22"/>
          <w:szCs w:val="22"/>
        </w:rPr>
        <w:t>SECRETARY OF DEFENSE</w:t>
      </w:r>
    </w:p>
    <w:p w14:paraId="667D2999" w14:textId="77777777" w:rsidR="00EA1F41" w:rsidRPr="002F761A" w:rsidRDefault="00EA1F41" w:rsidP="00EA1F41">
      <w:pPr>
        <w:pStyle w:val="Header"/>
        <w:spacing w:line="240" w:lineRule="exact"/>
        <w:jc w:val="center"/>
        <w:rPr>
          <w:rFonts w:ascii="Arial Unicode MS" w:eastAsia="Arial Unicode MS" w:hAnsi="Arial Unicode MS" w:cs="Arial Unicode MS"/>
          <w:sz w:val="20"/>
          <w:szCs w:val="20"/>
        </w:rPr>
      </w:pPr>
      <w:r w:rsidRPr="002F761A">
        <w:rPr>
          <w:rFonts w:ascii="Copperplate Gothic Bold" w:eastAsia="Copperplate Gothic Bold" w:hAnsi="Copperplate Gothic Bold" w:cs="Copperplate Gothic Bold"/>
          <w:color w:val="295694"/>
          <w:sz w:val="17"/>
          <w:szCs w:val="20"/>
        </w:rPr>
        <w:t>3000 DEFENSE PENTAGON</w:t>
      </w:r>
    </w:p>
    <w:p w14:paraId="667D299E" w14:textId="0D135561" w:rsidR="00EA1F41" w:rsidRPr="007424CE" w:rsidRDefault="00EA1F41" w:rsidP="007424CE">
      <w:pPr>
        <w:pStyle w:val="Header"/>
        <w:spacing w:line="170" w:lineRule="exact"/>
        <w:jc w:val="center"/>
        <w:rPr>
          <w:rFonts w:ascii="Copperplate Gothic Bold" w:eastAsia="Copperplate Gothic Bold" w:hAnsi="Copperplate Gothic Bold" w:cs="Copperplate Gothic Bold"/>
          <w:color w:val="295694"/>
          <w:sz w:val="17"/>
          <w:szCs w:val="20"/>
        </w:rPr>
      </w:pPr>
      <w:r w:rsidRPr="002F761A">
        <w:rPr>
          <w:rFonts w:ascii="Copperplate Gothic Bold" w:eastAsia="Copperplate Gothic Bold" w:hAnsi="Copperplate Gothic Bold" w:cs="Copperplate Gothic Bold"/>
          <w:color w:val="295694"/>
          <w:sz w:val="17"/>
          <w:szCs w:val="20"/>
        </w:rPr>
        <w:t>WASHINGTON, DC  20301-3000</w:t>
      </w:r>
      <w:r w:rsidRPr="002F761A">
        <w:rPr>
          <w:rFonts w:ascii="Copperplate Gothic Bold" w:eastAsia="Copperplate Gothic Bold" w:hAnsi="Copperplate Gothic Bold" w:cs="Copperplate Gothic Bold"/>
          <w:color w:val="295694"/>
          <w:sz w:val="13"/>
          <w:szCs w:val="14"/>
        </w:rPr>
        <w:t xml:space="preserve">      </w:t>
      </w:r>
    </w:p>
    <w:p w14:paraId="667D299F" w14:textId="77777777" w:rsidR="00EA1F41" w:rsidRPr="002F761A" w:rsidRDefault="00EA1F41" w:rsidP="00EA1F41">
      <w:pPr>
        <w:pStyle w:val="Header"/>
        <w:ind w:left="-720"/>
        <w:rPr>
          <w:rFonts w:ascii="Arial Rounded MT Bold" w:eastAsia="Arial Unicode MS" w:hAnsi="Arial Rounded MT Bold" w:cs="Arial Unicode MS"/>
          <w:sz w:val="14"/>
          <w:szCs w:val="14"/>
        </w:rPr>
      </w:pPr>
      <w:r>
        <w:rPr>
          <w:rFonts w:ascii="Copperplate Gothic Bold" w:eastAsia="Copperplate Gothic Bold" w:hAnsi="Copperplate Gothic Bold" w:cs="Copperplate Gothic Bold"/>
          <w:color w:val="295694"/>
          <w:sz w:val="13"/>
          <w:szCs w:val="14"/>
        </w:rPr>
        <w:t xml:space="preserve">            LOGISTICS AND</w:t>
      </w:r>
    </w:p>
    <w:p w14:paraId="667D29A0" w14:textId="77777777" w:rsidR="00EA1F41" w:rsidRPr="002F761A" w:rsidRDefault="00EA1F41" w:rsidP="00EA1F41">
      <w:pPr>
        <w:pStyle w:val="Header"/>
        <w:ind w:left="-720"/>
        <w:rPr>
          <w:rFonts w:ascii="Arial Rounded MT Bold" w:eastAsia="Arial Unicode MS" w:hAnsi="Arial Rounded MT Bold" w:cs="Arial Unicode MS"/>
          <w:sz w:val="14"/>
          <w:szCs w:val="14"/>
        </w:rPr>
      </w:pPr>
      <w:r w:rsidRPr="002F761A">
        <w:rPr>
          <w:rFonts w:ascii="Copperplate Gothic Bold" w:eastAsia="Copperplate Gothic Bold" w:hAnsi="Copperplate Gothic Bold" w:cs="Copperplate Gothic Bold"/>
          <w:color w:val="295694"/>
          <w:sz w:val="13"/>
          <w:szCs w:val="14"/>
        </w:rPr>
        <w:t xml:space="preserve">    </w:t>
      </w:r>
      <w:r>
        <w:rPr>
          <w:rFonts w:ascii="Copperplate Gothic Bold" w:eastAsia="Copperplate Gothic Bold" w:hAnsi="Copperplate Gothic Bold" w:cs="Copperplate Gothic Bold"/>
          <w:noProof/>
          <w:color w:val="295694"/>
          <w:sz w:val="13"/>
          <w:szCs w:val="14"/>
        </w:rPr>
        <w:t xml:space="preserve">MATERIEL READINESS </w:t>
      </w:r>
    </w:p>
    <w:p w14:paraId="667D29A1" w14:textId="39BE26E1" w:rsidR="00EA1F41" w:rsidRDefault="00216F80" w:rsidP="001822BB">
      <w:pPr>
        <w:pStyle w:val="Footer"/>
        <w:tabs>
          <w:tab w:val="left" w:pos="1620"/>
        </w:tabs>
        <w:ind w:left="1620" w:hanging="1620"/>
        <w:jc w:val="right"/>
        <w:rPr>
          <w:sz w:val="26"/>
          <w:szCs w:val="26"/>
        </w:rPr>
      </w:pPr>
      <w:r>
        <w:rPr>
          <w:sz w:val="26"/>
          <w:szCs w:val="26"/>
        </w:rPr>
        <w:t xml:space="preserve">DLM 4000.25, Volume </w:t>
      </w:r>
      <w:r w:rsidR="00F071A1">
        <w:rPr>
          <w:sz w:val="26"/>
          <w:szCs w:val="26"/>
        </w:rPr>
        <w:t>6</w:t>
      </w:r>
      <w:r w:rsidR="008F76AB">
        <w:rPr>
          <w:sz w:val="26"/>
          <w:szCs w:val="26"/>
        </w:rPr>
        <w:t xml:space="preserve">, </w:t>
      </w:r>
      <w:r w:rsidR="00477821">
        <w:rPr>
          <w:sz w:val="26"/>
          <w:szCs w:val="26"/>
        </w:rPr>
        <w:t>October 03</w:t>
      </w:r>
      <w:r w:rsidR="007211A8">
        <w:rPr>
          <w:sz w:val="26"/>
          <w:szCs w:val="26"/>
        </w:rPr>
        <w:t xml:space="preserve">, </w:t>
      </w:r>
      <w:r w:rsidR="007F1366">
        <w:rPr>
          <w:sz w:val="26"/>
          <w:szCs w:val="26"/>
        </w:rPr>
        <w:t>2017</w:t>
      </w:r>
    </w:p>
    <w:p w14:paraId="667D29A2" w14:textId="67C714D5" w:rsidR="008F76AB" w:rsidRPr="00A977E9" w:rsidRDefault="00592355" w:rsidP="00726F50">
      <w:pPr>
        <w:pStyle w:val="Footer"/>
        <w:tabs>
          <w:tab w:val="left" w:pos="1620"/>
        </w:tabs>
        <w:spacing w:after="240"/>
        <w:ind w:left="1627" w:hanging="1627"/>
        <w:jc w:val="right"/>
        <w:rPr>
          <w:sz w:val="26"/>
          <w:szCs w:val="26"/>
        </w:rPr>
      </w:pPr>
      <w:r>
        <w:rPr>
          <w:sz w:val="26"/>
          <w:szCs w:val="26"/>
        </w:rPr>
        <w:t xml:space="preserve">Change </w:t>
      </w:r>
      <w:r w:rsidR="007F1366">
        <w:rPr>
          <w:sz w:val="26"/>
          <w:szCs w:val="26"/>
        </w:rPr>
        <w:t>9</w:t>
      </w:r>
    </w:p>
    <w:p w14:paraId="41FA0650" w14:textId="77777777" w:rsidR="00DF5E53" w:rsidRDefault="00DF5E53" w:rsidP="00CB2D13">
      <w:pPr>
        <w:pStyle w:val="Footer"/>
        <w:tabs>
          <w:tab w:val="left" w:pos="1260"/>
        </w:tabs>
        <w:ind w:left="1260" w:hanging="1260"/>
        <w:jc w:val="center"/>
        <w:rPr>
          <w:bCs/>
        </w:rPr>
      </w:pPr>
    </w:p>
    <w:p w14:paraId="667D29A3" w14:textId="55CA03A0" w:rsidR="008F76AB" w:rsidRDefault="007A4606" w:rsidP="00CB2D13">
      <w:pPr>
        <w:pStyle w:val="Footer"/>
        <w:tabs>
          <w:tab w:val="left" w:pos="1260"/>
        </w:tabs>
        <w:ind w:left="1260" w:hanging="1260"/>
        <w:jc w:val="center"/>
        <w:rPr>
          <w:bCs/>
        </w:rPr>
      </w:pPr>
      <w:r w:rsidRPr="007A4606">
        <w:rPr>
          <w:bCs/>
        </w:rPr>
        <w:t xml:space="preserve">DEFENSE LOGISTICS MANAGEMENT </w:t>
      </w:r>
      <w:r w:rsidR="004B2F60">
        <w:rPr>
          <w:bCs/>
        </w:rPr>
        <w:t>STANDARDS</w:t>
      </w:r>
    </w:p>
    <w:p w14:paraId="667D29A4" w14:textId="77777777" w:rsidR="008F76AB" w:rsidRPr="00F071A1" w:rsidRDefault="007A4606" w:rsidP="00CB2D13">
      <w:pPr>
        <w:pStyle w:val="Footer"/>
        <w:tabs>
          <w:tab w:val="left" w:pos="1260"/>
        </w:tabs>
        <w:ind w:left="1260" w:hanging="1260"/>
        <w:jc w:val="center"/>
        <w:rPr>
          <w:bCs/>
          <w:caps/>
        </w:rPr>
      </w:pPr>
      <w:r w:rsidRPr="007A4606">
        <w:rPr>
          <w:bCs/>
        </w:rPr>
        <w:t xml:space="preserve">VOLUME </w:t>
      </w:r>
      <w:r w:rsidR="00F071A1">
        <w:rPr>
          <w:bCs/>
        </w:rPr>
        <w:t>6</w:t>
      </w:r>
      <w:r w:rsidRPr="007A4606">
        <w:rPr>
          <w:bCs/>
        </w:rPr>
        <w:t xml:space="preserve">, </w:t>
      </w:r>
      <w:r w:rsidR="00F071A1" w:rsidRPr="00F071A1">
        <w:rPr>
          <w:bCs/>
          <w:caps/>
        </w:rPr>
        <w:t>Logistics Systems Interoperability Support Services</w:t>
      </w:r>
    </w:p>
    <w:p w14:paraId="667D29A5" w14:textId="492C8C9A" w:rsidR="007A4606" w:rsidRPr="007A4606" w:rsidRDefault="00592355" w:rsidP="007211A8">
      <w:pPr>
        <w:pStyle w:val="Footer"/>
        <w:tabs>
          <w:tab w:val="left" w:pos="1260"/>
        </w:tabs>
        <w:spacing w:after="240"/>
        <w:ind w:left="1267" w:hanging="1267"/>
        <w:jc w:val="center"/>
        <w:rPr>
          <w:bCs/>
        </w:rPr>
      </w:pPr>
      <w:r>
        <w:rPr>
          <w:bCs/>
        </w:rPr>
        <w:t xml:space="preserve">CHANGE </w:t>
      </w:r>
      <w:r w:rsidR="007F1366">
        <w:rPr>
          <w:bCs/>
        </w:rPr>
        <w:t>9</w:t>
      </w:r>
    </w:p>
    <w:p w14:paraId="03D1555E" w14:textId="5A7C899A" w:rsidR="00744E82" w:rsidRDefault="007A4606" w:rsidP="007211A8">
      <w:pPr>
        <w:spacing w:after="240"/>
        <w:ind w:right="180"/>
      </w:pPr>
      <w:r>
        <w:t>I.</w:t>
      </w:r>
      <w:r>
        <w:rPr>
          <w:spacing w:val="57"/>
        </w:rPr>
        <w:t xml:space="preserve"> </w:t>
      </w:r>
      <w:r>
        <w:t>This change to DLM 4000.25,</w:t>
      </w:r>
      <w:r>
        <w:rPr>
          <w:spacing w:val="-1"/>
        </w:rPr>
        <w:t xml:space="preserve"> Defense Logistics Management </w:t>
      </w:r>
      <w:r w:rsidR="001B72CE">
        <w:rPr>
          <w:spacing w:val="-1"/>
        </w:rPr>
        <w:t>Standards</w:t>
      </w:r>
      <w:r>
        <w:rPr>
          <w:spacing w:val="-1"/>
        </w:rPr>
        <w:t xml:space="preserve"> (DLMS), </w:t>
      </w:r>
      <w:r w:rsidR="00785558">
        <w:rPr>
          <w:spacing w:val="-1"/>
        </w:rPr>
        <w:br/>
      </w:r>
      <w:r>
        <w:rPr>
          <w:spacing w:val="-1"/>
        </w:rPr>
        <w:t xml:space="preserve">Volume </w:t>
      </w:r>
      <w:r w:rsidR="002D3535">
        <w:rPr>
          <w:spacing w:val="-1"/>
        </w:rPr>
        <w:t>6</w:t>
      </w:r>
      <w:r>
        <w:rPr>
          <w:spacing w:val="-1"/>
        </w:rPr>
        <w:t xml:space="preserve">, </w:t>
      </w:r>
      <w:r w:rsidR="0090317F">
        <w:rPr>
          <w:spacing w:val="-1"/>
        </w:rPr>
        <w:t>June 2012</w:t>
      </w:r>
      <w:r>
        <w:t xml:space="preserve">, </w:t>
      </w:r>
      <w:r w:rsidR="007211A8" w:rsidRPr="005D0989">
        <w:t>is p</w:t>
      </w:r>
      <w:r w:rsidR="007211A8" w:rsidRPr="005D0989">
        <w:rPr>
          <w:spacing w:val="-1"/>
        </w:rPr>
        <w:t>u</w:t>
      </w:r>
      <w:r w:rsidR="007211A8" w:rsidRPr="005D0989">
        <w:t xml:space="preserve">blished </w:t>
      </w:r>
      <w:r w:rsidR="007211A8" w:rsidRPr="005D0989">
        <w:rPr>
          <w:spacing w:val="-1"/>
        </w:rPr>
        <w:t>b</w:t>
      </w:r>
      <w:r w:rsidR="007211A8" w:rsidRPr="005D0989">
        <w:t>y</w:t>
      </w:r>
      <w:r w:rsidR="007211A8" w:rsidRPr="005D0989">
        <w:rPr>
          <w:spacing w:val="1"/>
        </w:rPr>
        <w:t xml:space="preserve"> </w:t>
      </w:r>
      <w:r w:rsidR="007211A8" w:rsidRPr="005D0989">
        <w:t>dir</w:t>
      </w:r>
      <w:r w:rsidR="007211A8" w:rsidRPr="005D0989">
        <w:rPr>
          <w:spacing w:val="-2"/>
        </w:rPr>
        <w:t>e</w:t>
      </w:r>
      <w:r w:rsidR="007211A8" w:rsidRPr="005D0989">
        <w:t>ction of the Depu</w:t>
      </w:r>
      <w:r w:rsidR="007211A8" w:rsidRPr="005D0989">
        <w:rPr>
          <w:spacing w:val="-2"/>
        </w:rPr>
        <w:t>t</w:t>
      </w:r>
      <w:r w:rsidR="007211A8" w:rsidRPr="005D0989">
        <w:t>y</w:t>
      </w:r>
      <w:r w:rsidR="007211A8" w:rsidRPr="005D0989">
        <w:rPr>
          <w:spacing w:val="1"/>
        </w:rPr>
        <w:t xml:space="preserve"> Assistant Secretary of Defense for Supply Chain Integration </w:t>
      </w:r>
      <w:r w:rsidR="007211A8" w:rsidRPr="005D0989">
        <w:t>u</w:t>
      </w:r>
      <w:r w:rsidR="007211A8" w:rsidRPr="005D0989">
        <w:rPr>
          <w:spacing w:val="-1"/>
        </w:rPr>
        <w:t>n</w:t>
      </w:r>
      <w:r w:rsidR="007211A8" w:rsidRPr="005D0989">
        <w:t>d</w:t>
      </w:r>
      <w:r w:rsidR="007211A8" w:rsidRPr="005D0989">
        <w:rPr>
          <w:spacing w:val="-1"/>
        </w:rPr>
        <w:t>e</w:t>
      </w:r>
      <w:r w:rsidR="007211A8" w:rsidRPr="005D0989">
        <w:t>r the authority</w:t>
      </w:r>
      <w:r w:rsidR="007211A8" w:rsidRPr="005D0989">
        <w:rPr>
          <w:spacing w:val="1"/>
        </w:rPr>
        <w:t xml:space="preserve"> </w:t>
      </w:r>
      <w:r w:rsidR="007211A8" w:rsidRPr="005D0989">
        <w:rPr>
          <w:spacing w:val="-1"/>
        </w:rPr>
        <w:t>o</w:t>
      </w:r>
      <w:r w:rsidR="007211A8" w:rsidRPr="005D0989">
        <w:t>f D</w:t>
      </w:r>
      <w:r w:rsidR="007211A8" w:rsidRPr="005D0989">
        <w:rPr>
          <w:spacing w:val="-1"/>
        </w:rPr>
        <w:t>o</w:t>
      </w:r>
      <w:r w:rsidR="007211A8" w:rsidRPr="005D0989">
        <w:t>D Instruction (DoDI) 4140.01, “DoD Supply Chain Materiel Management Policy</w:t>
      </w:r>
      <w:r w:rsidR="007211A8" w:rsidRPr="005D0989">
        <w:rPr>
          <w:spacing w:val="1"/>
        </w:rPr>
        <w:t>,” December 14, 2011</w:t>
      </w:r>
      <w:r w:rsidR="007211A8" w:rsidRPr="005D0989">
        <w:t>.  Unless</w:t>
      </w:r>
      <w:r w:rsidR="007211A8" w:rsidRPr="005D0989">
        <w:rPr>
          <w:spacing w:val="-1"/>
        </w:rPr>
        <w:t xml:space="preserve"> </w:t>
      </w:r>
      <w:r w:rsidR="007211A8" w:rsidRPr="005D0989">
        <w:t>otherwise noted, revised text in the manual is identified by</w:t>
      </w:r>
      <w:r w:rsidR="007211A8" w:rsidRPr="005D0989">
        <w:rPr>
          <w:b/>
          <w:bCs/>
          <w:i/>
        </w:rPr>
        <w:t xml:space="preserve"> bold, italicized</w:t>
      </w:r>
      <w:r w:rsidR="007211A8" w:rsidRPr="005D0989">
        <w:rPr>
          <w:b/>
          <w:bCs/>
          <w:i/>
          <w:spacing w:val="-1"/>
        </w:rPr>
        <w:t xml:space="preserve"> </w:t>
      </w:r>
      <w:r w:rsidR="007211A8" w:rsidRPr="005D0989">
        <w:t xml:space="preserve">print.  Exceptions are when an entire chapter or appendix is replaced, a new one added, or an administrative update is made.  Administrative updates in Change </w:t>
      </w:r>
      <w:r w:rsidR="007F1366">
        <w:t>9</w:t>
      </w:r>
      <w:r w:rsidR="007211A8" w:rsidRPr="005D0989">
        <w:t xml:space="preserve"> include the following: "DLA Logistics Management Standards" is changed to "Defense</w:t>
      </w:r>
      <w:r w:rsidR="00E96EFA">
        <w:t xml:space="preserve"> Logistics Management Standards</w:t>
      </w:r>
      <w:r w:rsidR="007211A8" w:rsidRPr="005D0989">
        <w:t>" to reflect the most recent name change for the DLMS</w:t>
      </w:r>
      <w:r w:rsidR="00E96EFA">
        <w:t xml:space="preserve"> Program </w:t>
      </w:r>
      <w:r w:rsidR="007211A8" w:rsidRPr="005D0989">
        <w:t>Office</w:t>
      </w:r>
      <w:r w:rsidR="00E96EFA">
        <w:t>.  A</w:t>
      </w:r>
      <w:r w:rsidR="007211A8" w:rsidRPr="005D0989">
        <w:t>bbreviations such as etc., e.g., and i.e. are incorporated inside the parentheses</w:t>
      </w:r>
      <w:r w:rsidR="00E96EFA">
        <w:t>.   O</w:t>
      </w:r>
      <w:r w:rsidR="007211A8" w:rsidRPr="005D0989">
        <w:t>ccurrences of “shall” are changed to “will” per a style change for DoD issuances</w:t>
      </w:r>
      <w:r w:rsidR="00E96EFA">
        <w:t xml:space="preserve">.  </w:t>
      </w:r>
      <w:r w:rsidR="007211A8" w:rsidRPr="005D0989">
        <w:t>“Defense Logistics Management System” is updated to “Defense Logistics Management Standards</w:t>
      </w:r>
      <w:r w:rsidR="00617F12">
        <w:t>.</w:t>
      </w:r>
      <w:r w:rsidR="007211A8" w:rsidRPr="005D0989">
        <w:t>”</w:t>
      </w:r>
      <w:r w:rsidR="00E96EFA">
        <w:t xml:space="preserve">  </w:t>
      </w:r>
      <w:r w:rsidR="007211A8" w:rsidRPr="005D0989">
        <w:t>“DoDM 4140.1-R” is updated to “DoDM 4140.01</w:t>
      </w:r>
      <w:r w:rsidR="00617F12">
        <w:t>.</w:t>
      </w:r>
      <w:r w:rsidR="007211A8" w:rsidRPr="005D0989">
        <w:t>”</w:t>
      </w:r>
      <w:r w:rsidR="00617F12">
        <w:t xml:space="preserve">  </w:t>
      </w:r>
      <w:r w:rsidR="00617F12">
        <w:rPr>
          <w:color w:val="000000" w:themeColor="text1"/>
        </w:rPr>
        <w:t xml:space="preserve">References to “(DLA) Transaction Services” are changed to “Defense Automatic Addressing System (DAAS)” and “DLA Logistics Information Services” to “Logistics Information Services”; </w:t>
      </w:r>
      <w:r w:rsidR="007211A8" w:rsidRPr="005D0989">
        <w:t>and minor typographical and similar editing errors in previous version</w:t>
      </w:r>
      <w:r w:rsidR="00297D3E">
        <w:t>s</w:t>
      </w:r>
      <w:r w:rsidR="007211A8" w:rsidRPr="005D0989">
        <w:t xml:space="preserve"> have been corrected.</w:t>
      </w:r>
    </w:p>
    <w:p w14:paraId="4601AA6E" w14:textId="4C20125F" w:rsidR="002473E4" w:rsidRDefault="002473E4" w:rsidP="002473E4">
      <w:pPr>
        <w:spacing w:after="240"/>
        <w:ind w:right="180"/>
      </w:pPr>
      <w:r w:rsidRPr="0033025A">
        <w:t>II.</w:t>
      </w:r>
      <w:r w:rsidRPr="0033025A">
        <w:rPr>
          <w:spacing w:val="57"/>
        </w:rPr>
        <w:t xml:space="preserve"> </w:t>
      </w:r>
      <w:r w:rsidRPr="0033025A">
        <w:t>This cha</w:t>
      </w:r>
      <w:r w:rsidRPr="0033025A">
        <w:rPr>
          <w:spacing w:val="-1"/>
        </w:rPr>
        <w:t>n</w:t>
      </w:r>
      <w:r w:rsidRPr="0033025A">
        <w:t xml:space="preserve">ge includes Approved Defense Logistics Management </w:t>
      </w:r>
      <w:r>
        <w:t xml:space="preserve">Standards </w:t>
      </w:r>
      <w:r w:rsidRPr="0033025A">
        <w:t>(</w:t>
      </w:r>
      <w:r>
        <w:t>DLMS) Change</w:t>
      </w:r>
      <w:r w:rsidRPr="0033025A">
        <w:t xml:space="preserve"> (ADC) published by </w:t>
      </w:r>
      <w:r w:rsidR="00352679">
        <w:t>Defense Logistics</w:t>
      </w:r>
      <w:r w:rsidRPr="0033025A">
        <w:t xml:space="preserve"> Management </w:t>
      </w:r>
      <w:r>
        <w:t xml:space="preserve">Standards </w:t>
      </w:r>
      <w:r w:rsidR="0025347A">
        <w:t xml:space="preserve">Program </w:t>
      </w:r>
      <w:r>
        <w:t>Office memorandum:</w:t>
      </w:r>
    </w:p>
    <w:p w14:paraId="5EE30EC4" w14:textId="1AFB8A62" w:rsidR="00A350B5" w:rsidRDefault="00D93E32" w:rsidP="007211A8">
      <w:pPr>
        <w:widowControl w:val="0"/>
        <w:spacing w:after="240"/>
        <w:ind w:right="706" w:firstLine="900"/>
      </w:pPr>
      <w:r>
        <w:rPr>
          <w:color w:val="76923C" w:themeColor="accent3" w:themeShade="BF"/>
        </w:rPr>
        <w:t xml:space="preserve">A. </w:t>
      </w:r>
      <w:r>
        <w:t>ADC 1154</w:t>
      </w:r>
      <w:r w:rsidR="007211A8" w:rsidRPr="00D93E32">
        <w:t xml:space="preserve"> dated </w:t>
      </w:r>
      <w:r>
        <w:t>November 9</w:t>
      </w:r>
      <w:r w:rsidR="007211A8" w:rsidRPr="00D93E32">
        <w:t>, 2016</w:t>
      </w:r>
      <w:r>
        <w:rPr>
          <w:rFonts w:ascii="Arial" w:hAnsi="Arial" w:cs="Arial"/>
        </w:rPr>
        <w:t xml:space="preserve">.  </w:t>
      </w:r>
      <w:r w:rsidRPr="00D93E32">
        <w:t>Adds a Defense Logistics Agency “DLA” tab at the top or bottom of the following LMARS end of month reports:  Major Report Category Section of Wholesale inventory control point (ICP), Contractor Wholesale ICP, and Wholesale ICP Reparable national stock number (NSNs).  Revises Chapter 4</w:t>
      </w:r>
      <w:r w:rsidR="00E9454D" w:rsidRPr="00D93E32">
        <w:t xml:space="preserve">.  </w:t>
      </w:r>
    </w:p>
    <w:p w14:paraId="3EF899AF" w14:textId="6CD4A3D9" w:rsidR="00D93E32" w:rsidRDefault="00D93E32" w:rsidP="007211A8">
      <w:pPr>
        <w:widowControl w:val="0"/>
        <w:spacing w:after="240"/>
        <w:ind w:right="706" w:firstLine="900"/>
      </w:pPr>
      <w:r>
        <w:t xml:space="preserve">B.  ADC 1197 dated April 7, 2017.  </w:t>
      </w:r>
      <w:r w:rsidRPr="00D93E32">
        <w:t xml:space="preserve">Establishes requirements to develop an automated Department of Defense Address Activity Directory (DoDAAD) request tool to decentralize data entry and push initiation of the request down to the original requester.  This tool will replace the current decades-old process, based on emails and telephone calls, which is both ineffective and prone to errors.  No change to </w:t>
      </w:r>
      <w:r w:rsidR="007B496B">
        <w:rPr>
          <w:bCs/>
        </w:rPr>
        <w:t xml:space="preserve">DLM 4000.25 </w:t>
      </w:r>
      <w:r w:rsidRPr="00D93E32">
        <w:t>manuals or DLMS ICs</w:t>
      </w:r>
      <w:r>
        <w:t xml:space="preserve">.  </w:t>
      </w:r>
    </w:p>
    <w:p w14:paraId="3B29630F" w14:textId="318595E8" w:rsidR="00D93E32" w:rsidRDefault="00D93E32" w:rsidP="007211A8">
      <w:pPr>
        <w:widowControl w:val="0"/>
        <w:spacing w:after="240"/>
        <w:ind w:right="706" w:firstLine="900"/>
      </w:pPr>
      <w:r>
        <w:t xml:space="preserve">C.  ADC 1219 dated August 31, 2016.  </w:t>
      </w:r>
      <w:r w:rsidRPr="00D93E32">
        <w:t xml:space="preserve">Implements a change to the State/Province label for Defense Automatic Addressing System (DAAS) Inquiry </w:t>
      </w:r>
      <w:r w:rsidRPr="00D93E32">
        <w:lastRenderedPageBreak/>
        <w:t xml:space="preserve">(DAASINQ), Enhanced DAAS Inquiry (eDAASINQ), and Department of Defense Activity Address Directory (DoDAAD) Update Application.  No change to </w:t>
      </w:r>
      <w:r w:rsidR="007B496B">
        <w:rPr>
          <w:bCs/>
        </w:rPr>
        <w:t xml:space="preserve">DLM 4000.25 </w:t>
      </w:r>
      <w:r w:rsidRPr="00D93E32">
        <w:t>manuals or DLMS ICs</w:t>
      </w:r>
      <w:r>
        <w:t xml:space="preserve">.  </w:t>
      </w:r>
    </w:p>
    <w:p w14:paraId="52C44E1C" w14:textId="0310AB3B" w:rsidR="00D93E32" w:rsidRDefault="00D93E32" w:rsidP="007211A8">
      <w:pPr>
        <w:widowControl w:val="0"/>
        <w:spacing w:after="240"/>
        <w:ind w:right="706" w:firstLine="900"/>
        <w:rPr>
          <w:bCs/>
        </w:rPr>
      </w:pPr>
      <w:r>
        <w:t xml:space="preserve">D.  ADC 1245 dated April 19, 2017.  </w:t>
      </w:r>
      <w:r w:rsidRPr="00D93E32">
        <w:rPr>
          <w:bCs/>
        </w:rPr>
        <w:t xml:space="preserve">Revises the Defense Automatic Addressing System maintained Logistics Metrics Analysis Reporting System (LMARS) to replaces the current default two day Medical Prime Vendor (MPV) Logistics Response Time (LRT) with actual LRT in the Logistics Metrics Analysis Reporting System (LMARS).  LMARS will calculate the actual LRT from the date the MPV order is placed to when the order is delivered.  No change to </w:t>
      </w:r>
      <w:r w:rsidR="007B496B">
        <w:rPr>
          <w:bCs/>
        </w:rPr>
        <w:t xml:space="preserve">DLM 4000.25 </w:t>
      </w:r>
      <w:r w:rsidRPr="00D93E32">
        <w:rPr>
          <w:bCs/>
        </w:rPr>
        <w:t>manuals or ICs</w:t>
      </w:r>
      <w:r>
        <w:rPr>
          <w:bCs/>
        </w:rPr>
        <w:t xml:space="preserve">.  </w:t>
      </w:r>
    </w:p>
    <w:p w14:paraId="23FD0918" w14:textId="448A2740" w:rsidR="00D93E32" w:rsidRDefault="00D93E32" w:rsidP="007211A8">
      <w:pPr>
        <w:widowControl w:val="0"/>
        <w:spacing w:after="240"/>
        <w:ind w:right="706" w:firstLine="900"/>
        <w:rPr>
          <w:bCs/>
        </w:rPr>
      </w:pPr>
      <w:r>
        <w:rPr>
          <w:bCs/>
        </w:rPr>
        <w:t>E.  ADC</w:t>
      </w:r>
      <w:r w:rsidR="006C40D5">
        <w:rPr>
          <w:bCs/>
        </w:rPr>
        <w:t xml:space="preserve"> 1255 dated July 7, 2017.  </w:t>
      </w:r>
      <w:r w:rsidR="006C40D5" w:rsidRPr="006C40D5">
        <w:rPr>
          <w:bCs/>
        </w:rPr>
        <w:t xml:space="preserve">Revises the Department of Defense Activity Address Directory (DoDAAD) Update Application to prohibit the use of the letters “I” or “O in any of the six positions of the DoDAAC or three positions of the RIC primary key.  This restriction has always existed, but it required the person entering the data to enforce the rule.  The rule will be enforced programmatically.  No change to </w:t>
      </w:r>
      <w:r w:rsidR="007B496B">
        <w:rPr>
          <w:bCs/>
        </w:rPr>
        <w:t xml:space="preserve">DLM 4000.25 </w:t>
      </w:r>
      <w:r w:rsidR="006C40D5" w:rsidRPr="006C40D5">
        <w:rPr>
          <w:bCs/>
        </w:rPr>
        <w:t>manuals</w:t>
      </w:r>
      <w:r w:rsidR="006C40D5">
        <w:rPr>
          <w:bCs/>
        </w:rPr>
        <w:t xml:space="preserve">.  </w:t>
      </w:r>
    </w:p>
    <w:p w14:paraId="0B20D39E" w14:textId="2CFB6CD0" w:rsidR="006C40D5" w:rsidRDefault="006C40D5" w:rsidP="007211A8">
      <w:pPr>
        <w:widowControl w:val="0"/>
        <w:spacing w:after="240"/>
        <w:ind w:right="706" w:firstLine="900"/>
        <w:rPr>
          <w:bCs/>
        </w:rPr>
      </w:pPr>
      <w:r>
        <w:rPr>
          <w:bCs/>
        </w:rPr>
        <w:t xml:space="preserve">F.  ADC 1257 dated July 7, 2017.  </w:t>
      </w:r>
      <w:r w:rsidRPr="006C40D5">
        <w:rPr>
          <w:bCs/>
        </w:rPr>
        <w:t xml:space="preserve">Establishes the requirements for a new website with a public server/domain to host the main page of the DoDAAD Enterprise Resources Website, in the same style/capability currently used by the DLA Information Operations Commercial and Government Entity Code (CAGE) site (https://cage.dla.mil) hosted by the Defense Information Systems Agency’s Defense Enterprise Computing Center – Ogden.  All user actions will launch from this new DoDAAD website.  No revisions to </w:t>
      </w:r>
      <w:r w:rsidR="007B496B">
        <w:rPr>
          <w:bCs/>
        </w:rPr>
        <w:t xml:space="preserve">DLM 4000.25 </w:t>
      </w:r>
      <w:r w:rsidRPr="006C40D5">
        <w:rPr>
          <w:bCs/>
        </w:rPr>
        <w:t>manuals</w:t>
      </w:r>
      <w:r>
        <w:rPr>
          <w:bCs/>
        </w:rPr>
        <w:t xml:space="preserve">.  </w:t>
      </w:r>
    </w:p>
    <w:p w14:paraId="11D916DC" w14:textId="52ABEEC2" w:rsidR="006C40D5" w:rsidRDefault="006C40D5" w:rsidP="007211A8">
      <w:pPr>
        <w:widowControl w:val="0"/>
        <w:spacing w:after="240"/>
        <w:ind w:right="706" w:firstLine="900"/>
        <w:rPr>
          <w:bCs/>
        </w:rPr>
      </w:pPr>
      <w:r>
        <w:rPr>
          <w:bCs/>
        </w:rPr>
        <w:t xml:space="preserve">G.  ADC 1258 dated April 5, 2017.  </w:t>
      </w:r>
      <w:r w:rsidRPr="006C40D5">
        <w:rPr>
          <w:bCs/>
        </w:rPr>
        <w:t xml:space="preserve">Adds a Yes/No flag to the DoDAAD to indicate if the activity identified by the DoDAAC is authorized to award Grants on behalf of the Federal Government. It provides additional business rules to apply the Funding Office flag that was initially implemented in the DoDAAD by ADC 1201.  Revises </w:t>
      </w:r>
      <w:r w:rsidR="00CE7D84">
        <w:rPr>
          <w:bCs/>
        </w:rPr>
        <w:t>Chapter 2</w:t>
      </w:r>
      <w:r>
        <w:rPr>
          <w:bCs/>
        </w:rPr>
        <w:t xml:space="preserve">.  </w:t>
      </w:r>
    </w:p>
    <w:p w14:paraId="7982C4E5" w14:textId="69722344" w:rsidR="006C40D5" w:rsidRDefault="006C40D5" w:rsidP="007211A8">
      <w:pPr>
        <w:widowControl w:val="0"/>
        <w:spacing w:after="240"/>
        <w:ind w:right="706" w:firstLine="900"/>
      </w:pPr>
      <w:r>
        <w:rPr>
          <w:bCs/>
        </w:rPr>
        <w:t xml:space="preserve">H.  ADC 1266 dated February 14, 2017.  </w:t>
      </w:r>
      <w:r w:rsidR="007B496B" w:rsidRPr="007B496B">
        <w:rPr>
          <w:bCs/>
        </w:rPr>
        <w:t>Implements Agency Code 53, Institute of Museum and</w:t>
      </w:r>
      <w:r w:rsidR="007B496B">
        <w:rPr>
          <w:bCs/>
        </w:rPr>
        <w:t xml:space="preserve"> </w:t>
      </w:r>
      <w:r w:rsidR="007B496B" w:rsidRPr="007B496B">
        <w:rPr>
          <w:bCs/>
        </w:rPr>
        <w:t xml:space="preserve">Library Services in the DoDAAD Automated Information System.  No changes to </w:t>
      </w:r>
      <w:r w:rsidR="007B496B">
        <w:rPr>
          <w:bCs/>
        </w:rPr>
        <w:t xml:space="preserve">DLM 4000.25 </w:t>
      </w:r>
      <w:r w:rsidR="007B496B" w:rsidRPr="007B496B">
        <w:rPr>
          <w:bCs/>
        </w:rPr>
        <w:t>manuals</w:t>
      </w:r>
      <w:r w:rsidR="007B496B">
        <w:rPr>
          <w:bCs/>
        </w:rPr>
        <w:t xml:space="preserve">.  </w:t>
      </w:r>
    </w:p>
    <w:p w14:paraId="7CA3BB2B" w14:textId="77777777" w:rsidR="00D93E32" w:rsidRPr="00D93E32" w:rsidRDefault="00D93E32" w:rsidP="007211A8">
      <w:pPr>
        <w:widowControl w:val="0"/>
        <w:spacing w:after="240"/>
        <w:ind w:right="706" w:firstLine="900"/>
      </w:pPr>
    </w:p>
    <w:p w14:paraId="667D29A9" w14:textId="77777777" w:rsidR="007A4606" w:rsidRPr="00763BE5" w:rsidRDefault="007A4606" w:rsidP="00E70CCC">
      <w:pPr>
        <w:keepNext/>
        <w:spacing w:after="240"/>
        <w:ind w:right="-14"/>
        <w:rPr>
          <w:color w:val="000000" w:themeColor="text1"/>
        </w:rPr>
      </w:pPr>
      <w:r w:rsidRPr="00763BE5">
        <w:rPr>
          <w:color w:val="000000" w:themeColor="text1"/>
        </w:rPr>
        <w:t>III. The list below identifies the chapters, appendices</w:t>
      </w:r>
      <w:r w:rsidR="00FA51F6" w:rsidRPr="00763BE5">
        <w:rPr>
          <w:color w:val="000000" w:themeColor="text1"/>
        </w:rPr>
        <w:t>,</w:t>
      </w:r>
      <w:r w:rsidRPr="00763BE5">
        <w:rPr>
          <w:color w:val="000000" w:themeColor="text1"/>
        </w:rPr>
        <w:t xml:space="preserve"> or other files from the manual that are replaced by this change:</w:t>
      </w:r>
    </w:p>
    <w:tbl>
      <w:tblPr>
        <w:tblW w:w="0" w:type="auto"/>
        <w:jc w:val="center"/>
        <w:tblCellMar>
          <w:left w:w="0" w:type="dxa"/>
          <w:right w:w="0" w:type="dxa"/>
        </w:tblCellMar>
        <w:tblLook w:val="01E0" w:firstRow="1" w:lastRow="1" w:firstColumn="1" w:lastColumn="1" w:noHBand="0" w:noVBand="0"/>
      </w:tblPr>
      <w:tblGrid>
        <w:gridCol w:w="3150"/>
      </w:tblGrid>
      <w:tr w:rsidR="00917BE6" w:rsidRPr="003D312C" w14:paraId="667D29AC" w14:textId="77777777" w:rsidTr="007211A8">
        <w:trPr>
          <w:cantSplit/>
          <w:trHeight w:hRule="exact" w:val="460"/>
          <w:tblHeader/>
          <w:jc w:val="center"/>
        </w:trPr>
        <w:tc>
          <w:tcPr>
            <w:tcW w:w="3150" w:type="dxa"/>
          </w:tcPr>
          <w:p w14:paraId="667D29AA" w14:textId="77777777" w:rsidR="00917BE6" w:rsidRPr="003D312C" w:rsidRDefault="00917BE6" w:rsidP="00572996">
            <w:pPr>
              <w:keepNext/>
              <w:spacing w:after="240"/>
              <w:ind w:right="-14"/>
              <w:rPr>
                <w:b/>
                <w:u w:val="single"/>
              </w:rPr>
            </w:pPr>
            <w:r>
              <w:rPr>
                <w:b/>
                <w:bCs/>
                <w:u w:val="single"/>
              </w:rPr>
              <w:t xml:space="preserve">Added or </w:t>
            </w:r>
            <w:r w:rsidRPr="003D312C">
              <w:rPr>
                <w:b/>
                <w:bCs/>
                <w:u w:val="single"/>
              </w:rPr>
              <w:t>Replaced Files</w:t>
            </w:r>
          </w:p>
        </w:tc>
      </w:tr>
      <w:tr w:rsidR="00917BE6" w:rsidRPr="00763BE5" w14:paraId="667D29AF" w14:textId="77777777" w:rsidTr="007211A8">
        <w:trPr>
          <w:cantSplit/>
          <w:trHeight w:hRule="exact" w:val="301"/>
          <w:tblHeader/>
          <w:jc w:val="center"/>
        </w:trPr>
        <w:tc>
          <w:tcPr>
            <w:tcW w:w="3150" w:type="dxa"/>
          </w:tcPr>
          <w:p w14:paraId="667D29AD" w14:textId="77777777" w:rsidR="00917BE6" w:rsidRPr="00763BE5" w:rsidRDefault="00917BE6" w:rsidP="00572996">
            <w:pPr>
              <w:keepNext/>
              <w:spacing w:after="240"/>
              <w:ind w:right="-20"/>
              <w:rPr>
                <w:color w:val="000000" w:themeColor="text1"/>
              </w:rPr>
            </w:pPr>
            <w:r w:rsidRPr="00763BE5">
              <w:rPr>
                <w:color w:val="000000" w:themeColor="text1"/>
              </w:rPr>
              <w:t>Change History Page</w:t>
            </w:r>
          </w:p>
        </w:tc>
      </w:tr>
      <w:tr w:rsidR="00917BE6" w:rsidRPr="00763BE5" w14:paraId="667D29B2" w14:textId="77777777" w:rsidTr="007211A8">
        <w:trPr>
          <w:cantSplit/>
          <w:trHeight w:hRule="exact" w:val="301"/>
          <w:tblHeader/>
          <w:jc w:val="center"/>
        </w:trPr>
        <w:tc>
          <w:tcPr>
            <w:tcW w:w="3150" w:type="dxa"/>
          </w:tcPr>
          <w:p w14:paraId="667D29B0" w14:textId="77777777" w:rsidR="00917BE6" w:rsidRPr="00763BE5" w:rsidRDefault="00917BE6" w:rsidP="00572996">
            <w:pPr>
              <w:keepNext/>
              <w:spacing w:after="240"/>
              <w:ind w:right="-20"/>
              <w:rPr>
                <w:color w:val="000000" w:themeColor="text1"/>
              </w:rPr>
            </w:pPr>
            <w:r w:rsidRPr="00763BE5">
              <w:rPr>
                <w:color w:val="000000" w:themeColor="text1"/>
              </w:rPr>
              <w:t>Table of Contents</w:t>
            </w:r>
          </w:p>
        </w:tc>
      </w:tr>
      <w:tr w:rsidR="00BB30E1" w:rsidRPr="00763BE5" w14:paraId="54DBDA22" w14:textId="77777777" w:rsidTr="007211A8">
        <w:trPr>
          <w:cantSplit/>
          <w:trHeight w:hRule="exact" w:val="301"/>
          <w:tblHeader/>
          <w:jc w:val="center"/>
        </w:trPr>
        <w:tc>
          <w:tcPr>
            <w:tcW w:w="3150" w:type="dxa"/>
          </w:tcPr>
          <w:p w14:paraId="75BFA9A3" w14:textId="7191B264" w:rsidR="00BB30E1" w:rsidRPr="00763BE5" w:rsidRDefault="00BB30E1" w:rsidP="00572996">
            <w:pPr>
              <w:keepNext/>
              <w:spacing w:after="240"/>
              <w:ind w:right="-20"/>
              <w:rPr>
                <w:color w:val="000000" w:themeColor="text1"/>
              </w:rPr>
            </w:pPr>
            <w:r>
              <w:rPr>
                <w:color w:val="000000" w:themeColor="text1"/>
              </w:rPr>
              <w:t>Chapter 2</w:t>
            </w:r>
          </w:p>
        </w:tc>
      </w:tr>
      <w:tr w:rsidR="00BB30E1" w:rsidRPr="00763BE5" w14:paraId="5D4E085B" w14:textId="77777777" w:rsidTr="007211A8">
        <w:trPr>
          <w:cantSplit/>
          <w:trHeight w:hRule="exact" w:val="301"/>
          <w:tblHeader/>
          <w:jc w:val="center"/>
        </w:trPr>
        <w:tc>
          <w:tcPr>
            <w:tcW w:w="3150" w:type="dxa"/>
          </w:tcPr>
          <w:p w14:paraId="33F51C5E" w14:textId="48946690" w:rsidR="00BB30E1" w:rsidRPr="00763BE5" w:rsidRDefault="00BB30E1" w:rsidP="00572996">
            <w:pPr>
              <w:keepNext/>
              <w:spacing w:after="240"/>
              <w:ind w:right="-20"/>
              <w:rPr>
                <w:color w:val="000000" w:themeColor="text1"/>
              </w:rPr>
            </w:pPr>
            <w:r>
              <w:rPr>
                <w:color w:val="000000" w:themeColor="text1"/>
              </w:rPr>
              <w:t>Chapter 4</w:t>
            </w:r>
          </w:p>
        </w:tc>
      </w:tr>
    </w:tbl>
    <w:p w14:paraId="65E09956" w14:textId="77777777" w:rsidR="001F32AC" w:rsidRDefault="001F32AC" w:rsidP="001F32AC">
      <w:pPr>
        <w:keepNext/>
        <w:keepLines/>
        <w:spacing w:before="240" w:after="240"/>
        <w:ind w:right="-14"/>
      </w:pPr>
      <w:bookmarkStart w:id="0" w:name="OLE_LINK1"/>
      <w:bookmarkStart w:id="1" w:name="OLE_LINK2"/>
      <w:r w:rsidRPr="000F503D">
        <w:rPr>
          <w:color w:val="000000" w:themeColor="text1"/>
        </w:rPr>
        <w:t xml:space="preserve">IV. This change is incorporated into the on-line DLMS manual at the Defense Logistics Managements Standards Website </w:t>
      </w:r>
      <w:r>
        <w:t>Publications Page</w:t>
      </w:r>
      <w:r>
        <w:rPr>
          <w:color w:val="000000" w:themeColor="text1"/>
        </w:rPr>
        <w:t xml:space="preserve"> </w:t>
      </w:r>
      <w:r w:rsidRPr="000F503D">
        <w:rPr>
          <w:color w:val="000000" w:themeColor="text1"/>
        </w:rPr>
        <w:t xml:space="preserve">and the PDF file containing the entire set of change files is available </w:t>
      </w:r>
      <w:r>
        <w:rPr>
          <w:color w:val="000000" w:themeColor="text1"/>
        </w:rPr>
        <w:t>on the Formal Changes Page.</w:t>
      </w:r>
    </w:p>
    <w:p w14:paraId="65E638C5" w14:textId="2F51F298" w:rsidR="007211A8" w:rsidRPr="0007232C" w:rsidRDefault="00AB6170" w:rsidP="00AB6170">
      <w:pPr>
        <w:keepNext/>
        <w:keepLines/>
        <w:spacing w:before="240" w:after="240"/>
        <w:ind w:left="3600" w:right="-14" w:firstLine="720"/>
        <w:rPr>
          <w:rStyle w:val="Hyperlink"/>
          <w:color w:val="000000" w:themeColor="text1"/>
          <w:u w:val="none"/>
        </w:rPr>
      </w:pPr>
      <w:bookmarkStart w:id="2" w:name="_GoBack"/>
      <w:bookmarkEnd w:id="0"/>
      <w:bookmarkEnd w:id="1"/>
      <w:bookmarkEnd w:id="2"/>
      <w:r>
        <w:rPr>
          <w:rStyle w:val="Hyperlink"/>
          <w:noProof/>
          <w:color w:val="auto"/>
          <w:u w:val="none"/>
        </w:rPr>
        <w:drawing>
          <wp:inline distT="0" distB="0" distL="0" distR="0" wp14:anchorId="75D48A88" wp14:editId="75D37106">
            <wp:extent cx="3032065"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2895" cy="1338263"/>
                    </a:xfrm>
                    <a:prstGeom prst="rect">
                      <a:avLst/>
                    </a:prstGeom>
                    <a:noFill/>
                    <a:ln>
                      <a:noFill/>
                    </a:ln>
                  </pic:spPr>
                </pic:pic>
              </a:graphicData>
            </a:graphic>
          </wp:inline>
        </w:drawing>
      </w:r>
    </w:p>
    <w:sectPr w:rsidR="007211A8" w:rsidRPr="0007232C" w:rsidSect="008232A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29010" w14:textId="77777777" w:rsidR="006C40D5" w:rsidRDefault="006C40D5">
      <w:r>
        <w:separator/>
      </w:r>
    </w:p>
  </w:endnote>
  <w:endnote w:type="continuationSeparator" w:id="0">
    <w:p w14:paraId="7F36D5AF" w14:textId="77777777" w:rsidR="006C40D5" w:rsidRDefault="006C40D5">
      <w:r>
        <w:continuationSeparator/>
      </w:r>
    </w:p>
  </w:endnote>
  <w:endnote w:type="continuationNotice" w:id="1">
    <w:p w14:paraId="482FC285" w14:textId="77777777" w:rsidR="006C40D5" w:rsidRDefault="006C4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51DF4" w14:textId="77777777" w:rsidR="006C40D5" w:rsidRDefault="006C40D5">
      <w:r>
        <w:separator/>
      </w:r>
    </w:p>
  </w:footnote>
  <w:footnote w:type="continuationSeparator" w:id="0">
    <w:p w14:paraId="1D7A3354" w14:textId="77777777" w:rsidR="006C40D5" w:rsidRDefault="006C40D5">
      <w:r>
        <w:continuationSeparator/>
      </w:r>
    </w:p>
  </w:footnote>
  <w:footnote w:type="continuationNotice" w:id="1">
    <w:p w14:paraId="42EDCA1C" w14:textId="77777777" w:rsidR="006C40D5" w:rsidRDefault="006C40D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7196"/>
    <w:multiLevelType w:val="multilevel"/>
    <w:tmpl w:val="4A9CD1DC"/>
    <w:numStyleLink w:val="Style1"/>
  </w:abstractNum>
  <w:abstractNum w:abstractNumId="1" w15:restartNumberingAfterBreak="0">
    <w:nsid w:val="29473329"/>
    <w:multiLevelType w:val="hybridMultilevel"/>
    <w:tmpl w:val="CE9E1B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247F1"/>
    <w:multiLevelType w:val="hybridMultilevel"/>
    <w:tmpl w:val="2CC247F1"/>
    <w:lvl w:ilvl="0" w:tplc="FFFFFFFF">
      <w:start w:val="1"/>
      <w:numFmt w:val="bullet"/>
      <w:lvlText w:val="l"/>
      <w:lvlJc w:val="left"/>
      <w:pPr>
        <w:tabs>
          <w:tab w:val="num" w:pos="360"/>
        </w:tabs>
        <w:ind w:left="360" w:hanging="360"/>
      </w:pPr>
      <w:rPr>
        <w:rFonts w:ascii="Wingdings" w:eastAsia="Wingdings" w:hAnsi="Wingdings" w:cs="Wingdings"/>
        <w:color w:val="000000"/>
        <w:sz w:val="16"/>
      </w:rPr>
    </w:lvl>
    <w:lvl w:ilvl="1" w:tplc="FFFFFFFF">
      <w:start w:val="1"/>
      <w:numFmt w:val="bullet"/>
      <w:lvlText w:val="¡"/>
      <w:lvlJc w:val="left"/>
      <w:pPr>
        <w:tabs>
          <w:tab w:val="num" w:pos="720"/>
        </w:tabs>
        <w:ind w:left="720" w:hanging="360"/>
      </w:pPr>
      <w:rPr>
        <w:rFonts w:ascii="Wingdings" w:eastAsia="Wingdings" w:hAnsi="Wingdings" w:cs="Wingdings"/>
        <w:color w:val="000000"/>
        <w:sz w:val="16"/>
      </w:rPr>
    </w:lvl>
    <w:lvl w:ilvl="2" w:tplc="FFFFFFFF">
      <w:start w:val="1"/>
      <w:numFmt w:val="bullet"/>
      <w:lvlText w:val="¡"/>
      <w:lvlJc w:val="left"/>
      <w:pPr>
        <w:tabs>
          <w:tab w:val="num" w:pos="1080"/>
        </w:tabs>
        <w:ind w:left="1080" w:hanging="360"/>
      </w:pPr>
      <w:rPr>
        <w:rFonts w:ascii="Wingdings" w:eastAsia="Wingdings" w:hAnsi="Wingdings" w:cs="Wingdings"/>
        <w:color w:val="000000"/>
        <w:sz w:val="16"/>
      </w:rPr>
    </w:lvl>
    <w:lvl w:ilvl="3" w:tplc="FFFFFFFF">
      <w:start w:val="1"/>
      <w:numFmt w:val="bullet"/>
      <w:lvlText w:val="¡"/>
      <w:lvlJc w:val="left"/>
      <w:pPr>
        <w:tabs>
          <w:tab w:val="num" w:pos="1440"/>
        </w:tabs>
        <w:ind w:left="1440" w:hanging="360"/>
      </w:pPr>
      <w:rPr>
        <w:rFonts w:ascii="Wingdings" w:eastAsia="Wingdings" w:hAnsi="Wingdings" w:cs="Wingdings"/>
        <w:color w:val="000000"/>
        <w:sz w:val="16"/>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3561127D"/>
    <w:multiLevelType w:val="hybridMultilevel"/>
    <w:tmpl w:val="E52200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E36A9"/>
    <w:multiLevelType w:val="hybridMultilevel"/>
    <w:tmpl w:val="DE562064"/>
    <w:lvl w:ilvl="0" w:tplc="F2F42124">
      <w:start w:val="1"/>
      <w:numFmt w:val="upperLetter"/>
      <w:suff w:val="nothing"/>
      <w:lvlText w:val="%1."/>
      <w:lvlJc w:val="left"/>
      <w:pPr>
        <w:ind w:left="996" w:hanging="96"/>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5" w15:restartNumberingAfterBreak="0">
    <w:nsid w:val="50B75569"/>
    <w:multiLevelType w:val="hybridMultilevel"/>
    <w:tmpl w:val="0BB694CE"/>
    <w:lvl w:ilvl="0" w:tplc="058C1332">
      <w:start w:val="1"/>
      <w:numFmt w:val="upperLetter"/>
      <w:suff w:val="nothing"/>
      <w:lvlText w:val="%1."/>
      <w:lvlJc w:val="left"/>
      <w:pPr>
        <w:ind w:left="996" w:hanging="96"/>
      </w:pPr>
      <w:rPr>
        <w:rFonts w:ascii="Times New Roman" w:hAnsi="Times New Roman" w:cs="Times New Roman" w:hint="default"/>
        <w:sz w:val="24"/>
        <w:szCs w:val="24"/>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6" w15:restartNumberingAfterBreak="0">
    <w:nsid w:val="5D635919"/>
    <w:multiLevelType w:val="multilevel"/>
    <w:tmpl w:val="4A9CD1DC"/>
    <w:styleLink w:val="Style1"/>
    <w:lvl w:ilvl="0">
      <w:start w:val="1"/>
      <w:numFmt w:val="decimal"/>
      <w:suff w:val="space"/>
      <w:lvlText w:val="%1. "/>
      <w:lvlJc w:val="left"/>
      <w:pPr>
        <w:ind w:left="0" w:firstLine="0"/>
      </w:pPr>
      <w:rPr>
        <w:b/>
      </w:rPr>
    </w:lvl>
    <w:lvl w:ilvl="1">
      <w:start w:val="1"/>
      <w:numFmt w:val="lowerLetter"/>
      <w:suff w:val="space"/>
      <w:lvlText w:val="%2. "/>
      <w:lvlJc w:val="left"/>
      <w:pPr>
        <w:ind w:left="0" w:firstLine="720"/>
      </w:pPr>
      <w:rPr>
        <w:b/>
      </w:rPr>
    </w:lvl>
    <w:lvl w:ilvl="2">
      <w:start w:val="1"/>
      <w:numFmt w:val="decimal"/>
      <w:suff w:val="space"/>
      <w:lvlText w:val="(%3) "/>
      <w:lvlJc w:val="left"/>
      <w:pPr>
        <w:ind w:left="0" w:firstLine="1440"/>
      </w:pPr>
      <w:rPr>
        <w:b/>
      </w:rPr>
    </w:lvl>
    <w:lvl w:ilvl="3">
      <w:start w:val="1"/>
      <w:numFmt w:val="lowerLetter"/>
      <w:suff w:val="space"/>
      <w:lvlText w:val="(%4) "/>
      <w:lvlJc w:val="left"/>
      <w:pPr>
        <w:ind w:left="0" w:firstLine="2160"/>
      </w:pPr>
      <w:rPr>
        <w:b/>
      </w:rPr>
    </w:lvl>
    <w:lvl w:ilvl="4">
      <w:start w:val="1"/>
      <w:numFmt w:val="decimal"/>
      <w:suff w:val="space"/>
      <w:lvlText w:val="%5. "/>
      <w:lvlJc w:val="left"/>
      <w:pPr>
        <w:ind w:left="0" w:firstLine="2880"/>
      </w:pPr>
      <w:rPr>
        <w:b/>
        <w:u w:val="words"/>
      </w:rPr>
    </w:lvl>
    <w:lvl w:ilvl="5">
      <w:start w:val="1"/>
      <w:numFmt w:val="lowerLetter"/>
      <w:suff w:val="space"/>
      <w:lvlText w:val="%6. "/>
      <w:lvlJc w:val="left"/>
      <w:pPr>
        <w:ind w:left="0" w:firstLine="3600"/>
      </w:pPr>
      <w:rPr>
        <w:b/>
        <w:u w:val="words"/>
      </w:rPr>
    </w:lvl>
    <w:lvl w:ilvl="6">
      <w:start w:val="1"/>
      <w:numFmt w:val="decimal"/>
      <w:lvlText w:val="%7."/>
      <w:lvlJc w:val="left"/>
      <w:pPr>
        <w:ind w:left="2160" w:firstLine="360"/>
      </w:pPr>
    </w:lvl>
    <w:lvl w:ilvl="7">
      <w:start w:val="1"/>
      <w:numFmt w:val="lowerLetter"/>
      <w:lvlText w:val="%8."/>
      <w:lvlJc w:val="left"/>
      <w:pPr>
        <w:ind w:left="2520" w:firstLine="360"/>
      </w:pPr>
    </w:lvl>
    <w:lvl w:ilvl="8">
      <w:start w:val="1"/>
      <w:numFmt w:val="lowerRoman"/>
      <w:lvlText w:val="%9."/>
      <w:lvlJc w:val="left"/>
      <w:pPr>
        <w:ind w:left="2880" w:firstLine="36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lvlOverride w:ilvl="0">
      <w:startOverride w:val="1"/>
      <w:lvl w:ilvl="0">
        <w:start w:val="1"/>
        <w:numFmt w:val="decimal"/>
        <w:lvlText w:val=""/>
        <w:lvlJc w:val="left"/>
      </w:lvl>
    </w:lvlOverride>
    <w:lvlOverride w:ilvl="1">
      <w:startOverride w:val="1"/>
      <w:lvl w:ilvl="1">
        <w:start w:val="1"/>
        <w:numFmt w:val="lowerLetter"/>
        <w:suff w:val="space"/>
        <w:lvlText w:val="%2. "/>
        <w:lvlJc w:val="left"/>
        <w:pPr>
          <w:ind w:left="0" w:firstLine="720"/>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suff w:val="space"/>
        <w:lvlText w:val="%5. "/>
        <w:lvlJc w:val="left"/>
        <w:pPr>
          <w:ind w:left="0" w:firstLine="2880"/>
        </w:pPr>
        <w:rPr>
          <w:b/>
          <w:u w:val="words"/>
        </w:r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E6"/>
    <w:rsid w:val="000010FB"/>
    <w:rsid w:val="00006915"/>
    <w:rsid w:val="00055220"/>
    <w:rsid w:val="000651D6"/>
    <w:rsid w:val="0007232C"/>
    <w:rsid w:val="00075659"/>
    <w:rsid w:val="00075C36"/>
    <w:rsid w:val="0008687E"/>
    <w:rsid w:val="00093328"/>
    <w:rsid w:val="00093B18"/>
    <w:rsid w:val="000B0C3A"/>
    <w:rsid w:val="000C775C"/>
    <w:rsid w:val="000D520F"/>
    <w:rsid w:val="000F7226"/>
    <w:rsid w:val="0012338A"/>
    <w:rsid w:val="001822BB"/>
    <w:rsid w:val="001B52FC"/>
    <w:rsid w:val="001B72CE"/>
    <w:rsid w:val="001D1836"/>
    <w:rsid w:val="001D1F76"/>
    <w:rsid w:val="001E7833"/>
    <w:rsid w:val="001F32AC"/>
    <w:rsid w:val="001F6477"/>
    <w:rsid w:val="00216F80"/>
    <w:rsid w:val="002350B5"/>
    <w:rsid w:val="00236D04"/>
    <w:rsid w:val="002473E4"/>
    <w:rsid w:val="0025347A"/>
    <w:rsid w:val="00264AA3"/>
    <w:rsid w:val="00270D8B"/>
    <w:rsid w:val="0028500E"/>
    <w:rsid w:val="00286745"/>
    <w:rsid w:val="002906AD"/>
    <w:rsid w:val="002906EB"/>
    <w:rsid w:val="00297D3E"/>
    <w:rsid w:val="002A1E61"/>
    <w:rsid w:val="002A2DA4"/>
    <w:rsid w:val="002A76F1"/>
    <w:rsid w:val="002B71DC"/>
    <w:rsid w:val="002B7579"/>
    <w:rsid w:val="002D3535"/>
    <w:rsid w:val="002E454F"/>
    <w:rsid w:val="002F2F1F"/>
    <w:rsid w:val="002F6167"/>
    <w:rsid w:val="00317B56"/>
    <w:rsid w:val="0032323F"/>
    <w:rsid w:val="00327A0E"/>
    <w:rsid w:val="00327E5C"/>
    <w:rsid w:val="00333B11"/>
    <w:rsid w:val="00336DDC"/>
    <w:rsid w:val="00340294"/>
    <w:rsid w:val="003513C0"/>
    <w:rsid w:val="00352370"/>
    <w:rsid w:val="00352679"/>
    <w:rsid w:val="00362FAB"/>
    <w:rsid w:val="00375AD0"/>
    <w:rsid w:val="003A7968"/>
    <w:rsid w:val="003B5922"/>
    <w:rsid w:val="003B6219"/>
    <w:rsid w:val="003E0E29"/>
    <w:rsid w:val="003F6A18"/>
    <w:rsid w:val="003F7299"/>
    <w:rsid w:val="0042429D"/>
    <w:rsid w:val="0044287E"/>
    <w:rsid w:val="0045038D"/>
    <w:rsid w:val="00452AF7"/>
    <w:rsid w:val="00455CBC"/>
    <w:rsid w:val="00477821"/>
    <w:rsid w:val="00491A8C"/>
    <w:rsid w:val="004A57C5"/>
    <w:rsid w:val="004B2F60"/>
    <w:rsid w:val="004D1BA3"/>
    <w:rsid w:val="004D2742"/>
    <w:rsid w:val="004E1FFF"/>
    <w:rsid w:val="004E722F"/>
    <w:rsid w:val="004F3B6E"/>
    <w:rsid w:val="005001FC"/>
    <w:rsid w:val="0050336C"/>
    <w:rsid w:val="0051125A"/>
    <w:rsid w:val="00515687"/>
    <w:rsid w:val="00522729"/>
    <w:rsid w:val="00563006"/>
    <w:rsid w:val="00572996"/>
    <w:rsid w:val="00573575"/>
    <w:rsid w:val="005774EA"/>
    <w:rsid w:val="00577EA1"/>
    <w:rsid w:val="00591666"/>
    <w:rsid w:val="00592355"/>
    <w:rsid w:val="005B055D"/>
    <w:rsid w:val="005F402A"/>
    <w:rsid w:val="006153D6"/>
    <w:rsid w:val="00616A4E"/>
    <w:rsid w:val="00617F12"/>
    <w:rsid w:val="0062781F"/>
    <w:rsid w:val="00636CEB"/>
    <w:rsid w:val="00643D98"/>
    <w:rsid w:val="00647078"/>
    <w:rsid w:val="006A2309"/>
    <w:rsid w:val="006C40D5"/>
    <w:rsid w:val="006C5EDB"/>
    <w:rsid w:val="006F6A11"/>
    <w:rsid w:val="006F7EB4"/>
    <w:rsid w:val="00711BF3"/>
    <w:rsid w:val="007211A8"/>
    <w:rsid w:val="00726F50"/>
    <w:rsid w:val="00737225"/>
    <w:rsid w:val="007424CE"/>
    <w:rsid w:val="00744E82"/>
    <w:rsid w:val="007520EB"/>
    <w:rsid w:val="007542CA"/>
    <w:rsid w:val="00763BE5"/>
    <w:rsid w:val="00785558"/>
    <w:rsid w:val="007939FE"/>
    <w:rsid w:val="00794D67"/>
    <w:rsid w:val="007A4606"/>
    <w:rsid w:val="007B013C"/>
    <w:rsid w:val="007B496B"/>
    <w:rsid w:val="007C3AD4"/>
    <w:rsid w:val="007F1366"/>
    <w:rsid w:val="00801853"/>
    <w:rsid w:val="00807660"/>
    <w:rsid w:val="008232A7"/>
    <w:rsid w:val="008357AE"/>
    <w:rsid w:val="00857349"/>
    <w:rsid w:val="00862E26"/>
    <w:rsid w:val="00882FDC"/>
    <w:rsid w:val="008A063C"/>
    <w:rsid w:val="008A5D9F"/>
    <w:rsid w:val="008B53C4"/>
    <w:rsid w:val="008C4D6E"/>
    <w:rsid w:val="008D2281"/>
    <w:rsid w:val="008F6370"/>
    <w:rsid w:val="008F76AB"/>
    <w:rsid w:val="0090317F"/>
    <w:rsid w:val="0090384D"/>
    <w:rsid w:val="00917BE6"/>
    <w:rsid w:val="009217DD"/>
    <w:rsid w:val="00975EBA"/>
    <w:rsid w:val="00980E9A"/>
    <w:rsid w:val="009813CB"/>
    <w:rsid w:val="009A31D7"/>
    <w:rsid w:val="009A3A63"/>
    <w:rsid w:val="009B2F79"/>
    <w:rsid w:val="009B3A0B"/>
    <w:rsid w:val="009C4BC8"/>
    <w:rsid w:val="009D6800"/>
    <w:rsid w:val="009E0B28"/>
    <w:rsid w:val="009E3A69"/>
    <w:rsid w:val="009E65AE"/>
    <w:rsid w:val="009F0B65"/>
    <w:rsid w:val="009F33CE"/>
    <w:rsid w:val="00A27E33"/>
    <w:rsid w:val="00A350B5"/>
    <w:rsid w:val="00A461E1"/>
    <w:rsid w:val="00A94A2C"/>
    <w:rsid w:val="00A977E9"/>
    <w:rsid w:val="00AB05D4"/>
    <w:rsid w:val="00AB6170"/>
    <w:rsid w:val="00AC5DD9"/>
    <w:rsid w:val="00AD1CC1"/>
    <w:rsid w:val="00AD4CBF"/>
    <w:rsid w:val="00AD50DC"/>
    <w:rsid w:val="00AD68BB"/>
    <w:rsid w:val="00AE33F6"/>
    <w:rsid w:val="00AF12BC"/>
    <w:rsid w:val="00AF607A"/>
    <w:rsid w:val="00B10810"/>
    <w:rsid w:val="00B14755"/>
    <w:rsid w:val="00B2540D"/>
    <w:rsid w:val="00B42C95"/>
    <w:rsid w:val="00B50BF8"/>
    <w:rsid w:val="00B557FF"/>
    <w:rsid w:val="00B6289D"/>
    <w:rsid w:val="00BA6E8C"/>
    <w:rsid w:val="00BB30E1"/>
    <w:rsid w:val="00BD46B7"/>
    <w:rsid w:val="00BE45B6"/>
    <w:rsid w:val="00C06F28"/>
    <w:rsid w:val="00C07676"/>
    <w:rsid w:val="00C13C10"/>
    <w:rsid w:val="00C4181B"/>
    <w:rsid w:val="00C55633"/>
    <w:rsid w:val="00C628BC"/>
    <w:rsid w:val="00C83CE6"/>
    <w:rsid w:val="00CB2D13"/>
    <w:rsid w:val="00CE7D84"/>
    <w:rsid w:val="00D12E60"/>
    <w:rsid w:val="00D141E2"/>
    <w:rsid w:val="00D250E4"/>
    <w:rsid w:val="00D3484C"/>
    <w:rsid w:val="00D4001F"/>
    <w:rsid w:val="00D76590"/>
    <w:rsid w:val="00D868E7"/>
    <w:rsid w:val="00D93E32"/>
    <w:rsid w:val="00D944DA"/>
    <w:rsid w:val="00D97980"/>
    <w:rsid w:val="00DA0444"/>
    <w:rsid w:val="00DA46C1"/>
    <w:rsid w:val="00DD220B"/>
    <w:rsid w:val="00DE7F43"/>
    <w:rsid w:val="00DF5E53"/>
    <w:rsid w:val="00E0781A"/>
    <w:rsid w:val="00E15130"/>
    <w:rsid w:val="00E34671"/>
    <w:rsid w:val="00E402E1"/>
    <w:rsid w:val="00E45A3D"/>
    <w:rsid w:val="00E5527A"/>
    <w:rsid w:val="00E569C8"/>
    <w:rsid w:val="00E679FF"/>
    <w:rsid w:val="00E70CCC"/>
    <w:rsid w:val="00E839DC"/>
    <w:rsid w:val="00E9454D"/>
    <w:rsid w:val="00E96EFA"/>
    <w:rsid w:val="00EA1789"/>
    <w:rsid w:val="00EA1F41"/>
    <w:rsid w:val="00EA2A70"/>
    <w:rsid w:val="00F071A1"/>
    <w:rsid w:val="00F31163"/>
    <w:rsid w:val="00F71A4D"/>
    <w:rsid w:val="00F728AE"/>
    <w:rsid w:val="00F823C4"/>
    <w:rsid w:val="00FA0F6D"/>
    <w:rsid w:val="00FA3932"/>
    <w:rsid w:val="00FA51F6"/>
    <w:rsid w:val="00FE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667D2998"/>
  <w15:docId w15:val="{ED413216-857C-4801-84DE-9C3CCD15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C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3CE6"/>
    <w:pPr>
      <w:tabs>
        <w:tab w:val="center" w:pos="4320"/>
        <w:tab w:val="right" w:pos="8640"/>
      </w:tabs>
    </w:pPr>
  </w:style>
  <w:style w:type="paragraph" w:styleId="Footer">
    <w:name w:val="footer"/>
    <w:basedOn w:val="Normal"/>
    <w:link w:val="FooterChar"/>
    <w:uiPriority w:val="99"/>
    <w:rsid w:val="00C83CE6"/>
    <w:pPr>
      <w:tabs>
        <w:tab w:val="center" w:pos="4320"/>
        <w:tab w:val="right" w:pos="8640"/>
      </w:tabs>
    </w:pPr>
  </w:style>
  <w:style w:type="character" w:styleId="Hyperlink">
    <w:name w:val="Hyperlink"/>
    <w:uiPriority w:val="99"/>
    <w:unhideWhenUsed/>
    <w:rsid w:val="007A4606"/>
    <w:rPr>
      <w:color w:val="0000FF"/>
      <w:u w:val="single"/>
    </w:rPr>
  </w:style>
  <w:style w:type="paragraph" w:styleId="ListParagraph">
    <w:name w:val="List Paragraph"/>
    <w:basedOn w:val="Normal"/>
    <w:uiPriority w:val="34"/>
    <w:qFormat/>
    <w:rsid w:val="007A460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647078"/>
    <w:rPr>
      <w:rFonts w:ascii="Tahoma" w:hAnsi="Tahoma" w:cs="Tahoma"/>
      <w:sz w:val="16"/>
      <w:szCs w:val="16"/>
    </w:rPr>
  </w:style>
  <w:style w:type="character" w:customStyle="1" w:styleId="BalloonTextChar">
    <w:name w:val="Balloon Text Char"/>
    <w:link w:val="BalloonText"/>
    <w:rsid w:val="00647078"/>
    <w:rPr>
      <w:rFonts w:ascii="Tahoma" w:hAnsi="Tahoma" w:cs="Tahoma"/>
      <w:sz w:val="16"/>
      <w:szCs w:val="16"/>
    </w:rPr>
  </w:style>
  <w:style w:type="character" w:styleId="CommentReference">
    <w:name w:val="annotation reference"/>
    <w:basedOn w:val="DefaultParagraphFont"/>
    <w:rsid w:val="002D3535"/>
    <w:rPr>
      <w:sz w:val="16"/>
      <w:szCs w:val="16"/>
    </w:rPr>
  </w:style>
  <w:style w:type="paragraph" w:styleId="CommentText">
    <w:name w:val="annotation text"/>
    <w:basedOn w:val="Normal"/>
    <w:link w:val="CommentTextChar"/>
    <w:rsid w:val="002D3535"/>
    <w:rPr>
      <w:sz w:val="20"/>
      <w:szCs w:val="20"/>
    </w:rPr>
  </w:style>
  <w:style w:type="character" w:customStyle="1" w:styleId="CommentTextChar">
    <w:name w:val="Comment Text Char"/>
    <w:basedOn w:val="DefaultParagraphFont"/>
    <w:link w:val="CommentText"/>
    <w:rsid w:val="002D3535"/>
  </w:style>
  <w:style w:type="paragraph" w:styleId="CommentSubject">
    <w:name w:val="annotation subject"/>
    <w:basedOn w:val="CommentText"/>
    <w:next w:val="CommentText"/>
    <w:link w:val="CommentSubjectChar"/>
    <w:rsid w:val="002D3535"/>
    <w:rPr>
      <w:b/>
      <w:bCs/>
    </w:rPr>
  </w:style>
  <w:style w:type="character" w:customStyle="1" w:styleId="CommentSubjectChar">
    <w:name w:val="Comment Subject Char"/>
    <w:basedOn w:val="CommentTextChar"/>
    <w:link w:val="CommentSubject"/>
    <w:rsid w:val="002D3535"/>
    <w:rPr>
      <w:b/>
      <w:bCs/>
    </w:rPr>
  </w:style>
  <w:style w:type="numbering" w:customStyle="1" w:styleId="Style1">
    <w:name w:val="Style1"/>
    <w:uiPriority w:val="99"/>
    <w:rsid w:val="0050336C"/>
    <w:pPr>
      <w:numPr>
        <w:numId w:val="6"/>
      </w:numPr>
    </w:pPr>
  </w:style>
  <w:style w:type="character" w:styleId="FollowedHyperlink">
    <w:name w:val="FollowedHyperlink"/>
    <w:basedOn w:val="DefaultParagraphFont"/>
    <w:rsid w:val="00B10810"/>
    <w:rPr>
      <w:color w:val="800080" w:themeColor="followedHyperlink"/>
      <w:u w:val="single"/>
    </w:rPr>
  </w:style>
  <w:style w:type="character" w:customStyle="1" w:styleId="FooterChar">
    <w:name w:val="Footer Char"/>
    <w:basedOn w:val="DefaultParagraphFont"/>
    <w:link w:val="Footer"/>
    <w:uiPriority w:val="99"/>
    <w:rsid w:val="00AB61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167264">
      <w:bodyDiv w:val="1"/>
      <w:marLeft w:val="0"/>
      <w:marRight w:val="0"/>
      <w:marTop w:val="0"/>
      <w:marBottom w:val="0"/>
      <w:divBdr>
        <w:top w:val="none" w:sz="0" w:space="0" w:color="auto"/>
        <w:left w:val="none" w:sz="0" w:space="0" w:color="auto"/>
        <w:bottom w:val="none" w:sz="0" w:space="0" w:color="auto"/>
        <w:right w:val="none" w:sz="0" w:space="0" w:color="auto"/>
      </w:divBdr>
    </w:div>
    <w:div w:id="1137213357">
      <w:bodyDiv w:val="1"/>
      <w:marLeft w:val="0"/>
      <w:marRight w:val="0"/>
      <w:marTop w:val="0"/>
      <w:marBottom w:val="0"/>
      <w:divBdr>
        <w:top w:val="none" w:sz="0" w:space="0" w:color="auto"/>
        <w:left w:val="none" w:sz="0" w:space="0" w:color="auto"/>
        <w:bottom w:val="none" w:sz="0" w:space="0" w:color="auto"/>
        <w:right w:val="none" w:sz="0" w:space="0" w:color="auto"/>
      </w:divBdr>
    </w:div>
    <w:div w:id="174418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0A732-8370-4A5F-994F-C507B39C62AF}"/>
</file>

<file path=customXml/itemProps2.xml><?xml version="1.0" encoding="utf-8"?>
<ds:datastoreItem xmlns:ds="http://schemas.openxmlformats.org/officeDocument/2006/customXml" ds:itemID="{9437E2D2-3377-49CF-ACBB-8CE6926F3E39}">
  <ds:schemaRefs>
    <ds:schemaRef ds:uri="http://schemas.microsoft.com/office/2006/metadata/properties"/>
    <ds:schemaRef ds:uri="http://schemas.microsoft.com/sharepoint/v4"/>
    <ds:schemaRef ds:uri="1019005c-580f-42ae-adec-ba9490377f66"/>
  </ds:schemaRefs>
</ds:datastoreItem>
</file>

<file path=customXml/itemProps3.xml><?xml version="1.0" encoding="utf-8"?>
<ds:datastoreItem xmlns:ds="http://schemas.openxmlformats.org/officeDocument/2006/customXml" ds:itemID="{90830DF4-C9CE-49BD-9A08-9B1A7562B751}">
  <ds:schemaRefs>
    <ds:schemaRef ds:uri="http://schemas.microsoft.com/sharepoint/v3/contenttype/forms"/>
  </ds:schemaRefs>
</ds:datastoreItem>
</file>

<file path=customXml/itemProps4.xml><?xml version="1.0" encoding="utf-8"?>
<ds:datastoreItem xmlns:ds="http://schemas.openxmlformats.org/officeDocument/2006/customXml" ds:itemID="{464FFF69-CFCE-4561-A28E-9E3F3636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8447ED9C.dotm</Template>
  <TotalTime>63</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DLMS V6 Change 8 Letter</vt:lpstr>
    </vt:vector>
  </TitlesOfParts>
  <Company>DoD</Company>
  <LinksUpToDate>false</LinksUpToDate>
  <CharactersWithSpaces>5298</CharactersWithSpaces>
  <SharedDoc>false</SharedDoc>
  <HLinks>
    <vt:vector size="12" baseType="variant">
      <vt:variant>
        <vt:i4>6946910</vt:i4>
      </vt:variant>
      <vt:variant>
        <vt:i4>3</vt:i4>
      </vt:variant>
      <vt:variant>
        <vt:i4>0</vt:i4>
      </vt:variant>
      <vt:variant>
        <vt:i4>5</vt:i4>
      </vt:variant>
      <vt:variant>
        <vt:lpwstr>http://www.dla.mil/j-6/dlmso/eLibrary/Manuals/DLMS/formal_changes.asp</vt:lpwstr>
      </vt:variant>
      <vt:variant>
        <vt:lpwstr/>
      </vt:variant>
      <vt:variant>
        <vt:i4>8060945</vt:i4>
      </vt:variant>
      <vt:variant>
        <vt:i4>0</vt:i4>
      </vt:variant>
      <vt:variant>
        <vt:i4>0</vt:i4>
      </vt:variant>
      <vt:variant>
        <vt:i4>5</vt:i4>
      </vt:variant>
      <vt:variant>
        <vt:lpwstr>http://www2.dla.mil/j-6/dlmso/elibrary/manuals/dlm/dlm_pubs.asp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DLMS V6 Change 9 Letter</dc:title>
  <dc:creator>Larry.Tanner.ctr@dla.mil</dc:creator>
  <cp:lastModifiedBy>Nguyen, Bao X CTR DLA INFO OPERATIONS (US)</cp:lastModifiedBy>
  <cp:revision>14</cp:revision>
  <cp:lastPrinted>2016-01-20T17:33:00Z</cp:lastPrinted>
  <dcterms:created xsi:type="dcterms:W3CDTF">2017-07-24T17:33:00Z</dcterms:created>
  <dcterms:modified xsi:type="dcterms:W3CDTF">2017-10-31T15:03:00Z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Order">
    <vt:r8>31400</vt:r8>
  </property>
  <property fmtid="{D5CDD505-2E9C-101B-9397-08002B2CF9AE}" pid="4" name="xd_ProgID">
    <vt:lpwstr/>
  </property>
  <property fmtid="{D5CDD505-2E9C-101B-9397-08002B2CF9AE}" pid="5" name="TemplateUrl">
    <vt:lpwstr/>
  </property>
</Properties>
</file>