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7CDFD" w14:textId="77777777" w:rsidR="00A103DB" w:rsidRDefault="00160F5A" w:rsidP="00A103DB">
      <w:pPr>
        <w:pStyle w:val="Heading1"/>
      </w:pPr>
      <w:r>
        <w:t>DLMS Enhancement File</w:t>
      </w:r>
    </w:p>
    <w:p w14:paraId="27B7CDFE" w14:textId="7C3EB658" w:rsidR="00B16750" w:rsidRDefault="00A103DB" w:rsidP="00B16750">
      <w:pPr>
        <w:ind w:firstLine="720"/>
      </w:pPr>
      <w:r>
        <w:t xml:space="preserve">DLMS </w:t>
      </w:r>
      <w:r w:rsidR="00C5170F">
        <w:t>Implementation Convention (IC)</w:t>
      </w:r>
      <w:r w:rsidR="000A094F">
        <w:t>:</w:t>
      </w:r>
      <w:r>
        <w:t xml:space="preserve"> </w:t>
      </w:r>
      <w:r w:rsidR="000A094F">
        <w:tab/>
      </w:r>
      <w:r w:rsidR="00667EFE">
        <w:t>567C</w:t>
      </w:r>
    </w:p>
    <w:p w14:paraId="27B7CDFF"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4010</w:t>
      </w:r>
    </w:p>
    <w:p w14:paraId="27B7CE00" w14:textId="77777777" w:rsidR="00C13A2B" w:rsidRDefault="00C13A2B" w:rsidP="00B16750">
      <w:pPr>
        <w:ind w:firstLine="720"/>
      </w:pPr>
      <w:r>
        <w:t>Change Log:</w:t>
      </w:r>
    </w:p>
    <w:p w14:paraId="27B7CE01"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27B7CE02" w14:textId="77777777" w:rsidR="00B16750" w:rsidRPr="00CF2775" w:rsidRDefault="00546535" w:rsidP="00C13A2B">
      <w:pPr>
        <w:ind w:left="720" w:firstLine="720"/>
      </w:pPr>
      <w:r w:rsidRPr="00CF2775">
        <w:t>Jan. 14</w:t>
      </w:r>
      <w:r w:rsidR="00B16750" w:rsidRPr="00CF2775">
        <w:t>, 201</w:t>
      </w:r>
      <w:r w:rsidRPr="00CF2775">
        <w:t>3</w:t>
      </w:r>
      <w:r w:rsidR="00C13A2B" w:rsidRPr="00CF2775">
        <w:tab/>
      </w:r>
      <w:r w:rsidR="00C13A2B" w:rsidRPr="00CF2775">
        <w:tab/>
        <w:t>Reformatted file based on recommendations from update proj</w:t>
      </w:r>
      <w:r w:rsidR="00306397" w:rsidRPr="00CF2775">
        <w:t>e</w:t>
      </w:r>
      <w:r w:rsidR="00C13A2B" w:rsidRPr="00CF2775">
        <w:t>ct team</w:t>
      </w:r>
    </w:p>
    <w:p w14:paraId="27B7CE03" w14:textId="1B5451D9" w:rsidR="00C13A2B" w:rsidRPr="00CF2775" w:rsidRDefault="00943E3A" w:rsidP="00B16750">
      <w:pPr>
        <w:ind w:firstLine="720"/>
      </w:pPr>
      <w:r w:rsidRPr="00CF2775">
        <w:tab/>
        <w:t>July 08, 2015</w:t>
      </w:r>
      <w:r w:rsidRPr="00CF2775">
        <w:tab/>
      </w:r>
      <w:r w:rsidRPr="00CF2775">
        <w:tab/>
        <w:t>Added ADC 1163 DLMS Enhancements</w:t>
      </w:r>
    </w:p>
    <w:p w14:paraId="0CD4A5D6" w14:textId="0BB3D0F2" w:rsidR="00CF2775" w:rsidRDefault="00CF2775" w:rsidP="00B16750">
      <w:pPr>
        <w:ind w:firstLine="720"/>
      </w:pPr>
      <w:r>
        <w:rPr>
          <w:color w:val="FF0000"/>
        </w:rPr>
        <w:tab/>
        <w:t>Sept. 14, 2016</w:t>
      </w:r>
      <w:r>
        <w:rPr>
          <w:color w:val="FF0000"/>
        </w:rPr>
        <w:tab/>
      </w:r>
      <w:r>
        <w:rPr>
          <w:color w:val="FF0000"/>
        </w:rPr>
        <w:tab/>
        <w:t>Added ADC 1161 DLMS Enhancements</w:t>
      </w:r>
    </w:p>
    <w:p w14:paraId="27B7CE04" w14:textId="77777777" w:rsidR="00A103DB" w:rsidRDefault="00A103DB" w:rsidP="00B16750">
      <w:pPr>
        <w:pStyle w:val="Heading1"/>
      </w:pPr>
      <w:r>
        <w:t xml:space="preserve">Introductory </w:t>
      </w:r>
      <w:r w:rsidR="00CF709A">
        <w:t>N</w:t>
      </w:r>
      <w:r>
        <w:t xml:space="preserve">otes: </w:t>
      </w:r>
    </w:p>
    <w:p w14:paraId="27B7CE05" w14:textId="7BA21086" w:rsidR="00A103DB" w:rsidRDefault="00A103DB" w:rsidP="00A103DB">
      <w:r>
        <w:t xml:space="preserve">DLMS </w:t>
      </w:r>
      <w:r w:rsidR="00CF709A">
        <w:t>E</w:t>
      </w:r>
      <w:r>
        <w:t>nhancements are capabilities</w:t>
      </w:r>
      <w:r w:rsidR="00CF709A">
        <w:t xml:space="preserve"> </w:t>
      </w:r>
      <w:r w:rsidR="000A094F">
        <w:t>(</w:t>
      </w:r>
      <w:r w:rsidR="00CF709A">
        <w:t xml:space="preserve">such as the exchange of </w:t>
      </w:r>
      <w:r w:rsidR="00C5170F">
        <w:t xml:space="preserve">item unique identification </w:t>
      </w:r>
      <w:r w:rsidR="00CF709A">
        <w:t>(IUID)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27B7CE06" w14:textId="77777777" w:rsidR="00B16750" w:rsidRDefault="00B16750" w:rsidP="00A103DB"/>
    <w:p w14:paraId="27B7CE07" w14:textId="0A5F5190" w:rsidR="00B16750" w:rsidRDefault="00B16750" w:rsidP="00A103DB">
      <w:r>
        <w:t xml:space="preserve">As the components within the logistics domain need new enhanced capabilities, they are added to the DLMS </w:t>
      </w:r>
      <w:r w:rsidR="00C5170F">
        <w:t xml:space="preserve">Implementation Convention (IC) </w:t>
      </w:r>
      <w:r>
        <w:t xml:space="preserve">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 Supplement:</w:t>
      </w:r>
    </w:p>
    <w:p w14:paraId="27B7CE08" w14:textId="77777777" w:rsidR="00114B96" w:rsidRDefault="00114B96" w:rsidP="00667EFE">
      <w:pPr>
        <w:keepNext w:val="0"/>
        <w:spacing w:before="20" w:after="20"/>
        <w:ind w:left="360"/>
      </w:pPr>
    </w:p>
    <w:p w14:paraId="27B7CE09" w14:textId="0E726A36" w:rsidR="0006743A" w:rsidRDefault="000A094F" w:rsidP="000A094F">
      <w:pPr>
        <w:keepNext w:val="0"/>
      </w:pPr>
      <w:r>
        <w:t xml:space="preserve">The table below documents the DLMS Enhancements in this </w:t>
      </w:r>
      <w:r w:rsidR="00C5170F">
        <w:t>DLMS IC</w:t>
      </w:r>
      <w:r>
        <w:t xml:space="preserve">, specifying the location in the </w:t>
      </w:r>
      <w:r w:rsidR="00C5170F">
        <w:t>DLMS IC</w:t>
      </w:r>
      <w:r>
        <w:t xml:space="preserve"> where the enhancement is </w:t>
      </w:r>
      <w:r w:rsidR="00612466">
        <w:t xml:space="preserve">located, what data in the </w:t>
      </w:r>
      <w:r w:rsidR="00C5170F">
        <w:t>DLMS IC</w:t>
      </w:r>
      <w:r w:rsidR="00612466">
        <w:t xml:space="preserve"> 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C5170F">
        <w:rPr>
          <w:strike/>
          <w:color w:val="FF0000"/>
        </w:rPr>
        <w:t>strikethroughs</w:t>
      </w:r>
      <w:r w:rsidR="006D039C" w:rsidRPr="00C5170F">
        <w:rPr>
          <w:strike/>
        </w:rPr>
        <w:t>.</w:t>
      </w:r>
      <w:r w:rsidR="006D039C">
        <w:t xml:space="preserve"> </w:t>
      </w:r>
    </w:p>
    <w:p w14:paraId="27B7CE0A" w14:textId="77777777" w:rsidR="00F51584" w:rsidRDefault="00F51584" w:rsidP="00CF709A"/>
    <w:p w14:paraId="60D7FE4D" w14:textId="102DBAAF" w:rsidR="00CF2775" w:rsidRDefault="00CF2775" w:rsidP="00CF2775">
      <w:pPr>
        <w:pStyle w:val="ListParagraph"/>
        <w:keepNext w:val="0"/>
        <w:numPr>
          <w:ilvl w:val="0"/>
          <w:numId w:val="1"/>
        </w:numPr>
        <w:contextualSpacing w:val="0"/>
        <w:rPr>
          <w:color w:val="FF0000"/>
        </w:rPr>
      </w:pPr>
      <w:r w:rsidRPr="00CF2775">
        <w:rPr>
          <w:color w:val="FF0000"/>
        </w:rPr>
        <w:t>ADC 1161, Update uniform Procurement Instrument Identifier (PIID) numbering system in the Federal/DLMS Implementation Conventions and DLMS Manuals (Supply/Contract Administration)</w:t>
      </w:r>
    </w:p>
    <w:p w14:paraId="631E9F78" w14:textId="79C27C9A" w:rsidR="00943E3A" w:rsidRPr="00CF2775" w:rsidRDefault="00943E3A" w:rsidP="00041E61">
      <w:pPr>
        <w:pStyle w:val="ListParagraph"/>
        <w:numPr>
          <w:ilvl w:val="0"/>
          <w:numId w:val="1"/>
        </w:numPr>
      </w:pPr>
      <w:r w:rsidRPr="00CF2775">
        <w:t xml:space="preserve">ADC </w:t>
      </w:r>
      <w:r w:rsidR="00CF2775" w:rsidRPr="00CF2775">
        <w:t>1163, Automated</w:t>
      </w:r>
      <w:r w:rsidRPr="00CF2775">
        <w:t xml:space="preserve"> Contract Closeout using the DLMS 567C and Update Non-Automated Contract Closeout Procedures using the DLMS 567C (Supply/Contract Administration /Finance)</w:t>
      </w:r>
    </w:p>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667EFE" w:rsidRPr="00D55EDA" w14:paraId="27B7CE10" w14:textId="77777777" w:rsidTr="00667EFE">
        <w:trPr>
          <w:cantSplit/>
          <w:tblHeader/>
        </w:trPr>
        <w:tc>
          <w:tcPr>
            <w:tcW w:w="1529" w:type="dxa"/>
            <w:tcBorders>
              <w:bottom w:val="single" w:sz="4" w:space="0" w:color="auto"/>
            </w:tcBorders>
            <w:shd w:val="clear" w:color="auto" w:fill="FFCC99"/>
            <w:tcMar>
              <w:top w:w="0" w:type="dxa"/>
              <w:left w:w="58" w:type="dxa"/>
              <w:bottom w:w="0" w:type="dxa"/>
              <w:right w:w="58" w:type="dxa"/>
            </w:tcMar>
          </w:tcPr>
          <w:p w14:paraId="27B7CE0B" w14:textId="77777777" w:rsidR="00667EFE" w:rsidRPr="00D55EDA" w:rsidRDefault="00667EFE" w:rsidP="00667EFE">
            <w:pPr>
              <w:keepNext w:val="0"/>
              <w:pageBreakBefore/>
              <w:spacing w:before="40" w:after="40"/>
              <w:jc w:val="center"/>
              <w:rPr>
                <w:sz w:val="20"/>
                <w:szCs w:val="20"/>
              </w:rPr>
            </w:pPr>
            <w:r w:rsidRPr="00D55EDA">
              <w:rPr>
                <w:sz w:val="20"/>
                <w:szCs w:val="20"/>
              </w:rPr>
              <w:lastRenderedPageBreak/>
              <w:t>DS #</w:t>
            </w:r>
          </w:p>
        </w:tc>
        <w:tc>
          <w:tcPr>
            <w:tcW w:w="1982" w:type="dxa"/>
            <w:tcBorders>
              <w:bottom w:val="single" w:sz="4" w:space="0" w:color="auto"/>
            </w:tcBorders>
            <w:shd w:val="clear" w:color="auto" w:fill="FFCC99"/>
            <w:tcMar>
              <w:top w:w="0" w:type="dxa"/>
              <w:left w:w="58" w:type="dxa"/>
              <w:bottom w:w="0" w:type="dxa"/>
              <w:right w:w="58" w:type="dxa"/>
            </w:tcMar>
          </w:tcPr>
          <w:p w14:paraId="27B7CE0C" w14:textId="77777777" w:rsidR="00667EFE" w:rsidRPr="00D55EDA" w:rsidRDefault="00667EFE" w:rsidP="00667EFE">
            <w:pPr>
              <w:keepNext w:val="0"/>
              <w:spacing w:before="40" w:after="40"/>
              <w:jc w:val="center"/>
              <w:rPr>
                <w:sz w:val="20"/>
                <w:szCs w:val="20"/>
              </w:rPr>
            </w:pPr>
            <w:r w:rsidRPr="00D55EDA">
              <w:rPr>
                <w:sz w:val="20"/>
                <w:szCs w:val="20"/>
              </w:rPr>
              <w:t>Location</w:t>
            </w:r>
          </w:p>
        </w:tc>
        <w:tc>
          <w:tcPr>
            <w:tcW w:w="2970" w:type="dxa"/>
            <w:tcBorders>
              <w:bottom w:val="single" w:sz="4" w:space="0" w:color="auto"/>
            </w:tcBorders>
            <w:shd w:val="clear" w:color="auto" w:fill="FFCC99"/>
            <w:tcMar>
              <w:top w:w="0" w:type="dxa"/>
              <w:left w:w="58" w:type="dxa"/>
              <w:bottom w:w="0" w:type="dxa"/>
              <w:right w:w="58" w:type="dxa"/>
            </w:tcMar>
          </w:tcPr>
          <w:p w14:paraId="27B7CE0D" w14:textId="77777777" w:rsidR="00667EFE" w:rsidRPr="00D55EDA" w:rsidRDefault="00667EFE" w:rsidP="00667EFE">
            <w:pPr>
              <w:keepNext w:val="0"/>
              <w:spacing w:before="40" w:after="40"/>
              <w:jc w:val="center"/>
              <w:rPr>
                <w:sz w:val="20"/>
                <w:szCs w:val="20"/>
              </w:rPr>
            </w:pPr>
            <w:r w:rsidRPr="00D55EDA">
              <w:rPr>
                <w:sz w:val="20"/>
                <w:szCs w:val="20"/>
              </w:rPr>
              <w:t>Enhancement Entry</w:t>
            </w:r>
          </w:p>
        </w:tc>
        <w:tc>
          <w:tcPr>
            <w:tcW w:w="5128" w:type="dxa"/>
            <w:tcBorders>
              <w:bottom w:val="single" w:sz="4" w:space="0" w:color="auto"/>
            </w:tcBorders>
            <w:shd w:val="clear" w:color="auto" w:fill="FFCC99"/>
            <w:tcMar>
              <w:top w:w="0" w:type="dxa"/>
              <w:left w:w="58" w:type="dxa"/>
              <w:bottom w:w="0" w:type="dxa"/>
              <w:right w:w="58" w:type="dxa"/>
            </w:tcMar>
          </w:tcPr>
          <w:p w14:paraId="27B7CE0E" w14:textId="77777777" w:rsidR="00667EFE" w:rsidRPr="00D55EDA" w:rsidRDefault="00667EFE" w:rsidP="00667EFE">
            <w:pPr>
              <w:keepNext w:val="0"/>
              <w:spacing w:before="40" w:after="40"/>
              <w:jc w:val="center"/>
              <w:rPr>
                <w:sz w:val="20"/>
                <w:szCs w:val="20"/>
              </w:rPr>
            </w:pPr>
            <w:r w:rsidRPr="00D55EDA">
              <w:rPr>
                <w:sz w:val="20"/>
                <w:szCs w:val="20"/>
              </w:rPr>
              <w:t>DLMS Note</w:t>
            </w:r>
          </w:p>
        </w:tc>
        <w:tc>
          <w:tcPr>
            <w:tcW w:w="3061" w:type="dxa"/>
            <w:tcBorders>
              <w:bottom w:val="single" w:sz="4" w:space="0" w:color="auto"/>
            </w:tcBorders>
            <w:shd w:val="clear" w:color="auto" w:fill="FFCC99"/>
            <w:tcMar>
              <w:top w:w="0" w:type="dxa"/>
              <w:left w:w="58" w:type="dxa"/>
              <w:bottom w:w="0" w:type="dxa"/>
              <w:right w:w="58" w:type="dxa"/>
            </w:tcMar>
          </w:tcPr>
          <w:p w14:paraId="27B7CE0F" w14:textId="77777777" w:rsidR="00667EFE" w:rsidRPr="00D55EDA" w:rsidRDefault="00667EFE" w:rsidP="00667EFE">
            <w:pPr>
              <w:keepNext w:val="0"/>
              <w:spacing w:before="40" w:after="40"/>
              <w:jc w:val="center"/>
              <w:rPr>
                <w:sz w:val="20"/>
                <w:szCs w:val="20"/>
              </w:rPr>
            </w:pPr>
            <w:r w:rsidRPr="00D55EDA">
              <w:rPr>
                <w:sz w:val="20"/>
                <w:szCs w:val="20"/>
              </w:rPr>
              <w:t>Comment</w:t>
            </w:r>
          </w:p>
        </w:tc>
      </w:tr>
      <w:tr w:rsidR="00CF2775" w:rsidRPr="00CF2775" w14:paraId="4B4439A6" w14:textId="77777777" w:rsidTr="00667EFE">
        <w:tblPrEx>
          <w:shd w:val="clear" w:color="auto" w:fill="FFFFFF" w:themeFill="background1"/>
        </w:tblPrEx>
        <w:trPr>
          <w:cantSplit/>
        </w:trPr>
        <w:tc>
          <w:tcPr>
            <w:tcW w:w="1529" w:type="dxa"/>
            <w:vMerge w:val="restart"/>
            <w:shd w:val="clear" w:color="auto" w:fill="FFFFFF" w:themeFill="background1"/>
            <w:tcMar>
              <w:top w:w="0" w:type="dxa"/>
              <w:left w:w="58" w:type="dxa"/>
              <w:bottom w:w="0" w:type="dxa"/>
              <w:right w:w="58" w:type="dxa"/>
            </w:tcMar>
          </w:tcPr>
          <w:p w14:paraId="63D8CB65" w14:textId="365865C3" w:rsidR="00C5170F" w:rsidRPr="00CF2775" w:rsidRDefault="00C5170F" w:rsidP="003F32E0">
            <w:pPr>
              <w:keepNext w:val="0"/>
              <w:spacing w:before="20" w:after="20"/>
              <w:rPr>
                <w:sz w:val="20"/>
                <w:szCs w:val="20"/>
              </w:rPr>
            </w:pPr>
            <w:r w:rsidRPr="00CF2775">
              <w:rPr>
                <w:sz w:val="20"/>
                <w:szCs w:val="20"/>
              </w:rPr>
              <w:t>4010 567C</w:t>
            </w:r>
          </w:p>
        </w:tc>
        <w:tc>
          <w:tcPr>
            <w:tcW w:w="1982" w:type="dxa"/>
            <w:tcBorders>
              <w:bottom w:val="single" w:sz="4" w:space="0" w:color="auto"/>
            </w:tcBorders>
            <w:shd w:val="clear" w:color="auto" w:fill="FFFFFF" w:themeFill="background1"/>
            <w:tcMar>
              <w:top w:w="0" w:type="dxa"/>
              <w:left w:w="58" w:type="dxa"/>
              <w:bottom w:w="0" w:type="dxa"/>
              <w:right w:w="58" w:type="dxa"/>
            </w:tcMar>
          </w:tcPr>
          <w:p w14:paraId="0EFFC5E0" w14:textId="7F15EDA6" w:rsidR="00C5170F" w:rsidRPr="00CF2775" w:rsidRDefault="00C5170F" w:rsidP="003F32E0">
            <w:pPr>
              <w:keepNext w:val="0"/>
              <w:spacing w:before="20" w:after="20"/>
              <w:rPr>
                <w:sz w:val="20"/>
                <w:szCs w:val="20"/>
              </w:rPr>
            </w:pPr>
            <w:r w:rsidRPr="00CF2775">
              <w:rPr>
                <w:sz w:val="20"/>
                <w:szCs w:val="20"/>
              </w:rPr>
              <w:t>DLMS Introductory Notes</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556D03C" w14:textId="77777777" w:rsidR="00C5170F" w:rsidRPr="00CF2775" w:rsidRDefault="00C5170F" w:rsidP="003F32E0">
            <w:pPr>
              <w:keepNext w:val="0"/>
              <w:spacing w:before="20" w:after="20"/>
              <w:rPr>
                <w:sz w:val="20"/>
                <w:szCs w:val="20"/>
              </w:rPr>
            </w:pPr>
          </w:p>
        </w:tc>
        <w:tc>
          <w:tcPr>
            <w:tcW w:w="5128" w:type="dxa"/>
            <w:tcBorders>
              <w:bottom w:val="single" w:sz="4" w:space="0" w:color="auto"/>
            </w:tcBorders>
            <w:shd w:val="clear" w:color="auto" w:fill="FFFFFF" w:themeFill="background1"/>
            <w:tcMar>
              <w:top w:w="0" w:type="dxa"/>
              <w:left w:w="58" w:type="dxa"/>
              <w:bottom w:w="0" w:type="dxa"/>
              <w:right w:w="58" w:type="dxa"/>
            </w:tcMar>
          </w:tcPr>
          <w:p w14:paraId="6E7F4790" w14:textId="5FC29F1C" w:rsidR="00C5170F" w:rsidRPr="00CF2775" w:rsidRDefault="00943E3A" w:rsidP="00943E3A">
            <w:pPr>
              <w:keepNext w:val="0"/>
              <w:spacing w:before="20" w:after="20"/>
              <w:rPr>
                <w:sz w:val="20"/>
                <w:szCs w:val="20"/>
              </w:rPr>
            </w:pPr>
            <w:r w:rsidRPr="00CF2775">
              <w:rPr>
                <w:sz w:val="20"/>
                <w:szCs w:val="20"/>
              </w:rPr>
              <w:t>1. Contract Administration Offices (CAOs) use this transaction set to report to Purchasing Offices (POs), EDA, and financial systems, both closed and unclosed contract file status.  POs use this transaction set to request CAOs delay contract file closing.  POs use this transaction to report closed status to EDA and financial systems where the POs retain contract administration.  Contract file closings are dependent upon contract face values and the attendant administrative costs associated with such contract file closings.</w:t>
            </w:r>
            <w:r w:rsidRPr="00CF2775">
              <w:rPr>
                <w:sz w:val="20"/>
                <w:szCs w:val="20"/>
              </w:rPr>
              <w:br/>
              <w:t>2. Use a single occurrence of this transaction set to transmit a final contract completion statement for small purchases (usually without payment data), an interim contract completion statement for large purchases (with or without payment data), a final contract completion statement for large purchases (must include payment data) to the PO, EDA, and financial systems, a CAO extension of contract closing to the PO, or a PO request to the CAO for contract closing extension for specified periods of time, or an automated contract closeout systemically generated, such as by Wide Area Workflow. Each 567C transaction set may contain only one (1) of the five reports stated above, to include cancellations thereof.  Multiple contract reports are not permitted.</w:t>
            </w:r>
            <w:r w:rsidRPr="00CF2775">
              <w:rPr>
                <w:sz w:val="20"/>
                <w:szCs w:val="20"/>
              </w:rPr>
              <w:br/>
              <w:t>3. Use only the ST, BC, 1/N1/030, G61, CS, LM, LQ, and SE segments when cancelling a previously transmitted contract completion status report.</w:t>
            </w:r>
            <w:r w:rsidRPr="00CF2775">
              <w:rPr>
                <w:sz w:val="20"/>
                <w:szCs w:val="20"/>
              </w:rPr>
              <w:br/>
              <w:t>4. DoD logistics users should refer to the Defense Logistics Management Standards (DLMS) Implementation Convention (IC) available at URL: http://www.dla.mil/j-6/dlmso. The DLMS IC provides specific business rules, conditions, and authorized codes necessary for appropriate use of this IC within the DLMS.</w:t>
            </w:r>
            <w:r w:rsidRPr="00CF2775">
              <w:rPr>
                <w:sz w:val="20"/>
                <w:szCs w:val="20"/>
              </w:rPr>
              <w:br/>
              <w:t>5. Users operating under the Defense Logistics Management Standards (DLMS) must reference the Unit of Issue and Purchase Unit Conversion Table, Transportation Mode of Shipment Conversion Table, and the Accounting Classification Appendix which can be found on the Defense Logistics Management Standards Office We site at http://www.dla.mil/j-6/dlmso.</w:t>
            </w:r>
            <w:r w:rsidRPr="00CF2775">
              <w:rPr>
                <w:sz w:val="20"/>
                <w:szCs w:val="20"/>
              </w:rPr>
              <w:br/>
              <w:t>6. This DLMS Implementation Convention contains:</w:t>
            </w:r>
            <w:r w:rsidRPr="00CF2775">
              <w:rPr>
                <w:sz w:val="20"/>
                <w:szCs w:val="20"/>
              </w:rPr>
              <w:br/>
              <w:t>a. Data associated with a DLMS enhancement which may not be received or understood by the recipient's automated processing system.</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23E9613D" w14:textId="5988E83C" w:rsidR="00C5170F" w:rsidRPr="00CF2775" w:rsidRDefault="00943E3A" w:rsidP="00943E3A">
            <w:pPr>
              <w:keepNext w:val="0"/>
              <w:spacing w:before="20" w:after="20"/>
              <w:rPr>
                <w:sz w:val="20"/>
                <w:szCs w:val="20"/>
              </w:rPr>
            </w:pPr>
            <w:r w:rsidRPr="00CF2775">
              <w:rPr>
                <w:sz w:val="20"/>
                <w:szCs w:val="20"/>
              </w:rPr>
              <w:t>(ADC 1163 added to this list on 7/8/15)</w:t>
            </w:r>
          </w:p>
        </w:tc>
      </w:tr>
      <w:tr w:rsidR="00943E3A" w:rsidRPr="00D55EDA" w14:paraId="0940B924"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649D7F3A" w14:textId="77777777" w:rsidR="00943E3A" w:rsidRDefault="00943E3A" w:rsidP="003F32E0">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926CA63" w14:textId="525D1A3B" w:rsidR="00943E3A" w:rsidRDefault="00943E3A" w:rsidP="003F32E0">
            <w:pPr>
              <w:keepNext w:val="0"/>
              <w:spacing w:before="20" w:after="20"/>
              <w:rPr>
                <w:sz w:val="20"/>
                <w:szCs w:val="20"/>
              </w:rPr>
            </w:pPr>
            <w:r>
              <w:rPr>
                <w:sz w:val="20"/>
                <w:szCs w:val="20"/>
              </w:rPr>
              <w:t>DLMS Introductory Notes</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302EE42D" w14:textId="77777777" w:rsidR="00943E3A" w:rsidRPr="00D55EDA" w:rsidRDefault="00943E3A" w:rsidP="003F32E0">
            <w:pPr>
              <w:keepNext w:val="0"/>
              <w:spacing w:before="20" w:after="20"/>
              <w:rPr>
                <w:sz w:val="20"/>
                <w:szCs w:val="20"/>
              </w:rPr>
            </w:pPr>
          </w:p>
        </w:tc>
        <w:tc>
          <w:tcPr>
            <w:tcW w:w="5128" w:type="dxa"/>
            <w:tcBorders>
              <w:bottom w:val="single" w:sz="4" w:space="0" w:color="auto"/>
            </w:tcBorders>
            <w:shd w:val="clear" w:color="auto" w:fill="FFFFFF" w:themeFill="background1"/>
            <w:tcMar>
              <w:top w:w="0" w:type="dxa"/>
              <w:left w:w="58" w:type="dxa"/>
              <w:bottom w:w="0" w:type="dxa"/>
              <w:right w:w="58" w:type="dxa"/>
            </w:tcMar>
          </w:tcPr>
          <w:p w14:paraId="11F44C45" w14:textId="29A068BE" w:rsidR="00943E3A" w:rsidRPr="00943E3A" w:rsidRDefault="00943E3A" w:rsidP="00943E3A">
            <w:pPr>
              <w:keepNext w:val="0"/>
              <w:spacing w:before="20" w:after="20"/>
              <w:rPr>
                <w:color w:val="FF0000"/>
                <w:sz w:val="20"/>
                <w:szCs w:val="20"/>
              </w:rPr>
            </w:pPr>
            <w:r w:rsidRPr="00943E3A">
              <w:rPr>
                <w:sz w:val="20"/>
                <w:szCs w:val="20"/>
              </w:rPr>
              <w:t>DLMS procedures may not have been developed. Components must coordinate requirements and business rules with Defense Logistics Management Standards Office prior to use.</w:t>
            </w:r>
            <w:r w:rsidRPr="00943E3A">
              <w:rPr>
                <w:sz w:val="20"/>
                <w:szCs w:val="20"/>
              </w:rPr>
              <w:br/>
              <w:t>b. Data associated with an Approved Change which may not have an established implementation date. This data may not be received or understood by the recipient's automated processing system. Components must coordinate implementation with Defense Logistics Management Standards Office prior to use.</w:t>
            </w:r>
            <w:r w:rsidRPr="00943E3A">
              <w:rPr>
                <w:sz w:val="20"/>
                <w:szCs w:val="20"/>
              </w:rPr>
              <w:br/>
              <w:t>c. Defense Logistics Standard System (DLSS) data which must be retained in the DLMS for a transition period to support transaction</w:t>
            </w:r>
            <w:r>
              <w:rPr>
                <w:sz w:val="20"/>
                <w:szCs w:val="20"/>
              </w:rPr>
              <w:t xml:space="preserve"> </w:t>
            </w:r>
            <w:r w:rsidRPr="00943E3A">
              <w:rPr>
                <w:sz w:val="20"/>
                <w:szCs w:val="20"/>
              </w:rPr>
              <w:t>conversion in a mixed DLSS/DLMS environment. This data will be streamlined out once full DLMS implementation is reached. Components may coordinate with Defense Logistics Management Standards Office for early termination (or retention) of specific data requirements for users operating in a full DLMS environment.</w:t>
            </w:r>
            <w:r w:rsidRPr="00943E3A">
              <w:rPr>
                <w:sz w:val="20"/>
                <w:szCs w:val="20"/>
              </w:rPr>
              <w:br/>
              <w:t>d. Data elements which have an expanded files size above existing DLSS capability which may not be supported by the recipient's</w:t>
            </w:r>
            <w:r>
              <w:rPr>
                <w:sz w:val="20"/>
                <w:szCs w:val="20"/>
              </w:rPr>
              <w:t xml:space="preserve"> </w:t>
            </w:r>
            <w:r w:rsidRPr="00943E3A">
              <w:rPr>
                <w:sz w:val="20"/>
                <w:szCs w:val="20"/>
              </w:rPr>
              <w:t>automated processing system. Components must coordinate implementation with Defense Logistics Management Standards Office prior to use.</w:t>
            </w:r>
            <w:r w:rsidRPr="00943E3A">
              <w:rPr>
                <w:sz w:val="20"/>
                <w:szCs w:val="20"/>
              </w:rPr>
              <w:br/>
              <w:t>e. Data required to accommodate Component-unique transaction requirements (ex. C-series transactions). Data does not apply to DLSS transactions.</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41EB633" w14:textId="77777777" w:rsidR="00943E3A" w:rsidRPr="00943E3A" w:rsidRDefault="00943E3A" w:rsidP="00943E3A">
            <w:pPr>
              <w:keepNext w:val="0"/>
              <w:spacing w:before="20" w:after="20"/>
              <w:rPr>
                <w:color w:val="FF0000"/>
                <w:sz w:val="20"/>
                <w:szCs w:val="20"/>
              </w:rPr>
            </w:pPr>
          </w:p>
        </w:tc>
      </w:tr>
      <w:tr w:rsidR="00AC7FB0" w:rsidRPr="00D55EDA" w14:paraId="1434EED6"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F6211E6" w14:textId="77777777" w:rsidR="00AC7FB0" w:rsidRPr="00D55EDA" w:rsidRDefault="00AC7FB0" w:rsidP="003F32E0">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40554D64" w14:textId="4DBB37B2" w:rsidR="00AC7FB0" w:rsidRPr="00CF2775" w:rsidRDefault="00AC7FB0" w:rsidP="003F32E0">
            <w:pPr>
              <w:keepNext w:val="0"/>
              <w:spacing w:before="20" w:after="20"/>
              <w:rPr>
                <w:sz w:val="20"/>
                <w:szCs w:val="20"/>
              </w:rPr>
            </w:pPr>
            <w:r w:rsidRPr="00CF2775">
              <w:rPr>
                <w:sz w:val="20"/>
                <w:szCs w:val="20"/>
              </w:rPr>
              <w:t>1/BC07/020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7DE35AE9" w14:textId="77777777" w:rsidR="00AC7FB0" w:rsidRPr="00CF2775" w:rsidRDefault="00AC7FB0" w:rsidP="003F32E0">
            <w:pPr>
              <w:keepNext w:val="0"/>
              <w:spacing w:before="20" w:after="20"/>
              <w:rPr>
                <w:sz w:val="20"/>
                <w:szCs w:val="20"/>
              </w:rPr>
            </w:pPr>
            <w:r w:rsidRPr="00CF2775">
              <w:rPr>
                <w:sz w:val="20"/>
                <w:szCs w:val="20"/>
              </w:rPr>
              <w:t>CL  Closed</w:t>
            </w:r>
          </w:p>
          <w:p w14:paraId="16238CBD" w14:textId="77777777" w:rsidR="00AC7FB0" w:rsidRPr="00CF2775" w:rsidRDefault="00AC7FB0" w:rsidP="003F32E0">
            <w:pPr>
              <w:keepNext w:val="0"/>
              <w:spacing w:before="20" w:after="20"/>
              <w:rPr>
                <w:sz w:val="20"/>
                <w:szCs w:val="20"/>
              </w:rPr>
            </w:pPr>
          </w:p>
          <w:p w14:paraId="6CDAFE4E" w14:textId="77777777" w:rsidR="00AC7FB0" w:rsidRPr="00CF2775" w:rsidRDefault="00AC7FB0" w:rsidP="003F32E0">
            <w:pPr>
              <w:keepNext w:val="0"/>
              <w:spacing w:before="20" w:after="20"/>
              <w:rPr>
                <w:sz w:val="20"/>
                <w:szCs w:val="20"/>
              </w:rPr>
            </w:pPr>
          </w:p>
          <w:p w14:paraId="285AF9C3" w14:textId="77777777" w:rsidR="00AC7FB0" w:rsidRPr="00CF2775" w:rsidRDefault="00AC7FB0" w:rsidP="003F32E0">
            <w:pPr>
              <w:keepNext w:val="0"/>
              <w:spacing w:before="20" w:after="20"/>
              <w:rPr>
                <w:sz w:val="20"/>
                <w:szCs w:val="20"/>
              </w:rPr>
            </w:pPr>
          </w:p>
          <w:p w14:paraId="452C783E" w14:textId="77777777" w:rsidR="00AC7FB0" w:rsidRPr="00CF2775" w:rsidRDefault="00AC7FB0" w:rsidP="003F32E0">
            <w:pPr>
              <w:keepNext w:val="0"/>
              <w:spacing w:before="20" w:after="20"/>
              <w:rPr>
                <w:sz w:val="20"/>
                <w:szCs w:val="20"/>
              </w:rPr>
            </w:pPr>
          </w:p>
          <w:p w14:paraId="560DCA86" w14:textId="77777777" w:rsidR="00AC7FB0" w:rsidRPr="00CF2775" w:rsidRDefault="00AC7FB0" w:rsidP="003F32E0">
            <w:pPr>
              <w:keepNext w:val="0"/>
              <w:spacing w:before="20" w:after="20"/>
              <w:rPr>
                <w:sz w:val="20"/>
                <w:szCs w:val="20"/>
              </w:rPr>
            </w:pPr>
          </w:p>
          <w:p w14:paraId="6A1F5503" w14:textId="77777777" w:rsidR="00AC7FB0" w:rsidRPr="00CF2775" w:rsidRDefault="00AC7FB0" w:rsidP="003F32E0">
            <w:pPr>
              <w:keepNext w:val="0"/>
              <w:spacing w:before="20" w:after="20"/>
              <w:rPr>
                <w:sz w:val="20"/>
                <w:szCs w:val="20"/>
              </w:rPr>
            </w:pPr>
          </w:p>
          <w:p w14:paraId="2386CEF2" w14:textId="4F0D483A" w:rsidR="00AC7FB0" w:rsidRPr="00CF2775" w:rsidRDefault="00AC7FB0" w:rsidP="003F32E0">
            <w:pPr>
              <w:keepNext w:val="0"/>
              <w:spacing w:before="20" w:after="20"/>
              <w:rPr>
                <w:sz w:val="20"/>
                <w:szCs w:val="20"/>
              </w:rPr>
            </w:pPr>
            <w:r w:rsidRPr="00CF2775">
              <w:rPr>
                <w:sz w:val="20"/>
                <w:szCs w:val="20"/>
              </w:rPr>
              <w:t>2  Change (Update)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00789F40" w14:textId="77777777" w:rsidR="00AC7FB0" w:rsidRPr="00CF2775" w:rsidRDefault="00AC7FB0" w:rsidP="00AC7FB0">
            <w:pPr>
              <w:autoSpaceDE w:val="0"/>
              <w:autoSpaceDN w:val="0"/>
              <w:adjustRightInd w:val="0"/>
              <w:rPr>
                <w:sz w:val="20"/>
                <w:szCs w:val="20"/>
              </w:rPr>
            </w:pPr>
            <w:r w:rsidRPr="00CF2775">
              <w:rPr>
                <w:sz w:val="20"/>
                <w:szCs w:val="20"/>
              </w:rPr>
              <w:t>1.  Use to identify a contract closeout action for a contract that qualifies for a system initiated automated contract closeout.</w:t>
            </w:r>
          </w:p>
          <w:p w14:paraId="6D758214" w14:textId="77777777" w:rsidR="00AC7FB0" w:rsidRPr="00CF2775" w:rsidRDefault="00AC7FB0" w:rsidP="00AC7FB0">
            <w:pPr>
              <w:keepNext w:val="0"/>
              <w:rPr>
                <w:sz w:val="20"/>
                <w:szCs w:val="20"/>
              </w:rPr>
            </w:pPr>
            <w:r w:rsidRPr="00CF2775">
              <w:rPr>
                <w:sz w:val="20"/>
                <w:szCs w:val="20"/>
              </w:rPr>
              <w:t xml:space="preserve">2.  For an automated contract closeout, use of CL Closed, acknowledges compliance with the automated contract closeout transactions statement of authority and eligibility for initiation of the automated contract closeout cited in </w:t>
            </w:r>
            <w:hyperlink r:id="rId11" w:history="1">
              <w:r w:rsidRPr="00CF2775">
                <w:rPr>
                  <w:sz w:val="20"/>
                  <w:szCs w:val="20"/>
                </w:rPr>
                <w:t>DLM 4000.25, Volume 7</w:t>
              </w:r>
            </w:hyperlink>
            <w:r w:rsidRPr="00CF2775">
              <w:rPr>
                <w:sz w:val="20"/>
                <w:szCs w:val="20"/>
              </w:rPr>
              <w:t>, Chapter 4, paragraphs C4.11.2  and C4.11.4</w:t>
            </w:r>
          </w:p>
          <w:p w14:paraId="12D8DA86" w14:textId="77777777" w:rsidR="00AC7FB0" w:rsidRPr="00CF2775" w:rsidRDefault="00AC7FB0" w:rsidP="00AC7FB0">
            <w:pPr>
              <w:autoSpaceDE w:val="0"/>
              <w:autoSpaceDN w:val="0"/>
              <w:adjustRightInd w:val="0"/>
              <w:rPr>
                <w:sz w:val="20"/>
                <w:szCs w:val="20"/>
              </w:rPr>
            </w:pPr>
            <w:r w:rsidRPr="00CF2775">
              <w:rPr>
                <w:sz w:val="20"/>
                <w:szCs w:val="20"/>
              </w:rPr>
              <w:t>1.  Use to identify an update to the initial automated contract closeout action. Use with 1/ LQ02/110 Code K for Cancellation.</w:t>
            </w:r>
          </w:p>
          <w:p w14:paraId="05BDD6AF" w14:textId="2443FE81" w:rsidR="00AC7FB0" w:rsidRPr="00CF2775" w:rsidRDefault="00AC7FB0" w:rsidP="00AC7FB0">
            <w:pPr>
              <w:keepNext w:val="0"/>
              <w:rPr>
                <w:sz w:val="20"/>
                <w:szCs w:val="20"/>
              </w:rPr>
            </w:pPr>
            <w:r w:rsidRPr="00CF2775">
              <w:rPr>
                <w:sz w:val="20"/>
                <w:szCs w:val="20"/>
              </w:rPr>
              <w:t>2.  Authorized for use by both system initiated automated closeouts (e.g., iRAPT) and non-automated contract closeout action.</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5EE1B6F6" w14:textId="2AC68111" w:rsidR="00AC7FB0" w:rsidRPr="00CF2775" w:rsidRDefault="00AC7FB0" w:rsidP="003F32E0">
            <w:pPr>
              <w:keepNext w:val="0"/>
              <w:spacing w:before="20" w:after="20"/>
              <w:rPr>
                <w:sz w:val="20"/>
                <w:szCs w:val="20"/>
              </w:rPr>
            </w:pPr>
            <w:r w:rsidRPr="00CF2775">
              <w:rPr>
                <w:sz w:val="20"/>
                <w:szCs w:val="20"/>
              </w:rPr>
              <w:t>(ADC 1163 added to this list on 7/8/15)</w:t>
            </w:r>
          </w:p>
        </w:tc>
      </w:tr>
      <w:tr w:rsidR="00AC7FB0" w:rsidRPr="00D55EDA" w14:paraId="7D33ED2D"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6A23671D" w14:textId="77777777" w:rsidR="00AC7FB0" w:rsidRPr="00D55EDA" w:rsidRDefault="00AC7FB0" w:rsidP="003F32E0">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B37B1E7" w14:textId="7C99435E" w:rsidR="00AC7FB0" w:rsidRPr="00CF2775" w:rsidRDefault="00AC7FB0" w:rsidP="003F32E0">
            <w:pPr>
              <w:keepNext w:val="0"/>
              <w:spacing w:before="20" w:after="20"/>
              <w:rPr>
                <w:sz w:val="20"/>
                <w:szCs w:val="20"/>
              </w:rPr>
            </w:pPr>
            <w:r w:rsidRPr="00CF2775">
              <w:rPr>
                <w:sz w:val="20"/>
                <w:szCs w:val="20"/>
              </w:rPr>
              <w:t>1/N1/030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52B0DA1C" w14:textId="4D8B85CF" w:rsidR="00AC7FB0" w:rsidRPr="00CF2775" w:rsidRDefault="00AC7FB0" w:rsidP="003F32E0">
            <w:pPr>
              <w:keepNext w:val="0"/>
              <w:spacing w:before="20" w:after="20"/>
              <w:rPr>
                <w:sz w:val="20"/>
                <w:szCs w:val="20"/>
              </w:rPr>
            </w:pPr>
            <w:proofErr w:type="spellStart"/>
            <w:r w:rsidRPr="00CF2775">
              <w:rPr>
                <w:sz w:val="20"/>
                <w:szCs w:val="20"/>
              </w:rPr>
              <w:t>Segement</w:t>
            </w:r>
            <w:proofErr w:type="spellEnd"/>
            <w:r w:rsidRPr="00CF2775">
              <w:rPr>
                <w:sz w:val="20"/>
                <w:szCs w:val="20"/>
              </w:rPr>
              <w:t xml:space="preserve"> level note</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65AC534A" w14:textId="321336C6" w:rsidR="00AC7FB0" w:rsidRPr="00CF2775" w:rsidRDefault="00AC7FB0" w:rsidP="00AC7FB0">
            <w:pPr>
              <w:keepNext w:val="0"/>
              <w:spacing w:before="20" w:after="20"/>
              <w:rPr>
                <w:sz w:val="20"/>
                <w:szCs w:val="20"/>
              </w:rPr>
            </w:pPr>
            <w:r w:rsidRPr="00CF2775">
              <w:rPr>
                <w:sz w:val="20"/>
                <w:szCs w:val="20"/>
              </w:rPr>
              <w:t>1. Use in every transaction set to cite the organization originating the transaction set.</w:t>
            </w:r>
            <w:r w:rsidRPr="00CF2775">
              <w:rPr>
                <w:sz w:val="20"/>
                <w:szCs w:val="20"/>
              </w:rPr>
              <w:br/>
              <w:t>2. Use in every transaction set to identify the organization to receive the transaction set.</w:t>
            </w:r>
            <w:r w:rsidRPr="00CF2775">
              <w:rPr>
                <w:sz w:val="20"/>
                <w:szCs w:val="20"/>
              </w:rPr>
              <w:br/>
              <w:t>3. Two occurrences are required in every contract completion status transaction set.</w:t>
            </w:r>
            <w:r w:rsidRPr="00CF2775">
              <w:rPr>
                <w:rStyle w:val="usernoteI"/>
                <w:i/>
                <w:iCs/>
                <w:color w:val="auto"/>
              </w:rPr>
              <w:br/>
            </w:r>
            <w:r w:rsidRPr="00CF2775">
              <w:rPr>
                <w:sz w:val="20"/>
                <w:szCs w:val="20"/>
              </w:rPr>
              <w:t>4. DAAS/GEX will forward an image (copy) of all 567C contract closeout transactions to EDA regardless of the originating system or method of closeout.</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58B2EE69" w14:textId="77777777" w:rsidR="00AC7FB0" w:rsidRPr="00CF2775" w:rsidRDefault="00AC7FB0" w:rsidP="003F32E0">
            <w:pPr>
              <w:keepNext w:val="0"/>
              <w:spacing w:before="20" w:after="20"/>
              <w:rPr>
                <w:sz w:val="20"/>
                <w:szCs w:val="20"/>
              </w:rPr>
            </w:pPr>
          </w:p>
          <w:p w14:paraId="637106F6" w14:textId="77777777" w:rsidR="00AC7FB0" w:rsidRPr="00CF2775" w:rsidRDefault="00AC7FB0" w:rsidP="003F32E0">
            <w:pPr>
              <w:keepNext w:val="0"/>
              <w:spacing w:before="20" w:after="20"/>
              <w:rPr>
                <w:sz w:val="20"/>
                <w:szCs w:val="20"/>
              </w:rPr>
            </w:pPr>
          </w:p>
          <w:p w14:paraId="0224FCE3" w14:textId="77777777" w:rsidR="00AC7FB0" w:rsidRPr="00CF2775" w:rsidRDefault="00AC7FB0" w:rsidP="003F32E0">
            <w:pPr>
              <w:keepNext w:val="0"/>
              <w:spacing w:before="20" w:after="20"/>
              <w:rPr>
                <w:sz w:val="20"/>
                <w:szCs w:val="20"/>
              </w:rPr>
            </w:pPr>
          </w:p>
          <w:p w14:paraId="60064B0F" w14:textId="77777777" w:rsidR="00AC7FB0" w:rsidRPr="00CF2775" w:rsidRDefault="00AC7FB0" w:rsidP="003F32E0">
            <w:pPr>
              <w:keepNext w:val="0"/>
              <w:spacing w:before="20" w:after="20"/>
              <w:rPr>
                <w:sz w:val="20"/>
                <w:szCs w:val="20"/>
              </w:rPr>
            </w:pPr>
          </w:p>
          <w:p w14:paraId="6C7A59F0" w14:textId="77777777" w:rsidR="00AC7FB0" w:rsidRPr="00CF2775" w:rsidRDefault="00AC7FB0" w:rsidP="003F32E0">
            <w:pPr>
              <w:keepNext w:val="0"/>
              <w:spacing w:before="20" w:after="20"/>
              <w:rPr>
                <w:sz w:val="20"/>
                <w:szCs w:val="20"/>
              </w:rPr>
            </w:pPr>
          </w:p>
          <w:p w14:paraId="1F042609" w14:textId="23C812F2" w:rsidR="00AC7FB0" w:rsidRPr="00CF2775" w:rsidRDefault="00AC7FB0" w:rsidP="003F32E0">
            <w:pPr>
              <w:keepNext w:val="0"/>
              <w:spacing w:before="20" w:after="20"/>
              <w:rPr>
                <w:sz w:val="20"/>
                <w:szCs w:val="20"/>
              </w:rPr>
            </w:pPr>
            <w:r w:rsidRPr="00CF2775">
              <w:rPr>
                <w:sz w:val="20"/>
                <w:szCs w:val="20"/>
              </w:rPr>
              <w:t>(ADC 1163 added to this list on 7/8/15)</w:t>
            </w:r>
          </w:p>
        </w:tc>
      </w:tr>
      <w:tr w:rsidR="00AC7FB0" w:rsidRPr="00D55EDA" w14:paraId="476F6DA7"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45EC8112" w14:textId="77777777" w:rsidR="00AC7FB0" w:rsidRPr="00D55EDA" w:rsidRDefault="00AC7FB0" w:rsidP="003F32E0">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1D207A64" w14:textId="18CE8BDE" w:rsidR="00AC7FB0" w:rsidRPr="00CF2775" w:rsidRDefault="00AC7FB0" w:rsidP="003F32E0">
            <w:pPr>
              <w:keepNext w:val="0"/>
              <w:spacing w:before="20" w:after="20"/>
              <w:rPr>
                <w:sz w:val="20"/>
                <w:szCs w:val="20"/>
              </w:rPr>
            </w:pPr>
            <w:r w:rsidRPr="00CF2775">
              <w:rPr>
                <w:sz w:val="20"/>
                <w:szCs w:val="20"/>
              </w:rPr>
              <w:t>1/N101/030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3DD3DA0C" w14:textId="5C380CB2" w:rsidR="00AC7FB0" w:rsidRPr="00CF2775" w:rsidRDefault="00AC7FB0" w:rsidP="00AC7FB0">
            <w:pPr>
              <w:pStyle w:val="CommentText"/>
              <w:rPr>
                <w:rFonts w:ascii="Times New Roman" w:hAnsi="Times New Roman"/>
              </w:rPr>
            </w:pPr>
            <w:r w:rsidRPr="00CF2775">
              <w:rPr>
                <w:rFonts w:ascii="Times New Roman" w:hAnsi="Times New Roman"/>
              </w:rPr>
              <w:t>EM  Party to Receive Electronic Memo of Invoice</w:t>
            </w:r>
          </w:p>
          <w:p w14:paraId="6D4BDE14" w14:textId="77777777" w:rsidR="00AC7FB0" w:rsidRPr="00CF2775" w:rsidRDefault="00AC7FB0" w:rsidP="00AC7FB0">
            <w:pPr>
              <w:pStyle w:val="CommentText"/>
              <w:rPr>
                <w:rFonts w:ascii="Times New Roman" w:hAnsi="Times New Roman"/>
              </w:rPr>
            </w:pPr>
          </w:p>
          <w:p w14:paraId="3272D4D7" w14:textId="77777777" w:rsidR="00AC7FB0" w:rsidRPr="00CF2775" w:rsidRDefault="00AC7FB0" w:rsidP="00AC7FB0">
            <w:pPr>
              <w:pStyle w:val="CommentText"/>
              <w:ind w:left="720" w:hanging="720"/>
              <w:rPr>
                <w:rFonts w:ascii="Times New Roman" w:hAnsi="Times New Roman"/>
              </w:rPr>
            </w:pPr>
            <w:r w:rsidRPr="00CF2775">
              <w:rPr>
                <w:rFonts w:ascii="Times New Roman" w:hAnsi="Times New Roman"/>
              </w:rPr>
              <w:t>CW  Accounting Station</w:t>
            </w:r>
          </w:p>
          <w:p w14:paraId="19521D99" w14:textId="77777777" w:rsidR="00AC7FB0" w:rsidRPr="00CF2775" w:rsidRDefault="00AC7FB0" w:rsidP="00AC7FB0">
            <w:pPr>
              <w:pStyle w:val="CommentText"/>
              <w:ind w:left="720" w:hanging="720"/>
              <w:rPr>
                <w:rFonts w:ascii="Times New Roman" w:hAnsi="Times New Roman"/>
              </w:rPr>
            </w:pPr>
          </w:p>
          <w:p w14:paraId="7E463BF6" w14:textId="77777777" w:rsidR="00AC7FB0" w:rsidRPr="00CF2775" w:rsidRDefault="00AC7FB0" w:rsidP="00AC7FB0">
            <w:pPr>
              <w:pStyle w:val="CommentText"/>
              <w:ind w:left="720" w:hanging="720"/>
              <w:rPr>
                <w:rFonts w:ascii="Times New Roman" w:hAnsi="Times New Roman"/>
              </w:rPr>
            </w:pPr>
          </w:p>
          <w:p w14:paraId="35AE29B2" w14:textId="77777777" w:rsidR="00AC7FB0" w:rsidRPr="00CF2775" w:rsidRDefault="00AC7FB0" w:rsidP="00AC7FB0">
            <w:pPr>
              <w:pStyle w:val="CommentText"/>
              <w:ind w:left="720" w:hanging="720"/>
              <w:rPr>
                <w:rFonts w:ascii="Times New Roman" w:hAnsi="Times New Roman"/>
              </w:rPr>
            </w:pPr>
          </w:p>
          <w:p w14:paraId="106BF992" w14:textId="1106863A" w:rsidR="00AC7FB0" w:rsidRPr="00CF2775" w:rsidRDefault="00AC7FB0" w:rsidP="00AC7FB0">
            <w:pPr>
              <w:pStyle w:val="CommentText"/>
              <w:rPr>
                <w:rFonts w:ascii="Times New Roman" w:hAnsi="Times New Roman"/>
              </w:rPr>
            </w:pPr>
            <w:r w:rsidRPr="00CF2775">
              <w:rPr>
                <w:rFonts w:ascii="Times New Roman" w:hAnsi="Times New Roman"/>
              </w:rPr>
              <w:t xml:space="preserve">RGA  Responsible Government Agency </w:t>
            </w:r>
          </w:p>
          <w:p w14:paraId="0204028F" w14:textId="77777777" w:rsidR="00AC7FB0" w:rsidRPr="00CF2775" w:rsidRDefault="00AC7FB0" w:rsidP="003F32E0">
            <w:pPr>
              <w:keepNext w:val="0"/>
              <w:spacing w:before="20" w:after="20"/>
              <w:rPr>
                <w:sz w:val="20"/>
                <w:szCs w:val="20"/>
              </w:rPr>
            </w:pPr>
          </w:p>
        </w:tc>
        <w:tc>
          <w:tcPr>
            <w:tcW w:w="5128" w:type="dxa"/>
            <w:tcBorders>
              <w:bottom w:val="single" w:sz="4" w:space="0" w:color="auto"/>
            </w:tcBorders>
            <w:shd w:val="clear" w:color="auto" w:fill="FFFFFF" w:themeFill="background1"/>
            <w:tcMar>
              <w:top w:w="0" w:type="dxa"/>
              <w:left w:w="58" w:type="dxa"/>
              <w:bottom w:w="0" w:type="dxa"/>
              <w:right w:w="58" w:type="dxa"/>
            </w:tcMar>
          </w:tcPr>
          <w:p w14:paraId="3B5CD407" w14:textId="77777777" w:rsidR="00AC7FB0" w:rsidRPr="00CF2775" w:rsidRDefault="00AC7FB0" w:rsidP="00AC7FB0">
            <w:pPr>
              <w:pStyle w:val="CommentText"/>
              <w:spacing w:after="120"/>
              <w:rPr>
                <w:rFonts w:ascii="Times New Roman" w:hAnsi="Times New Roman"/>
              </w:rPr>
            </w:pPr>
            <w:r w:rsidRPr="00CF2775">
              <w:rPr>
                <w:rFonts w:ascii="Times New Roman" w:hAnsi="Times New Roman"/>
              </w:rPr>
              <w:t xml:space="preserve">Use when 1/CS05/050 cites code G to identify Electronic Document Access (EDA) as the transaction set recipient. </w:t>
            </w:r>
          </w:p>
          <w:p w14:paraId="743EA8CA" w14:textId="733EE822" w:rsidR="00AC7FB0" w:rsidRPr="00CF2775" w:rsidRDefault="00AC7FB0" w:rsidP="00AC7FB0">
            <w:pPr>
              <w:pStyle w:val="CommentText"/>
              <w:spacing w:after="120"/>
              <w:rPr>
                <w:rFonts w:ascii="Times New Roman" w:hAnsi="Times New Roman"/>
              </w:rPr>
            </w:pPr>
            <w:r w:rsidRPr="00CF2775">
              <w:rPr>
                <w:rFonts w:ascii="Times New Roman" w:hAnsi="Times New Roman"/>
              </w:rPr>
              <w:t xml:space="preserve">Use when 1/CS05/050 cites code G to identify the Agency Accounting Identifier (AAI) to receive the transaction set.  Code set available at </w:t>
            </w:r>
            <w:hyperlink r:id="rId12" w:history="1">
              <w:r w:rsidRPr="00CF2775">
                <w:rPr>
                  <w:rFonts w:ascii="Times New Roman" w:hAnsi="Times New Roman"/>
                </w:rPr>
                <w:t>https://beis.csd.disa.mil/beis-xml/sfiscombo.xml</w:t>
              </w:r>
            </w:hyperlink>
          </w:p>
          <w:p w14:paraId="6EE2CC36" w14:textId="063FD2E2" w:rsidR="00AC7FB0" w:rsidRPr="00CF2775" w:rsidRDefault="00AC7FB0" w:rsidP="00AC7FB0">
            <w:pPr>
              <w:keepNext w:val="0"/>
              <w:spacing w:before="20" w:after="20"/>
              <w:rPr>
                <w:sz w:val="20"/>
                <w:szCs w:val="20"/>
              </w:rPr>
            </w:pPr>
            <w:r w:rsidRPr="00CF2775">
              <w:rPr>
                <w:sz w:val="20"/>
                <w:szCs w:val="20"/>
              </w:rPr>
              <w:t>Use when 1/CS05/050 cites code G (Automated Contract Closeout) to identify WAWF-iRAPT as the sender of the transaction set. Enter “WAWF” in N101.</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0DC13087" w14:textId="1DEB8D0F" w:rsidR="00AC7FB0" w:rsidRPr="00CF2775" w:rsidRDefault="00AC7FB0" w:rsidP="003F32E0">
            <w:pPr>
              <w:keepNext w:val="0"/>
              <w:spacing w:before="20" w:after="20"/>
              <w:rPr>
                <w:sz w:val="20"/>
                <w:szCs w:val="20"/>
              </w:rPr>
            </w:pPr>
            <w:r w:rsidRPr="00CF2775">
              <w:rPr>
                <w:sz w:val="20"/>
                <w:szCs w:val="20"/>
              </w:rPr>
              <w:t>(ADC 1163 added to this list on 7/8/15)</w:t>
            </w:r>
          </w:p>
        </w:tc>
      </w:tr>
      <w:tr w:rsidR="00C5170F" w:rsidRPr="00D55EDA" w14:paraId="27B7CE17"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27B7CE11" w14:textId="7B639502" w:rsidR="00C5170F" w:rsidRPr="00D55EDA" w:rsidRDefault="00C5170F" w:rsidP="003F32E0">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27B7CE12" w14:textId="77777777" w:rsidR="00C5170F" w:rsidRPr="00CF2775" w:rsidRDefault="00C5170F" w:rsidP="003F32E0">
            <w:pPr>
              <w:keepNext w:val="0"/>
              <w:spacing w:before="20" w:after="20"/>
              <w:rPr>
                <w:sz w:val="20"/>
                <w:szCs w:val="20"/>
              </w:rPr>
            </w:pPr>
            <w:r w:rsidRPr="00CF2775">
              <w:rPr>
                <w:sz w:val="20"/>
                <w:szCs w:val="20"/>
              </w:rPr>
              <w:t>1/N103/030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230134B3" w14:textId="77777777" w:rsidR="00C5170F" w:rsidRPr="00CF2775" w:rsidRDefault="00C5170F" w:rsidP="003F32E0">
            <w:pPr>
              <w:keepNext w:val="0"/>
              <w:spacing w:before="20" w:after="20"/>
              <w:rPr>
                <w:sz w:val="20"/>
                <w:szCs w:val="20"/>
              </w:rPr>
            </w:pPr>
            <w:r w:rsidRPr="00CF2775">
              <w:rPr>
                <w:sz w:val="20"/>
                <w:szCs w:val="20"/>
              </w:rPr>
              <w:t>10 – Department of Defense Activity Address Code (DODAAC)</w:t>
            </w:r>
          </w:p>
          <w:p w14:paraId="3A9D0901" w14:textId="77777777" w:rsidR="00AC7FB0" w:rsidRPr="00CF2775" w:rsidRDefault="00AC7FB0" w:rsidP="003F32E0">
            <w:pPr>
              <w:keepNext w:val="0"/>
              <w:spacing w:before="20" w:after="20"/>
              <w:rPr>
                <w:sz w:val="20"/>
                <w:szCs w:val="20"/>
              </w:rPr>
            </w:pPr>
          </w:p>
          <w:p w14:paraId="0ACE9795" w14:textId="77777777" w:rsidR="00AC7FB0" w:rsidRPr="00CF2775" w:rsidRDefault="00AC7FB0" w:rsidP="00AC7FB0">
            <w:pPr>
              <w:autoSpaceDE w:val="0"/>
              <w:autoSpaceDN w:val="0"/>
              <w:adjustRightInd w:val="0"/>
              <w:rPr>
                <w:sz w:val="20"/>
                <w:szCs w:val="20"/>
              </w:rPr>
            </w:pPr>
            <w:r w:rsidRPr="00CF2775">
              <w:rPr>
                <w:sz w:val="20"/>
                <w:szCs w:val="20"/>
              </w:rPr>
              <w:t xml:space="preserve">PI  </w:t>
            </w:r>
            <w:proofErr w:type="spellStart"/>
            <w:r w:rsidRPr="00CF2775">
              <w:rPr>
                <w:sz w:val="20"/>
                <w:szCs w:val="20"/>
              </w:rPr>
              <w:t>Payor</w:t>
            </w:r>
            <w:proofErr w:type="spellEnd"/>
            <w:r w:rsidRPr="00CF2775">
              <w:rPr>
                <w:sz w:val="20"/>
                <w:szCs w:val="20"/>
              </w:rPr>
              <w:t xml:space="preserve"> Identification</w:t>
            </w:r>
          </w:p>
          <w:p w14:paraId="54F8E195" w14:textId="77777777" w:rsidR="00AC7FB0" w:rsidRPr="00CF2775" w:rsidRDefault="00AC7FB0" w:rsidP="00AC7FB0">
            <w:pPr>
              <w:autoSpaceDE w:val="0"/>
              <w:autoSpaceDN w:val="0"/>
              <w:adjustRightInd w:val="0"/>
              <w:rPr>
                <w:sz w:val="20"/>
                <w:szCs w:val="20"/>
              </w:rPr>
            </w:pPr>
          </w:p>
          <w:p w14:paraId="6AF2F7DA" w14:textId="77777777" w:rsidR="00AC7FB0" w:rsidRPr="00CF2775" w:rsidRDefault="00AC7FB0" w:rsidP="00AC7FB0">
            <w:pPr>
              <w:autoSpaceDE w:val="0"/>
              <w:autoSpaceDN w:val="0"/>
              <w:adjustRightInd w:val="0"/>
              <w:rPr>
                <w:sz w:val="20"/>
                <w:szCs w:val="20"/>
              </w:rPr>
            </w:pPr>
          </w:p>
          <w:p w14:paraId="061B6787" w14:textId="77777777" w:rsidR="00AC7FB0" w:rsidRPr="00CF2775" w:rsidRDefault="00AC7FB0" w:rsidP="00AC7FB0">
            <w:pPr>
              <w:autoSpaceDE w:val="0"/>
              <w:autoSpaceDN w:val="0"/>
              <w:adjustRightInd w:val="0"/>
              <w:rPr>
                <w:sz w:val="20"/>
                <w:szCs w:val="20"/>
              </w:rPr>
            </w:pPr>
          </w:p>
          <w:p w14:paraId="63C1545E" w14:textId="3299E527" w:rsidR="00AC7FB0" w:rsidRPr="00CF2775" w:rsidRDefault="00AC7FB0" w:rsidP="00AC7FB0">
            <w:pPr>
              <w:autoSpaceDE w:val="0"/>
              <w:autoSpaceDN w:val="0"/>
              <w:adjustRightInd w:val="0"/>
              <w:rPr>
                <w:sz w:val="20"/>
                <w:szCs w:val="20"/>
              </w:rPr>
            </w:pPr>
            <w:r w:rsidRPr="00CF2775">
              <w:rPr>
                <w:sz w:val="20"/>
                <w:szCs w:val="20"/>
              </w:rPr>
              <w:t xml:space="preserve">93  Code assigned by the organization originating the transaction set </w:t>
            </w:r>
          </w:p>
          <w:p w14:paraId="3DB745CB" w14:textId="77777777" w:rsidR="00AC7FB0" w:rsidRPr="00CF2775" w:rsidRDefault="00AC7FB0" w:rsidP="00AC7FB0">
            <w:pPr>
              <w:autoSpaceDE w:val="0"/>
              <w:autoSpaceDN w:val="0"/>
              <w:adjustRightInd w:val="0"/>
              <w:rPr>
                <w:sz w:val="20"/>
                <w:szCs w:val="20"/>
              </w:rPr>
            </w:pPr>
          </w:p>
          <w:p w14:paraId="27B7CE13" w14:textId="4C63B182" w:rsidR="00AC7FB0" w:rsidRPr="00CF2775" w:rsidRDefault="00AC7FB0" w:rsidP="00AC7FB0">
            <w:pPr>
              <w:autoSpaceDE w:val="0"/>
              <w:autoSpaceDN w:val="0"/>
              <w:adjustRightInd w:val="0"/>
              <w:rPr>
                <w:sz w:val="20"/>
                <w:szCs w:val="20"/>
              </w:rPr>
            </w:pPr>
            <w:r w:rsidRPr="00CF2775">
              <w:rPr>
                <w:sz w:val="20"/>
                <w:szCs w:val="20"/>
              </w:rPr>
              <w:t>94  Code assigned by the organization that is the ultimate destination of the transaction set</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356F5191" w14:textId="77777777" w:rsidR="00AC7FB0" w:rsidRPr="00CF2775" w:rsidRDefault="00C5170F" w:rsidP="00AC7FB0">
            <w:pPr>
              <w:keepNext w:val="0"/>
              <w:rPr>
                <w:sz w:val="20"/>
                <w:szCs w:val="20"/>
              </w:rPr>
            </w:pPr>
            <w:r w:rsidRPr="00CF2775">
              <w:rPr>
                <w:sz w:val="20"/>
                <w:szCs w:val="20"/>
              </w:rPr>
              <w:t>DLMS enhanceme</w:t>
            </w:r>
            <w:r w:rsidR="00AC7FB0" w:rsidRPr="00CF2775">
              <w:rPr>
                <w:sz w:val="20"/>
                <w:szCs w:val="20"/>
              </w:rPr>
              <w:t>nt; see introductory DLMS note 6</w:t>
            </w:r>
            <w:r w:rsidRPr="00CF2775">
              <w:rPr>
                <w:sz w:val="20"/>
                <w:szCs w:val="20"/>
              </w:rPr>
              <w:t>a</w:t>
            </w:r>
          </w:p>
          <w:p w14:paraId="297786AA" w14:textId="77777777" w:rsidR="00AC7FB0" w:rsidRPr="00CF2775" w:rsidRDefault="00AC7FB0" w:rsidP="00AC7FB0">
            <w:pPr>
              <w:keepNext w:val="0"/>
              <w:rPr>
                <w:sz w:val="20"/>
                <w:szCs w:val="20"/>
              </w:rPr>
            </w:pPr>
          </w:p>
          <w:p w14:paraId="6975E712" w14:textId="77777777" w:rsidR="00AC7FB0" w:rsidRPr="00CF2775" w:rsidRDefault="00AC7FB0" w:rsidP="00AC7FB0">
            <w:pPr>
              <w:keepNext w:val="0"/>
              <w:rPr>
                <w:sz w:val="20"/>
                <w:szCs w:val="20"/>
              </w:rPr>
            </w:pPr>
          </w:p>
          <w:p w14:paraId="6B2E8A08" w14:textId="77777777" w:rsidR="00AC7FB0" w:rsidRPr="00CF2775" w:rsidRDefault="00AC7FB0" w:rsidP="00AC7FB0">
            <w:pPr>
              <w:keepNext w:val="0"/>
              <w:rPr>
                <w:sz w:val="20"/>
                <w:szCs w:val="20"/>
              </w:rPr>
            </w:pPr>
          </w:p>
          <w:p w14:paraId="737255B5" w14:textId="5AEA084B" w:rsidR="00AC7FB0" w:rsidRPr="00CF2775" w:rsidRDefault="00AC7FB0" w:rsidP="00AC7FB0">
            <w:pPr>
              <w:autoSpaceDE w:val="0"/>
              <w:autoSpaceDN w:val="0"/>
              <w:adjustRightInd w:val="0"/>
              <w:rPr>
                <w:sz w:val="20"/>
                <w:szCs w:val="20"/>
              </w:rPr>
            </w:pPr>
            <w:r w:rsidRPr="00CF2775">
              <w:rPr>
                <w:sz w:val="20"/>
                <w:szCs w:val="20"/>
              </w:rPr>
              <w:t>Use with N101 Code CW to identify the Agency Accounting Identifier (AAI) in WAWF-iRAPT Automated Contract Closeout transactions.</w:t>
            </w:r>
          </w:p>
          <w:p w14:paraId="044EE3E3" w14:textId="77777777" w:rsidR="00AC7FB0" w:rsidRPr="00CF2775" w:rsidRDefault="00AC7FB0" w:rsidP="00AC7FB0">
            <w:pPr>
              <w:autoSpaceDE w:val="0"/>
              <w:autoSpaceDN w:val="0"/>
              <w:adjustRightInd w:val="0"/>
              <w:rPr>
                <w:sz w:val="20"/>
                <w:szCs w:val="20"/>
              </w:rPr>
            </w:pPr>
          </w:p>
          <w:p w14:paraId="68A69087" w14:textId="2519E282" w:rsidR="00AC7FB0" w:rsidRPr="00CF2775" w:rsidRDefault="00AC7FB0" w:rsidP="00AC7FB0">
            <w:pPr>
              <w:autoSpaceDE w:val="0"/>
              <w:autoSpaceDN w:val="0"/>
              <w:adjustRightInd w:val="0"/>
              <w:rPr>
                <w:sz w:val="20"/>
                <w:szCs w:val="20"/>
              </w:rPr>
            </w:pPr>
            <w:r w:rsidRPr="00CF2775">
              <w:rPr>
                <w:sz w:val="20"/>
                <w:szCs w:val="20"/>
              </w:rPr>
              <w:t>Use with N101 Code RGA to identify WAWF as the sender of the automated contract closeout transaction.</w:t>
            </w:r>
          </w:p>
          <w:p w14:paraId="5903839A" w14:textId="77777777" w:rsidR="00AC7FB0" w:rsidRPr="00CF2775" w:rsidRDefault="00AC7FB0" w:rsidP="00AC7FB0">
            <w:pPr>
              <w:autoSpaceDE w:val="0"/>
              <w:autoSpaceDN w:val="0"/>
              <w:adjustRightInd w:val="0"/>
              <w:rPr>
                <w:sz w:val="20"/>
                <w:szCs w:val="20"/>
              </w:rPr>
            </w:pPr>
          </w:p>
          <w:p w14:paraId="25718675" w14:textId="77777777" w:rsidR="00AC7FB0" w:rsidRPr="00CF2775" w:rsidRDefault="00AC7FB0" w:rsidP="00AC7FB0">
            <w:pPr>
              <w:keepNext w:val="0"/>
              <w:rPr>
                <w:sz w:val="20"/>
                <w:szCs w:val="20"/>
              </w:rPr>
            </w:pPr>
          </w:p>
          <w:p w14:paraId="27B7CE15" w14:textId="741C9110" w:rsidR="00C5170F" w:rsidRPr="00CF2775" w:rsidRDefault="00AC7FB0" w:rsidP="00AC7FB0">
            <w:pPr>
              <w:keepNext w:val="0"/>
              <w:rPr>
                <w:sz w:val="20"/>
                <w:szCs w:val="20"/>
              </w:rPr>
            </w:pPr>
            <w:r w:rsidRPr="00CF2775">
              <w:rPr>
                <w:sz w:val="20"/>
                <w:szCs w:val="20"/>
              </w:rPr>
              <w:t xml:space="preserve">Use with N101 Code EM to identify Electronic Document Access as the recipient of all Contract Closeout transactions.  </w:t>
            </w:r>
            <w:r w:rsidR="00C5170F" w:rsidRPr="00CF2775">
              <w:rPr>
                <w:sz w:val="20"/>
                <w:szCs w:val="20"/>
              </w:rPr>
              <w:t>.</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27B7CE16" w14:textId="3F376D2A" w:rsidR="00C5170F" w:rsidRPr="00CF2775" w:rsidRDefault="00AC7FB0" w:rsidP="003F32E0">
            <w:pPr>
              <w:keepNext w:val="0"/>
              <w:spacing w:before="20" w:after="20"/>
              <w:rPr>
                <w:sz w:val="20"/>
                <w:szCs w:val="20"/>
              </w:rPr>
            </w:pPr>
            <w:r w:rsidRPr="00CF2775">
              <w:rPr>
                <w:sz w:val="20"/>
                <w:szCs w:val="20"/>
              </w:rPr>
              <w:t>(ADC 1163 added to this list on 7/8/15)</w:t>
            </w:r>
          </w:p>
        </w:tc>
      </w:tr>
      <w:tr w:rsidR="00AC7FB0" w:rsidRPr="00D55EDA" w14:paraId="31860475"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3A6DC6FC" w14:textId="77777777" w:rsidR="00AC7FB0" w:rsidRPr="00D55EDA" w:rsidRDefault="00AC7FB0" w:rsidP="003F32E0">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20779727" w14:textId="7D65BBF7" w:rsidR="00AC7FB0" w:rsidRPr="00CF2775" w:rsidRDefault="00AC7FB0" w:rsidP="003F32E0">
            <w:pPr>
              <w:keepNext w:val="0"/>
              <w:spacing w:before="20" w:after="20"/>
              <w:rPr>
                <w:sz w:val="20"/>
                <w:szCs w:val="20"/>
              </w:rPr>
            </w:pPr>
            <w:r w:rsidRPr="00CF2775">
              <w:rPr>
                <w:sz w:val="20"/>
                <w:szCs w:val="20"/>
              </w:rPr>
              <w:t>1/G6101/040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1A92070B" w14:textId="77777777" w:rsidR="00AC7FB0" w:rsidRPr="00CF2775" w:rsidRDefault="00AC7FB0" w:rsidP="00AC7FB0">
            <w:pPr>
              <w:autoSpaceDE w:val="0"/>
              <w:autoSpaceDN w:val="0"/>
              <w:adjustRightInd w:val="0"/>
              <w:rPr>
                <w:sz w:val="20"/>
                <w:szCs w:val="20"/>
              </w:rPr>
            </w:pPr>
            <w:r w:rsidRPr="00CF2775">
              <w:rPr>
                <w:sz w:val="20"/>
                <w:szCs w:val="20"/>
              </w:rPr>
              <w:t xml:space="preserve">AM  Administrator  </w:t>
            </w:r>
          </w:p>
          <w:p w14:paraId="26EE7256" w14:textId="77777777" w:rsidR="00AC7FB0" w:rsidRPr="00CF2775" w:rsidRDefault="00AC7FB0" w:rsidP="003F32E0">
            <w:pPr>
              <w:keepNext w:val="0"/>
              <w:spacing w:before="20" w:after="20"/>
              <w:rPr>
                <w:sz w:val="20"/>
                <w:szCs w:val="20"/>
              </w:rPr>
            </w:pPr>
          </w:p>
        </w:tc>
        <w:tc>
          <w:tcPr>
            <w:tcW w:w="5128" w:type="dxa"/>
            <w:tcBorders>
              <w:bottom w:val="single" w:sz="4" w:space="0" w:color="auto"/>
            </w:tcBorders>
            <w:shd w:val="clear" w:color="auto" w:fill="FFFFFF" w:themeFill="background1"/>
            <w:tcMar>
              <w:top w:w="0" w:type="dxa"/>
              <w:left w:w="58" w:type="dxa"/>
              <w:bottom w:w="0" w:type="dxa"/>
              <w:right w:w="58" w:type="dxa"/>
            </w:tcMar>
          </w:tcPr>
          <w:p w14:paraId="24A50571" w14:textId="53FB5739" w:rsidR="00AC7FB0" w:rsidRPr="00CF2775" w:rsidRDefault="00AC7FB0" w:rsidP="00AC7FB0">
            <w:pPr>
              <w:keepNext w:val="0"/>
              <w:rPr>
                <w:sz w:val="20"/>
                <w:szCs w:val="20"/>
              </w:rPr>
            </w:pPr>
            <w:r w:rsidRPr="00CF2775">
              <w:rPr>
                <w:sz w:val="20"/>
                <w:szCs w:val="20"/>
              </w:rPr>
              <w:t>When BC07 is code CL or 2, use to indicate a WAWF automated contract closeout transaction.  Enter “WAWF” in G6102.</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9CE7C5E" w14:textId="59F25395" w:rsidR="00AC7FB0" w:rsidRPr="00CF2775" w:rsidRDefault="00AC7FB0" w:rsidP="003F32E0">
            <w:pPr>
              <w:keepNext w:val="0"/>
              <w:spacing w:before="20" w:after="20"/>
              <w:rPr>
                <w:sz w:val="20"/>
                <w:szCs w:val="20"/>
              </w:rPr>
            </w:pPr>
            <w:r w:rsidRPr="00CF2775">
              <w:rPr>
                <w:sz w:val="20"/>
                <w:szCs w:val="20"/>
              </w:rPr>
              <w:t>(ADC 1163 added to this list on 7/8/15)</w:t>
            </w:r>
          </w:p>
        </w:tc>
      </w:tr>
      <w:tr w:rsidR="00CF2775" w:rsidRPr="00D55EDA" w14:paraId="2483593D"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63F38C20" w14:textId="77777777" w:rsidR="00CF2775" w:rsidRPr="00D55EDA" w:rsidRDefault="00CF2775" w:rsidP="003F32E0">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11539EFD" w14:textId="1B063817" w:rsidR="00CF2775" w:rsidRPr="00CF2775" w:rsidRDefault="00CF2775" w:rsidP="003F32E0">
            <w:pPr>
              <w:keepNext w:val="0"/>
              <w:spacing w:before="20" w:after="20"/>
              <w:rPr>
                <w:sz w:val="20"/>
                <w:szCs w:val="20"/>
              </w:rPr>
            </w:pPr>
            <w:r>
              <w:rPr>
                <w:sz w:val="20"/>
                <w:szCs w:val="20"/>
              </w:rPr>
              <w:t>1/CS/050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500710F2" w14:textId="46DE1FF6" w:rsidR="00CF2775" w:rsidRPr="00CF2775" w:rsidRDefault="00CF2775" w:rsidP="00AC7FB0">
            <w:pPr>
              <w:autoSpaceDE w:val="0"/>
              <w:autoSpaceDN w:val="0"/>
              <w:adjustRightInd w:val="0"/>
              <w:rPr>
                <w:sz w:val="20"/>
                <w:szCs w:val="20"/>
              </w:rPr>
            </w:pPr>
            <w:r>
              <w:rPr>
                <w:sz w:val="20"/>
                <w:szCs w:val="20"/>
              </w:rPr>
              <w:t>Segment Level Notes</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527CF4F6" w14:textId="77777777" w:rsidR="00CF2775" w:rsidRPr="00CF2775" w:rsidRDefault="00CF2775" w:rsidP="00CF2775">
            <w:pPr>
              <w:autoSpaceDE w:val="0"/>
              <w:autoSpaceDN w:val="0"/>
              <w:adjustRightInd w:val="0"/>
              <w:rPr>
                <w:sz w:val="20"/>
                <w:szCs w:val="20"/>
              </w:rPr>
            </w:pPr>
            <w:r w:rsidRPr="00CF2775">
              <w:rPr>
                <w:sz w:val="20"/>
                <w:szCs w:val="20"/>
              </w:rPr>
              <w:t xml:space="preserve">1. Use this segment to identify the </w:t>
            </w:r>
            <w:r w:rsidRPr="00CF2775">
              <w:rPr>
                <w:color w:val="FF0000"/>
                <w:sz w:val="20"/>
                <w:szCs w:val="20"/>
              </w:rPr>
              <w:t>procurement instrument identifier (PIID))</w:t>
            </w:r>
            <w:r w:rsidRPr="00CF2775">
              <w:rPr>
                <w:sz w:val="20"/>
                <w:szCs w:val="20"/>
              </w:rPr>
              <w:t xml:space="preserve"> </w:t>
            </w:r>
            <w:r w:rsidRPr="00CF2775">
              <w:rPr>
                <w:dstrike/>
                <w:color w:val="FF0000"/>
                <w:sz w:val="20"/>
                <w:szCs w:val="20"/>
              </w:rPr>
              <w:t>contract number, i.e., the Procurement Instrument Identification Number (PIIN);</w:t>
            </w:r>
            <w:r w:rsidRPr="00CF2775">
              <w:rPr>
                <w:color w:val="FF0000"/>
                <w:sz w:val="20"/>
                <w:szCs w:val="20"/>
              </w:rPr>
              <w:t xml:space="preserve"> </w:t>
            </w:r>
            <w:r w:rsidRPr="00CF2775">
              <w:rPr>
                <w:sz w:val="20"/>
                <w:szCs w:val="20"/>
              </w:rPr>
              <w:t xml:space="preserve">and, if applicable, the </w:t>
            </w:r>
            <w:r w:rsidRPr="00CF2775">
              <w:rPr>
                <w:dstrike/>
                <w:color w:val="FF0000"/>
                <w:sz w:val="20"/>
                <w:szCs w:val="20"/>
              </w:rPr>
              <w:t xml:space="preserve">contract </w:t>
            </w:r>
            <w:r w:rsidRPr="00CF2775">
              <w:rPr>
                <w:sz w:val="20"/>
                <w:szCs w:val="20"/>
              </w:rPr>
              <w:t xml:space="preserve">modification number; </w:t>
            </w:r>
            <w:r w:rsidRPr="00CF2775">
              <w:rPr>
                <w:dstrike/>
                <w:color w:val="FF0000"/>
                <w:sz w:val="20"/>
                <w:szCs w:val="20"/>
              </w:rPr>
              <w:t>the call or order number, i.e., the Supplementary PIIN (SPIIN); or</w:t>
            </w:r>
            <w:r w:rsidRPr="00CF2775">
              <w:rPr>
                <w:sz w:val="20"/>
                <w:szCs w:val="20"/>
              </w:rPr>
              <w:t xml:space="preserve"> the call/ </w:t>
            </w:r>
            <w:r w:rsidRPr="00CF2775">
              <w:rPr>
                <w:dstrike/>
                <w:color w:val="FF0000"/>
                <w:sz w:val="20"/>
                <w:szCs w:val="20"/>
              </w:rPr>
              <w:t xml:space="preserve">or </w:t>
            </w:r>
            <w:r w:rsidRPr="00CF2775">
              <w:rPr>
                <w:sz w:val="20"/>
                <w:szCs w:val="20"/>
              </w:rPr>
              <w:t xml:space="preserve">order number </w:t>
            </w:r>
            <w:r w:rsidRPr="00CF2775">
              <w:rPr>
                <w:dstrike/>
                <w:color w:val="FF0000"/>
                <w:sz w:val="20"/>
                <w:szCs w:val="20"/>
              </w:rPr>
              <w:t>including the respective call or order number modification, as applicable.</w:t>
            </w:r>
          </w:p>
          <w:p w14:paraId="3A22073B" w14:textId="6DF82D23" w:rsidR="00CF2775" w:rsidRPr="00CF2775" w:rsidRDefault="00CF2775" w:rsidP="00CF2775">
            <w:pPr>
              <w:keepNext w:val="0"/>
              <w:rPr>
                <w:sz w:val="20"/>
                <w:szCs w:val="20"/>
              </w:rPr>
            </w:pPr>
            <w:r w:rsidRPr="00CF2775">
              <w:rPr>
                <w:sz w:val="20"/>
                <w:szCs w:val="20"/>
              </w:rPr>
              <w:t>2. There can only be one occurrence of this loop.</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467C2AD0" w14:textId="0EB3F2B4" w:rsidR="00CF2775" w:rsidRPr="00CF2775" w:rsidRDefault="00CF2775" w:rsidP="003F32E0">
            <w:pPr>
              <w:keepNext w:val="0"/>
              <w:spacing w:before="20" w:after="20"/>
              <w:rPr>
                <w:sz w:val="20"/>
                <w:szCs w:val="20"/>
              </w:rPr>
            </w:pPr>
            <w:r w:rsidRPr="00CF2775">
              <w:rPr>
                <w:color w:val="FF0000"/>
                <w:sz w:val="20"/>
                <w:szCs w:val="20"/>
              </w:rPr>
              <w:t>(ADC 1161 added to this list on 09/14/16)</w:t>
            </w:r>
          </w:p>
        </w:tc>
      </w:tr>
      <w:tr w:rsidR="00CF2775" w:rsidRPr="00D55EDA" w14:paraId="2DA21EDF"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5B772789" w14:textId="77777777" w:rsidR="00CF2775" w:rsidRPr="00D55EDA" w:rsidRDefault="00CF2775" w:rsidP="00CF277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53488B7" w14:textId="449BCD69" w:rsidR="00CF2775" w:rsidRDefault="00CF2775" w:rsidP="00CF2775">
            <w:pPr>
              <w:keepNext w:val="0"/>
              <w:spacing w:before="20" w:after="20"/>
              <w:rPr>
                <w:sz w:val="20"/>
                <w:szCs w:val="20"/>
              </w:rPr>
            </w:pPr>
            <w:r>
              <w:rPr>
                <w:sz w:val="20"/>
                <w:szCs w:val="20"/>
              </w:rPr>
              <w:t>1/CS01/050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4B6D9511" w14:textId="52009D07" w:rsidR="00CF2775" w:rsidRDefault="00CF2775" w:rsidP="00CF2775">
            <w:pPr>
              <w:autoSpaceDE w:val="0"/>
              <w:autoSpaceDN w:val="0"/>
              <w:adjustRightInd w:val="0"/>
              <w:rPr>
                <w:sz w:val="20"/>
                <w:szCs w:val="20"/>
              </w:rPr>
            </w:pPr>
            <w:r w:rsidRPr="00CF2775">
              <w:rPr>
                <w:sz w:val="20"/>
                <w:szCs w:val="20"/>
              </w:rPr>
              <w:t>Data Element, 367 Contract Number</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45FC9D0B" w14:textId="75283429" w:rsidR="00CF2775" w:rsidRPr="00CF2775" w:rsidRDefault="00CF2775" w:rsidP="00CF2775">
            <w:pPr>
              <w:autoSpaceDE w:val="0"/>
              <w:autoSpaceDN w:val="0"/>
              <w:adjustRightInd w:val="0"/>
              <w:rPr>
                <w:sz w:val="20"/>
                <w:szCs w:val="20"/>
              </w:rPr>
            </w:pPr>
            <w:r w:rsidRPr="00CF2775">
              <w:rPr>
                <w:sz w:val="20"/>
                <w:szCs w:val="20"/>
              </w:rPr>
              <w:t xml:space="preserve">Use to identify the </w:t>
            </w:r>
            <w:r w:rsidRPr="00CF2775">
              <w:rPr>
                <w:color w:val="FF0000"/>
                <w:sz w:val="20"/>
                <w:szCs w:val="20"/>
              </w:rPr>
              <w:t xml:space="preserve">PIID </w:t>
            </w:r>
            <w:r w:rsidRPr="00CF2775">
              <w:rPr>
                <w:dstrike/>
                <w:color w:val="FF0000"/>
                <w:sz w:val="20"/>
                <w:szCs w:val="20"/>
              </w:rPr>
              <w:t>procurement instrument identification number (PIIN)</w:t>
            </w:r>
            <w:r w:rsidRPr="00CF2775">
              <w:rPr>
                <w:color w:val="FF0000"/>
                <w:sz w:val="20"/>
                <w:szCs w:val="20"/>
              </w:rPr>
              <w:t xml:space="preserve"> </w:t>
            </w:r>
            <w:r w:rsidRPr="00CF2775">
              <w:rPr>
                <w:sz w:val="20"/>
                <w:szCs w:val="20"/>
              </w:rPr>
              <w:t xml:space="preserve">of the procurement instrument being reported.  </w:t>
            </w:r>
            <w:r w:rsidRPr="00CF2775">
              <w:rPr>
                <w:color w:val="FF0000"/>
                <w:sz w:val="20"/>
                <w:szCs w:val="20"/>
              </w:rPr>
              <w:t>Use the legacy procurement instrument identification number (PIIN) pending transition to the PIID.  When procurement is authorized under a PIID call/order number (F in 9th position), provide the value in the PIID field.  Refer to ADC 1161.</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0721901B" w14:textId="04B10BEE" w:rsidR="00CF2775" w:rsidRPr="00CF2775" w:rsidRDefault="00CF2775" w:rsidP="00CF2775">
            <w:pPr>
              <w:keepNext w:val="0"/>
              <w:spacing w:before="20" w:after="20"/>
              <w:rPr>
                <w:color w:val="FF0000"/>
                <w:sz w:val="20"/>
                <w:szCs w:val="20"/>
              </w:rPr>
            </w:pPr>
            <w:r w:rsidRPr="00CF2775">
              <w:rPr>
                <w:color w:val="FF0000"/>
                <w:sz w:val="20"/>
                <w:szCs w:val="20"/>
              </w:rPr>
              <w:t>(ADC 1161 added to this list on 09/14/16)</w:t>
            </w:r>
          </w:p>
        </w:tc>
      </w:tr>
      <w:tr w:rsidR="00CF2775" w:rsidRPr="00D55EDA" w14:paraId="17924C7B"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2CE4FA11" w14:textId="77777777" w:rsidR="00CF2775" w:rsidRPr="00D55EDA" w:rsidRDefault="00CF2775" w:rsidP="00CF277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675A364A" w14:textId="2819BEB0" w:rsidR="00CF2775" w:rsidRDefault="00CF2775" w:rsidP="00CF2775">
            <w:pPr>
              <w:keepNext w:val="0"/>
              <w:spacing w:before="20" w:after="20"/>
              <w:rPr>
                <w:sz w:val="20"/>
                <w:szCs w:val="20"/>
              </w:rPr>
            </w:pPr>
            <w:r>
              <w:rPr>
                <w:sz w:val="20"/>
                <w:szCs w:val="20"/>
              </w:rPr>
              <w:t>1/CS02/050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0AE1A61A" w14:textId="0E5F854A" w:rsidR="00CF2775" w:rsidRPr="00CF2775" w:rsidRDefault="00CF2775" w:rsidP="00CF2775">
            <w:pPr>
              <w:autoSpaceDE w:val="0"/>
              <w:autoSpaceDN w:val="0"/>
              <w:adjustRightInd w:val="0"/>
              <w:rPr>
                <w:sz w:val="20"/>
                <w:szCs w:val="20"/>
              </w:rPr>
            </w:pPr>
            <w:r w:rsidRPr="00CF2775">
              <w:rPr>
                <w:sz w:val="20"/>
                <w:szCs w:val="20"/>
              </w:rPr>
              <w:t>Data Element 327 Change Order Sequence Number</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7EB520D4" w14:textId="77777777" w:rsidR="00CF2775" w:rsidRPr="00CF2775" w:rsidRDefault="00CF2775" w:rsidP="00CF2775">
            <w:pPr>
              <w:autoSpaceDE w:val="0"/>
              <w:autoSpaceDN w:val="0"/>
              <w:adjustRightInd w:val="0"/>
              <w:rPr>
                <w:dstrike/>
                <w:color w:val="FF0000"/>
                <w:sz w:val="20"/>
                <w:szCs w:val="20"/>
              </w:rPr>
            </w:pPr>
            <w:r w:rsidRPr="00CF2775">
              <w:rPr>
                <w:dstrike/>
                <w:color w:val="FF0000"/>
                <w:sz w:val="20"/>
                <w:szCs w:val="20"/>
              </w:rPr>
              <w:t>Use, as applicable, to identify the six position contract modification number of the procurement instrument being reported.</w:t>
            </w:r>
          </w:p>
          <w:p w14:paraId="0DADF888" w14:textId="5100A3E3" w:rsidR="00CF2775" w:rsidRPr="00CF2775" w:rsidRDefault="00CF2775" w:rsidP="00CF2775">
            <w:pPr>
              <w:autoSpaceDE w:val="0"/>
              <w:autoSpaceDN w:val="0"/>
              <w:adjustRightInd w:val="0"/>
              <w:rPr>
                <w:sz w:val="20"/>
                <w:szCs w:val="20"/>
              </w:rPr>
            </w:pPr>
            <w:r w:rsidRPr="00CF2775">
              <w:rPr>
                <w:color w:val="FF0000"/>
                <w:sz w:val="20"/>
                <w:szCs w:val="20"/>
              </w:rPr>
              <w:t>Use to identify a modification number to the cited procurement instrument.  This is the Supplementary Procurement Instrument Identifier (Supplementary PIID).  Refer to ADC 1161.</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66243F03" w14:textId="402167A9" w:rsidR="00CF2775" w:rsidRPr="00CF2775" w:rsidRDefault="00CF2775" w:rsidP="00CF2775">
            <w:pPr>
              <w:keepNext w:val="0"/>
              <w:spacing w:before="20" w:after="20"/>
              <w:rPr>
                <w:color w:val="FF0000"/>
                <w:sz w:val="20"/>
                <w:szCs w:val="20"/>
              </w:rPr>
            </w:pPr>
            <w:r w:rsidRPr="00CF2775">
              <w:rPr>
                <w:color w:val="FF0000"/>
                <w:sz w:val="20"/>
                <w:szCs w:val="20"/>
              </w:rPr>
              <w:t>(ADC 1161 added to this list on 09/14/16)</w:t>
            </w:r>
            <w:bookmarkStart w:id="0" w:name="_GoBack"/>
            <w:bookmarkEnd w:id="0"/>
          </w:p>
        </w:tc>
      </w:tr>
      <w:tr w:rsidR="00CF2775" w:rsidRPr="00D55EDA" w14:paraId="0AF00863"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0395158D" w14:textId="77777777" w:rsidR="00CF2775" w:rsidRPr="00D55EDA" w:rsidRDefault="00CF2775" w:rsidP="00CF277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096863F2" w14:textId="29176FCE" w:rsidR="00CF2775" w:rsidRDefault="00CF2775" w:rsidP="00CF2775">
            <w:pPr>
              <w:keepNext w:val="0"/>
              <w:spacing w:before="20" w:after="20"/>
              <w:rPr>
                <w:sz w:val="20"/>
                <w:szCs w:val="20"/>
              </w:rPr>
            </w:pPr>
            <w:r>
              <w:rPr>
                <w:sz w:val="20"/>
                <w:szCs w:val="20"/>
              </w:rPr>
              <w:t>1/CS03/050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7CE5035B" w14:textId="77777777" w:rsidR="00CF2775" w:rsidRPr="00CF2775" w:rsidRDefault="00CF2775" w:rsidP="00CF2775">
            <w:pPr>
              <w:autoSpaceDE w:val="0"/>
              <w:autoSpaceDN w:val="0"/>
              <w:adjustRightInd w:val="0"/>
              <w:rPr>
                <w:sz w:val="20"/>
                <w:szCs w:val="20"/>
              </w:rPr>
            </w:pPr>
            <w:r w:rsidRPr="00CF2775">
              <w:rPr>
                <w:sz w:val="20"/>
                <w:szCs w:val="20"/>
              </w:rPr>
              <w:t>Data Element, 328 Release Number</w:t>
            </w:r>
          </w:p>
          <w:p w14:paraId="04CEE45A" w14:textId="77777777" w:rsidR="00CF2775" w:rsidRPr="00CF2775" w:rsidRDefault="00CF2775" w:rsidP="00CF2775">
            <w:pPr>
              <w:autoSpaceDE w:val="0"/>
              <w:autoSpaceDN w:val="0"/>
              <w:adjustRightInd w:val="0"/>
              <w:rPr>
                <w:sz w:val="20"/>
                <w:szCs w:val="20"/>
              </w:rPr>
            </w:pPr>
          </w:p>
        </w:tc>
        <w:tc>
          <w:tcPr>
            <w:tcW w:w="5128" w:type="dxa"/>
            <w:tcBorders>
              <w:bottom w:val="single" w:sz="4" w:space="0" w:color="auto"/>
            </w:tcBorders>
            <w:shd w:val="clear" w:color="auto" w:fill="FFFFFF" w:themeFill="background1"/>
            <w:tcMar>
              <w:top w:w="0" w:type="dxa"/>
              <w:left w:w="58" w:type="dxa"/>
              <w:bottom w:w="0" w:type="dxa"/>
              <w:right w:w="58" w:type="dxa"/>
            </w:tcMar>
          </w:tcPr>
          <w:p w14:paraId="0AA6202B" w14:textId="77777777" w:rsidR="00CF2775" w:rsidRPr="00CF2775" w:rsidRDefault="00CF2775" w:rsidP="00CF2775">
            <w:pPr>
              <w:autoSpaceDE w:val="0"/>
              <w:autoSpaceDN w:val="0"/>
              <w:adjustRightInd w:val="0"/>
              <w:rPr>
                <w:dstrike/>
                <w:color w:val="FF0000"/>
                <w:sz w:val="20"/>
                <w:szCs w:val="20"/>
              </w:rPr>
            </w:pPr>
            <w:r w:rsidRPr="00CF2775">
              <w:rPr>
                <w:dstrike/>
                <w:color w:val="FF0000"/>
                <w:sz w:val="20"/>
                <w:szCs w:val="20"/>
              </w:rPr>
              <w:t>1. Use to identify the four-position supplemental procurement instrument identification number (SPIIN) of the call/order being reported and when applicable, its two-position modification number.</w:t>
            </w:r>
          </w:p>
          <w:p w14:paraId="222CC540" w14:textId="77777777" w:rsidR="00CF2775" w:rsidRPr="00CF2775" w:rsidRDefault="00CF2775" w:rsidP="00CF2775">
            <w:pPr>
              <w:autoSpaceDE w:val="0"/>
              <w:autoSpaceDN w:val="0"/>
              <w:adjustRightInd w:val="0"/>
              <w:rPr>
                <w:color w:val="FF0000"/>
                <w:sz w:val="20"/>
                <w:szCs w:val="20"/>
              </w:rPr>
            </w:pPr>
            <w:r w:rsidRPr="00CF2775">
              <w:rPr>
                <w:color w:val="FF0000"/>
                <w:sz w:val="20"/>
                <w:szCs w:val="20"/>
              </w:rPr>
              <w:t>1. Use to identify the legacy four positon call/order number associated with the PIIN.</w:t>
            </w:r>
          </w:p>
          <w:p w14:paraId="101B1555" w14:textId="2A97E17F" w:rsidR="00CF2775" w:rsidRPr="00CF2775" w:rsidRDefault="00CF2775" w:rsidP="00CF2775">
            <w:pPr>
              <w:autoSpaceDE w:val="0"/>
              <w:autoSpaceDN w:val="0"/>
              <w:adjustRightInd w:val="0"/>
              <w:rPr>
                <w:dstrike/>
                <w:color w:val="FF0000"/>
                <w:sz w:val="20"/>
                <w:szCs w:val="20"/>
              </w:rPr>
            </w:pPr>
            <w:r w:rsidRPr="00CF2775">
              <w:rPr>
                <w:color w:val="FF0000"/>
                <w:sz w:val="20"/>
                <w:szCs w:val="20"/>
              </w:rPr>
              <w:t>2. Do not use for the PIID call/order number.  The PIID call/order number is mapped to CS01.  Refer to ADC 1161.</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7A0E200A" w14:textId="3F5DCF18" w:rsidR="00CF2775" w:rsidRPr="00CF2775" w:rsidRDefault="00CF2775" w:rsidP="00CF2775">
            <w:pPr>
              <w:keepNext w:val="0"/>
              <w:spacing w:before="20" w:after="20"/>
              <w:rPr>
                <w:color w:val="FF0000"/>
                <w:sz w:val="20"/>
                <w:szCs w:val="20"/>
              </w:rPr>
            </w:pPr>
            <w:r w:rsidRPr="00CF2775">
              <w:rPr>
                <w:color w:val="FF0000"/>
                <w:sz w:val="20"/>
                <w:szCs w:val="20"/>
              </w:rPr>
              <w:t>(ADC 1161 added to this list on 09/14/16)</w:t>
            </w:r>
          </w:p>
        </w:tc>
      </w:tr>
      <w:tr w:rsidR="00CF2775" w:rsidRPr="00D55EDA" w14:paraId="27B7CE28"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27B7CE18" w14:textId="77777777" w:rsidR="00CF2775" w:rsidRPr="00D55EDA" w:rsidRDefault="00CF2775" w:rsidP="00CF2775">
            <w:pPr>
              <w:keepNext w:val="0"/>
              <w:spacing w:before="20" w:after="20"/>
              <w:rPr>
                <w:sz w:val="20"/>
                <w:szCs w:val="20"/>
              </w:rPr>
            </w:pPr>
          </w:p>
        </w:tc>
        <w:tc>
          <w:tcPr>
            <w:tcW w:w="1982" w:type="dxa"/>
            <w:tcBorders>
              <w:bottom w:val="single" w:sz="4" w:space="0" w:color="auto"/>
            </w:tcBorders>
            <w:shd w:val="clear" w:color="auto" w:fill="FFFFFF" w:themeFill="background1"/>
            <w:tcMar>
              <w:top w:w="0" w:type="dxa"/>
              <w:left w:w="58" w:type="dxa"/>
              <w:bottom w:w="0" w:type="dxa"/>
              <w:right w:w="58" w:type="dxa"/>
            </w:tcMar>
          </w:tcPr>
          <w:p w14:paraId="27B7CE19" w14:textId="1566AEB0" w:rsidR="00CF2775" w:rsidRPr="00CF2775" w:rsidRDefault="00CF2775" w:rsidP="00CF2775">
            <w:pPr>
              <w:keepNext w:val="0"/>
              <w:spacing w:before="20" w:after="20"/>
              <w:rPr>
                <w:sz w:val="20"/>
                <w:szCs w:val="20"/>
              </w:rPr>
            </w:pPr>
            <w:r w:rsidRPr="00CF2775">
              <w:rPr>
                <w:sz w:val="20"/>
                <w:szCs w:val="20"/>
              </w:rPr>
              <w:t>1/CS05/050</w:t>
            </w:r>
          </w:p>
        </w:tc>
        <w:tc>
          <w:tcPr>
            <w:tcW w:w="2970" w:type="dxa"/>
            <w:tcBorders>
              <w:bottom w:val="single" w:sz="4" w:space="0" w:color="auto"/>
            </w:tcBorders>
            <w:shd w:val="clear" w:color="auto" w:fill="FFFFFF" w:themeFill="background1"/>
            <w:tcMar>
              <w:top w:w="0" w:type="dxa"/>
              <w:left w:w="58" w:type="dxa"/>
              <w:bottom w:w="0" w:type="dxa"/>
              <w:right w:w="58" w:type="dxa"/>
            </w:tcMar>
          </w:tcPr>
          <w:p w14:paraId="27B7CE1A" w14:textId="77777777" w:rsidR="00CF2775" w:rsidRPr="00CF2775" w:rsidRDefault="00CF2775" w:rsidP="00CF2775">
            <w:pPr>
              <w:keepNext w:val="0"/>
              <w:spacing w:before="20" w:after="20"/>
              <w:rPr>
                <w:sz w:val="20"/>
                <w:szCs w:val="20"/>
              </w:rPr>
            </w:pPr>
            <w:r w:rsidRPr="00CF2775">
              <w:rPr>
                <w:sz w:val="20"/>
                <w:szCs w:val="20"/>
              </w:rPr>
              <w:t>Reference Identification</w:t>
            </w:r>
          </w:p>
        </w:tc>
        <w:tc>
          <w:tcPr>
            <w:tcW w:w="5128" w:type="dxa"/>
            <w:tcBorders>
              <w:bottom w:val="single" w:sz="4" w:space="0" w:color="auto"/>
            </w:tcBorders>
            <w:shd w:val="clear" w:color="auto" w:fill="FFFFFF" w:themeFill="background1"/>
            <w:tcMar>
              <w:top w:w="0" w:type="dxa"/>
              <w:left w:w="58" w:type="dxa"/>
              <w:bottom w:w="0" w:type="dxa"/>
              <w:right w:w="58" w:type="dxa"/>
            </w:tcMar>
          </w:tcPr>
          <w:p w14:paraId="3D04FF23" w14:textId="77777777" w:rsidR="00CF2775" w:rsidRPr="00CF2775" w:rsidRDefault="00CF2775" w:rsidP="00CF2775">
            <w:pPr>
              <w:keepNext w:val="0"/>
              <w:spacing w:before="20" w:after="20"/>
              <w:rPr>
                <w:sz w:val="20"/>
                <w:szCs w:val="20"/>
              </w:rPr>
            </w:pPr>
            <w:r w:rsidRPr="00CF2775">
              <w:rPr>
                <w:sz w:val="20"/>
                <w:szCs w:val="20"/>
              </w:rPr>
              <w:t>1. Must use one of the following codes to identify the type of contract closeout status report:</w:t>
            </w:r>
            <w:r w:rsidRPr="00CF2775">
              <w:rPr>
                <w:sz w:val="20"/>
                <w:szCs w:val="20"/>
              </w:rPr>
              <w:br/>
            </w:r>
            <w:r w:rsidRPr="00CF2775">
              <w:rPr>
                <w:sz w:val="20"/>
                <w:szCs w:val="20"/>
              </w:rPr>
              <w:br/>
              <w:t>A - final contract completion statement for small purchases</w:t>
            </w:r>
            <w:r w:rsidRPr="00CF2775">
              <w:rPr>
                <w:sz w:val="20"/>
                <w:szCs w:val="20"/>
              </w:rPr>
              <w:br/>
              <w:t>B - interim (physical) completion statement for large purchases</w:t>
            </w:r>
            <w:r w:rsidRPr="00CF2775">
              <w:rPr>
                <w:sz w:val="20"/>
                <w:szCs w:val="20"/>
              </w:rPr>
              <w:br/>
              <w:t>C - final contract completion statement for large purchases</w:t>
            </w:r>
            <w:r w:rsidRPr="00CF2775">
              <w:rPr>
                <w:sz w:val="20"/>
                <w:szCs w:val="20"/>
              </w:rPr>
              <w:br/>
              <w:t>D - extension of contract closing date (by CAO)</w:t>
            </w:r>
            <w:r w:rsidRPr="00CF2775">
              <w:rPr>
                <w:sz w:val="20"/>
                <w:szCs w:val="20"/>
              </w:rPr>
              <w:br/>
              <w:t>E - extension of contract closing date (by PCO).</w:t>
            </w:r>
            <w:r w:rsidRPr="00CF2775">
              <w:rPr>
                <w:sz w:val="20"/>
                <w:szCs w:val="20"/>
              </w:rPr>
              <w:br/>
              <w:t>F - financial contract completion statement (by DFAS)</w:t>
            </w:r>
            <w:r w:rsidRPr="00CF2775">
              <w:rPr>
                <w:sz w:val="20"/>
                <w:szCs w:val="20"/>
              </w:rPr>
              <w:br/>
              <w:t xml:space="preserve">G - Final contract completion statement for automated contract closeouts (by WAWF-iRAPT systemically) </w:t>
            </w:r>
            <w:r w:rsidRPr="00CF2775">
              <w:rPr>
                <w:sz w:val="20"/>
                <w:szCs w:val="20"/>
              </w:rPr>
              <w:br/>
              <w:t>H - Cancelation of a unilateral purchase order not accepted by the contractor</w:t>
            </w:r>
            <w:r w:rsidRPr="00CF2775">
              <w:rPr>
                <w:sz w:val="20"/>
                <w:szCs w:val="20"/>
              </w:rPr>
              <w:br/>
            </w:r>
          </w:p>
          <w:p w14:paraId="27B7CE26" w14:textId="7937ED7C" w:rsidR="00CF2775" w:rsidRPr="00CF2775" w:rsidRDefault="00CF2775" w:rsidP="00CF2775">
            <w:pPr>
              <w:keepNext w:val="0"/>
              <w:spacing w:before="20" w:after="20"/>
              <w:rPr>
                <w:sz w:val="20"/>
                <w:szCs w:val="20"/>
              </w:rPr>
            </w:pPr>
            <w:r w:rsidRPr="00CF2775">
              <w:rPr>
                <w:sz w:val="20"/>
                <w:szCs w:val="20"/>
              </w:rPr>
              <w:t>2. When N101 is code PR and N106 is code FR, cite code F in this data element.</w:t>
            </w:r>
            <w:r w:rsidRPr="00CF2775">
              <w:rPr>
                <w:sz w:val="20"/>
                <w:szCs w:val="20"/>
              </w:rPr>
              <w:br/>
              <w:t xml:space="preserve">3. For a list of available codes, see DLM 4000.25 Volume 7, Appendix 1 – Contract Closeout Status Report Codes.  </w:t>
            </w:r>
          </w:p>
        </w:tc>
        <w:tc>
          <w:tcPr>
            <w:tcW w:w="3061" w:type="dxa"/>
            <w:tcBorders>
              <w:bottom w:val="single" w:sz="4" w:space="0" w:color="auto"/>
            </w:tcBorders>
            <w:shd w:val="clear" w:color="auto" w:fill="FFFFFF" w:themeFill="background1"/>
            <w:tcMar>
              <w:top w:w="0" w:type="dxa"/>
              <w:left w:w="58" w:type="dxa"/>
              <w:bottom w:w="0" w:type="dxa"/>
              <w:right w:w="58" w:type="dxa"/>
            </w:tcMar>
          </w:tcPr>
          <w:p w14:paraId="562A17AA" w14:textId="77777777" w:rsidR="00CF2775" w:rsidRPr="00CF2775" w:rsidRDefault="00CF2775" w:rsidP="00CF2775">
            <w:pPr>
              <w:keepNext w:val="0"/>
              <w:spacing w:before="20" w:after="20"/>
              <w:rPr>
                <w:sz w:val="20"/>
                <w:szCs w:val="20"/>
              </w:rPr>
            </w:pPr>
          </w:p>
          <w:p w14:paraId="27DACB12" w14:textId="77777777" w:rsidR="00CF2775" w:rsidRPr="00CF2775" w:rsidRDefault="00CF2775" w:rsidP="00CF2775">
            <w:pPr>
              <w:keepNext w:val="0"/>
              <w:spacing w:before="20" w:after="20"/>
              <w:rPr>
                <w:sz w:val="20"/>
                <w:szCs w:val="20"/>
              </w:rPr>
            </w:pPr>
          </w:p>
          <w:p w14:paraId="0FAD441D" w14:textId="77777777" w:rsidR="00CF2775" w:rsidRPr="00CF2775" w:rsidRDefault="00CF2775" w:rsidP="00CF2775">
            <w:pPr>
              <w:keepNext w:val="0"/>
              <w:spacing w:before="20" w:after="20"/>
              <w:rPr>
                <w:sz w:val="20"/>
                <w:szCs w:val="20"/>
              </w:rPr>
            </w:pPr>
          </w:p>
          <w:p w14:paraId="051AC675" w14:textId="77777777" w:rsidR="00CF2775" w:rsidRPr="00CF2775" w:rsidRDefault="00CF2775" w:rsidP="00CF2775">
            <w:pPr>
              <w:keepNext w:val="0"/>
              <w:spacing w:before="20" w:after="20"/>
              <w:rPr>
                <w:sz w:val="20"/>
                <w:szCs w:val="20"/>
              </w:rPr>
            </w:pPr>
          </w:p>
          <w:p w14:paraId="6F3C39A3" w14:textId="77777777" w:rsidR="00CF2775" w:rsidRPr="00CF2775" w:rsidRDefault="00CF2775" w:rsidP="00CF2775">
            <w:pPr>
              <w:keepNext w:val="0"/>
              <w:spacing w:before="20" w:after="20"/>
              <w:rPr>
                <w:sz w:val="20"/>
                <w:szCs w:val="20"/>
              </w:rPr>
            </w:pPr>
          </w:p>
          <w:p w14:paraId="747C18D3" w14:textId="77777777" w:rsidR="00CF2775" w:rsidRPr="00CF2775" w:rsidRDefault="00CF2775" w:rsidP="00CF2775">
            <w:pPr>
              <w:keepNext w:val="0"/>
              <w:spacing w:before="20" w:after="20"/>
              <w:rPr>
                <w:sz w:val="20"/>
                <w:szCs w:val="20"/>
              </w:rPr>
            </w:pPr>
          </w:p>
          <w:p w14:paraId="57D1452C" w14:textId="77777777" w:rsidR="00CF2775" w:rsidRPr="00CF2775" w:rsidRDefault="00CF2775" w:rsidP="00CF2775">
            <w:pPr>
              <w:keepNext w:val="0"/>
              <w:spacing w:before="20" w:after="20"/>
              <w:rPr>
                <w:sz w:val="20"/>
                <w:szCs w:val="20"/>
              </w:rPr>
            </w:pPr>
          </w:p>
          <w:p w14:paraId="12577FD4" w14:textId="77777777" w:rsidR="00CF2775" w:rsidRPr="00CF2775" w:rsidRDefault="00CF2775" w:rsidP="00CF2775">
            <w:pPr>
              <w:keepNext w:val="0"/>
              <w:spacing w:before="20" w:after="20"/>
              <w:rPr>
                <w:sz w:val="20"/>
                <w:szCs w:val="20"/>
              </w:rPr>
            </w:pPr>
          </w:p>
          <w:p w14:paraId="41CFAF7F" w14:textId="77777777" w:rsidR="00CF2775" w:rsidRPr="00CF2775" w:rsidRDefault="00CF2775" w:rsidP="00CF2775">
            <w:pPr>
              <w:keepNext w:val="0"/>
              <w:spacing w:before="20" w:after="20"/>
              <w:rPr>
                <w:sz w:val="20"/>
                <w:szCs w:val="20"/>
              </w:rPr>
            </w:pPr>
          </w:p>
          <w:p w14:paraId="27B7CE27" w14:textId="578C7FEA" w:rsidR="00CF2775" w:rsidRPr="00CF2775" w:rsidRDefault="00CF2775" w:rsidP="00CF2775">
            <w:pPr>
              <w:keepNext w:val="0"/>
              <w:spacing w:before="20" w:after="20"/>
              <w:rPr>
                <w:sz w:val="20"/>
                <w:szCs w:val="20"/>
              </w:rPr>
            </w:pPr>
            <w:r w:rsidRPr="00CF2775">
              <w:rPr>
                <w:sz w:val="20"/>
                <w:szCs w:val="20"/>
              </w:rPr>
              <w:t>(ADC 1163 added to this list on 7/8/15)</w:t>
            </w:r>
          </w:p>
        </w:tc>
      </w:tr>
      <w:tr w:rsidR="00CF2775" w:rsidRPr="00D55EDA" w14:paraId="27B7CE2E" w14:textId="77777777" w:rsidTr="00667EFE">
        <w:tblPrEx>
          <w:shd w:val="clear" w:color="auto" w:fill="FFFFFF" w:themeFill="background1"/>
        </w:tblPrEx>
        <w:trPr>
          <w:cantSplit/>
        </w:trPr>
        <w:tc>
          <w:tcPr>
            <w:tcW w:w="1529" w:type="dxa"/>
            <w:vMerge/>
            <w:shd w:val="clear" w:color="auto" w:fill="FFFFFF" w:themeFill="background1"/>
            <w:tcMar>
              <w:top w:w="0" w:type="dxa"/>
              <w:left w:w="58" w:type="dxa"/>
              <w:bottom w:w="0" w:type="dxa"/>
              <w:right w:w="58" w:type="dxa"/>
            </w:tcMar>
          </w:tcPr>
          <w:p w14:paraId="27B7CE29" w14:textId="77777777" w:rsidR="00CF2775" w:rsidRPr="00D55EDA" w:rsidRDefault="00CF2775" w:rsidP="00CF2775">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27B7CE2A" w14:textId="77777777" w:rsidR="00CF2775" w:rsidRPr="00D55EDA" w:rsidRDefault="00CF2775" w:rsidP="00CF2775">
            <w:pPr>
              <w:keepNext w:val="0"/>
              <w:spacing w:before="20" w:after="20"/>
              <w:rPr>
                <w:sz w:val="20"/>
                <w:szCs w:val="20"/>
              </w:rPr>
            </w:pPr>
            <w:r w:rsidRPr="00D55EDA">
              <w:rPr>
                <w:sz w:val="20"/>
                <w:szCs w:val="20"/>
              </w:rPr>
              <w:t>2/N103/120</w:t>
            </w:r>
          </w:p>
        </w:tc>
        <w:tc>
          <w:tcPr>
            <w:tcW w:w="2970" w:type="dxa"/>
            <w:shd w:val="clear" w:color="auto" w:fill="FFFFFF" w:themeFill="background1"/>
            <w:tcMar>
              <w:top w:w="0" w:type="dxa"/>
              <w:left w:w="58" w:type="dxa"/>
              <w:bottom w:w="0" w:type="dxa"/>
              <w:right w:w="58" w:type="dxa"/>
            </w:tcMar>
          </w:tcPr>
          <w:p w14:paraId="27B7CE2B" w14:textId="77777777" w:rsidR="00CF2775" w:rsidRPr="00AC7FB0" w:rsidRDefault="00CF2775" w:rsidP="00CF2775">
            <w:pPr>
              <w:keepNext w:val="0"/>
              <w:spacing w:before="20" w:after="20"/>
            </w:pPr>
            <w:r w:rsidRPr="00AC7FB0">
              <w:rPr>
                <w:sz w:val="20"/>
                <w:szCs w:val="20"/>
              </w:rPr>
              <w:t>33   Commercial and Government Entity (CAGE)</w:t>
            </w:r>
          </w:p>
        </w:tc>
        <w:tc>
          <w:tcPr>
            <w:tcW w:w="5128" w:type="dxa"/>
            <w:shd w:val="clear" w:color="auto" w:fill="FFFFFF" w:themeFill="background1"/>
            <w:tcMar>
              <w:top w:w="0" w:type="dxa"/>
              <w:left w:w="58" w:type="dxa"/>
              <w:bottom w:w="0" w:type="dxa"/>
              <w:right w:w="58" w:type="dxa"/>
            </w:tcMar>
          </w:tcPr>
          <w:p w14:paraId="27B7CE2C" w14:textId="77777777" w:rsidR="00CF2775" w:rsidRPr="00AC7FB0" w:rsidRDefault="00CF2775" w:rsidP="00CF2775">
            <w:pPr>
              <w:pStyle w:val="BodyText3"/>
              <w:keepNext w:val="0"/>
              <w:spacing w:before="20" w:after="20"/>
              <w:rPr>
                <w:rFonts w:ascii="Times New Roman" w:hAnsi="Times New Roman"/>
                <w:color w:val="auto"/>
              </w:rPr>
            </w:pPr>
            <w:r w:rsidRPr="00AC7FB0">
              <w:rPr>
                <w:rFonts w:ascii="Times New Roman" w:hAnsi="Times New Roman"/>
                <w:color w:val="auto"/>
              </w:rPr>
              <w:t>DLMS enhancement; see introductory DLMS note 2a.</w:t>
            </w:r>
          </w:p>
        </w:tc>
        <w:tc>
          <w:tcPr>
            <w:tcW w:w="3061" w:type="dxa"/>
            <w:shd w:val="clear" w:color="auto" w:fill="FFFFFF" w:themeFill="background1"/>
            <w:tcMar>
              <w:top w:w="0" w:type="dxa"/>
              <w:left w:w="58" w:type="dxa"/>
              <w:bottom w:w="0" w:type="dxa"/>
              <w:right w:w="58" w:type="dxa"/>
            </w:tcMar>
          </w:tcPr>
          <w:p w14:paraId="27B7CE2D" w14:textId="77777777" w:rsidR="00CF2775" w:rsidRPr="00D55EDA" w:rsidRDefault="00CF2775" w:rsidP="00CF2775">
            <w:pPr>
              <w:spacing w:before="20" w:after="20"/>
              <w:rPr>
                <w:sz w:val="20"/>
                <w:szCs w:val="20"/>
              </w:rPr>
            </w:pPr>
            <w:r w:rsidRPr="00D55EDA">
              <w:rPr>
                <w:sz w:val="20"/>
                <w:szCs w:val="20"/>
              </w:rPr>
              <w:t>Notes added. (See ADC 168.)</w:t>
            </w:r>
          </w:p>
        </w:tc>
      </w:tr>
    </w:tbl>
    <w:p w14:paraId="27B7CE2F" w14:textId="77777777" w:rsidR="00114B96" w:rsidRDefault="00114B96" w:rsidP="00CF709A"/>
    <w:sectPr w:rsidR="00114B96" w:rsidSect="00926926">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CE32" w14:textId="77777777" w:rsidR="00FD2FBB" w:rsidRDefault="00FD2FBB">
      <w:r>
        <w:separator/>
      </w:r>
    </w:p>
  </w:endnote>
  <w:endnote w:type="continuationSeparator" w:id="0">
    <w:p w14:paraId="27B7CE33" w14:textId="77777777" w:rsidR="00FD2FBB" w:rsidRDefault="00FD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CE35" w14:textId="3A9DC0EE" w:rsidR="00B453B1" w:rsidRDefault="00B453B1" w:rsidP="000E210C">
    <w:pPr>
      <w:pStyle w:val="Footer"/>
      <w:jc w:val="center"/>
    </w:pPr>
    <w:r>
      <w:t xml:space="preserve">DLMS Enhancement File </w:t>
    </w:r>
    <w:r>
      <w:tab/>
    </w:r>
    <w:r>
      <w:tab/>
      <w:t xml:space="preserve">X12 Version/Release: 4010 </w:t>
    </w:r>
    <w:r>
      <w:tab/>
    </w:r>
    <w:r>
      <w:tab/>
    </w:r>
    <w:r>
      <w:tab/>
    </w:r>
    <w:r>
      <w:tab/>
      <w:t xml:space="preserve">DLMS </w:t>
    </w:r>
    <w:r w:rsidR="00C5170F">
      <w:t>IC</w:t>
    </w:r>
    <w:r>
      <w:t xml:space="preserve">: </w:t>
    </w:r>
    <w:r w:rsidR="00B435FE">
      <w:t>56</w:t>
    </w:r>
    <w:r w:rsidR="00667EFE">
      <w:t>7C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7CE30" w14:textId="77777777" w:rsidR="00FD2FBB" w:rsidRDefault="00FD2FBB">
      <w:r>
        <w:separator/>
      </w:r>
    </w:p>
  </w:footnote>
  <w:footnote w:type="continuationSeparator" w:id="0">
    <w:p w14:paraId="27B7CE31" w14:textId="77777777" w:rsidR="00FD2FBB" w:rsidRDefault="00FD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CE34" w14:textId="77777777" w:rsidR="00B453B1" w:rsidRDefault="00D85EBA">
    <w:pPr>
      <w:pStyle w:val="Header"/>
    </w:pPr>
    <w:r>
      <w:t>5</w:t>
    </w:r>
    <w:r w:rsidR="00667EFE">
      <w:t>67C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186A"/>
    <w:multiLevelType w:val="hybridMultilevel"/>
    <w:tmpl w:val="BB3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1E61"/>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4DA"/>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07C1"/>
    <w:rsid w:val="00401616"/>
    <w:rsid w:val="00401701"/>
    <w:rsid w:val="0040178E"/>
    <w:rsid w:val="0040210D"/>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5EE"/>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110"/>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67EF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49BC"/>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E62E5"/>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1010"/>
    <w:rsid w:val="00711362"/>
    <w:rsid w:val="00712D25"/>
    <w:rsid w:val="00713016"/>
    <w:rsid w:val="00713413"/>
    <w:rsid w:val="0071469C"/>
    <w:rsid w:val="00714CB7"/>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F098C"/>
    <w:rsid w:val="007F0BAB"/>
    <w:rsid w:val="007F0F52"/>
    <w:rsid w:val="007F1A71"/>
    <w:rsid w:val="007F1B90"/>
    <w:rsid w:val="007F1C06"/>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0E55"/>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0320"/>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E3A"/>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099F"/>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39AF"/>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8D4"/>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C7FB0"/>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35FE"/>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0F"/>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9CF"/>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162"/>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775"/>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8778B"/>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2FBB"/>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7CDFD"/>
  <w15:docId w15:val="{5D884327-21DC-44FA-A6C7-A2D9F95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uiPriority w:val="99"/>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 w:type="numbering" w:customStyle="1" w:styleId="Style1">
    <w:name w:val="Style1"/>
    <w:uiPriority w:val="99"/>
    <w:rsid w:val="00CF2775"/>
    <w:pPr>
      <w:numPr>
        <w:numId w:val="2"/>
      </w:numPr>
    </w:pPr>
  </w:style>
  <w:style w:type="character" w:customStyle="1" w:styleId="FootnoteTextChar1">
    <w:name w:val="Footnote Text Char1"/>
    <w:basedOn w:val="DefaultParagraphFont"/>
    <w:uiPriority w:val="99"/>
    <w:semiHidden/>
    <w:rsid w:val="00CF27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is.csd.disa.mil/beis-xml/sfiscombo.x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dla.mil/j-6/dlmso/elibrary/manuals/dlm/dlm_pubs.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3FC3-EFDA-4C38-A423-9B9519DAEFAE}">
  <ds:schemaRefs>
    <ds:schemaRef ds:uri="http://schemas.microsoft.com/sharepoint/v3/contenttype/forms"/>
  </ds:schemaRefs>
</ds:datastoreItem>
</file>

<file path=customXml/itemProps2.xml><?xml version="1.0" encoding="utf-8"?>
<ds:datastoreItem xmlns:ds="http://schemas.openxmlformats.org/officeDocument/2006/customXml" ds:itemID="{365B1083-22F3-427A-A764-EC6E7714A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826B5B-2033-488B-B41B-9F4ECD8C5C0E}">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C56B485-DBF0-4F3B-BB2F-C620C196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11134</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6</cp:revision>
  <cp:lastPrinted>2012-08-14T17:09:00Z</cp:lastPrinted>
  <dcterms:created xsi:type="dcterms:W3CDTF">2013-01-15T14:15:00Z</dcterms:created>
  <dcterms:modified xsi:type="dcterms:W3CDTF">2016-09-14T15:36:00Z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2381500</vt:r8>
  </property>
</Properties>
</file>